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heme="minorEastAsia" w:hAnsiTheme="minorEastAsia"/>
          <w:b/>
          <w:bCs/>
          <w:color w:val="000000"/>
          <w:spacing w:val="15"/>
          <w:sz w:val="32"/>
          <w:szCs w:val="21"/>
        </w:rPr>
      </w:pPr>
      <w:r>
        <w:rPr>
          <w:rFonts w:hint="eastAsia" w:asciiTheme="minorEastAsia" w:hAnsiTheme="minorEastAsia"/>
          <w:b/>
          <w:bCs/>
          <w:color w:val="000000"/>
          <w:spacing w:val="15"/>
          <w:sz w:val="32"/>
          <w:szCs w:val="21"/>
        </w:rPr>
        <w:t>企业经营预算与成本管控课程</w:t>
      </w:r>
    </w:p>
    <w:p>
      <w:pPr>
        <w:adjustRightInd w:val="0"/>
        <w:snapToGrid w:val="0"/>
        <w:spacing w:line="460" w:lineRule="exact"/>
        <w:rPr>
          <w:rFonts w:ascii="微软雅黑" w:hAnsi="微软雅黑" w:eastAsia="微软雅黑"/>
          <w:b/>
          <w:bCs/>
          <w:color w:val="1F4E79"/>
          <w:sz w:val="24"/>
          <w:szCs w:val="24"/>
        </w:rPr>
      </w:pPr>
      <w:r>
        <w:rPr>
          <w:rFonts w:hint="eastAsia" w:ascii="微软雅黑" w:hAnsi="微软雅黑" w:eastAsia="微软雅黑"/>
          <w:b/>
          <w:bCs/>
          <w:color w:val="1F4E79"/>
          <w:sz w:val="24"/>
          <w:szCs w:val="24"/>
        </w:rPr>
        <w:t>课程背景</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2472055</wp:posOffset>
            </wp:positionV>
            <wp:extent cx="1303020" cy="952500"/>
            <wp:effectExtent l="0" t="0" r="0" b="0"/>
            <wp:wrapSquare wrapText="bothSides"/>
            <wp:docPr id="5" name="图片 5" descr="C:\Users\lenovo\Desktop\微信截图_2017050321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微信截图_2017050321432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03020" cy="952500"/>
                    </a:xfrm>
                    <a:prstGeom prst="rect">
                      <a:avLst/>
                    </a:prstGeom>
                    <a:noFill/>
                    <a:ln>
                      <a:noFill/>
                    </a:ln>
                  </pic:spPr>
                </pic:pic>
              </a:graphicData>
            </a:graphic>
          </wp:anchor>
        </w:drawing>
      </w:r>
      <w:r>
        <w:rPr>
          <w:rFonts w:hint="eastAsia" w:ascii="微软雅黑" w:hAnsi="微软雅黑" w:eastAsia="微软雅黑"/>
          <w:sz w:val="24"/>
          <w:szCs w:val="24"/>
        </w:rPr>
        <w:t>企业成本控制及利润管控的核心是事前的管理，事前管理当然离不开企业的预算管理，企业全面预算管理的重要性已不言而喻，它已经成为企业管理不可或缺的手段。但今天很多经营者将预算管理变成了一个数字游戏，常常是拍脑袋式地订个目标，最多将目标分解到月度，认为预算就这样完成了。一套没有行动计划所对应的预算，无疑像是在沙滩上建城堡，经不起任何风雨的。全面预算不仅仅一个数字，而是一个由目标的制订、计划、执行、控制、分析考核等一系列的管理过程，更是一个将企业绩效管理和企业战略执行力有效结合的系统管理工具，一个优化和完善战略执行和提升综合管理的最平常又最核心的管理工作。通过严格地实行全面预算管理，最大可能的降低支出提升企业利润，是每一个企业最为关心的重大实际问题。</w:t>
      </w:r>
    </w:p>
    <w:p>
      <w:pPr>
        <w:pStyle w:val="2"/>
        <w:adjustRightInd w:val="0"/>
        <w:snapToGrid w:val="0"/>
        <w:spacing w:after="0" w:line="460" w:lineRule="exact"/>
        <w:ind w:left="0" w:leftChars="0" w:firstLine="480" w:firstLineChars="200"/>
        <w:rPr>
          <w:rFonts w:ascii="微软雅黑" w:hAnsi="微软雅黑" w:eastAsia="微软雅黑"/>
          <w:sz w:val="24"/>
          <w:szCs w:val="24"/>
        </w:rPr>
      </w:pPr>
      <w:r>
        <w:rPr>
          <w:rFonts w:hint="eastAsia" w:ascii="微软雅黑" w:hAnsi="微软雅黑" w:eastAsia="微软雅黑"/>
          <w:sz w:val="24"/>
          <w:szCs w:val="24"/>
        </w:rPr>
        <w:t>本课程将通过理论讲解与实践操作及模拟演练，并结合具体的国内实例分析更直观、更生动、更易接受地让学员学习和掌握如下问题： 如何合理拟订企业预算目标、制定实现目标的行动方案，并结合企业的自身状况设计控制要点，使预算得到有效的实施。</w:t>
      </w:r>
    </w:p>
    <w:p>
      <w:pPr>
        <w:adjustRightInd w:val="0"/>
        <w:snapToGrid w:val="0"/>
        <w:rPr>
          <w:rFonts w:ascii="微软雅黑" w:hAnsi="微软雅黑" w:eastAsia="微软雅黑"/>
          <w:b/>
          <w:color w:val="1F4E79"/>
          <w:sz w:val="24"/>
          <w:szCs w:val="24"/>
        </w:rPr>
      </w:pPr>
    </w:p>
    <w:p>
      <w:pPr>
        <w:adjustRightInd w:val="0"/>
        <w:snapToGrid w:val="0"/>
        <w:rPr>
          <w:rFonts w:ascii="微软雅黑" w:hAnsi="微软雅黑" w:eastAsia="微软雅黑"/>
          <w:b/>
          <w:color w:val="1F4E79"/>
          <w:sz w:val="24"/>
          <w:szCs w:val="24"/>
        </w:rPr>
      </w:pPr>
      <w:r>
        <w:rPr>
          <w:rFonts w:hint="eastAsia" w:ascii="微软雅黑" w:hAnsi="微软雅黑" w:eastAsia="微软雅黑"/>
          <w:b/>
          <w:color w:val="1F4E79"/>
          <w:sz w:val="24"/>
          <w:szCs w:val="24"/>
        </w:rPr>
        <w:t>课程收益</w:t>
      </w:r>
      <w:r>
        <w:rPr>
          <w:rFonts w:ascii="微软雅黑" w:hAnsi="微软雅黑" w:eastAsia="微软雅黑"/>
          <w:b/>
          <w:color w:val="1F4E79"/>
          <w:sz w:val="24"/>
          <w:szCs w:val="24"/>
        </w:rPr>
        <w:t>：</w:t>
      </w:r>
    </w:p>
    <w:p>
      <w:pPr>
        <w:pStyle w:val="12"/>
        <w:numPr>
          <w:ilvl w:val="0"/>
          <w:numId w:val="1"/>
        </w:numPr>
        <w:adjustRightInd w:val="0"/>
        <w:snapToGrid w:val="0"/>
        <w:ind w:firstLineChars="0"/>
        <w:rPr>
          <w:rFonts w:ascii="微软雅黑" w:hAnsi="微软雅黑" w:eastAsia="微软雅黑"/>
          <w:color w:val="000000"/>
          <w:sz w:val="24"/>
          <w:szCs w:val="24"/>
        </w:rPr>
      </w:pPr>
      <w:bookmarkStart w:id="0" w:name="OLE_LINK1"/>
      <w:r>
        <w:rPr>
          <w:rFonts w:hint="eastAsia" w:ascii="微软雅黑" w:hAnsi="微软雅黑" w:eastAsia="微软雅黑"/>
          <w:color w:val="000000"/>
          <w:sz w:val="24"/>
          <w:szCs w:val="24"/>
        </w:rPr>
        <w:t>通过模拟演练，理解企业成本管控的关键</w:t>
      </w:r>
    </w:p>
    <w:p>
      <w:pPr>
        <w:pStyle w:val="12"/>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掌握成本控制及年度经营目标制定的关键，避免见好就收窘境；</w:t>
      </w:r>
    </w:p>
    <w:p>
      <w:pPr>
        <w:pStyle w:val="12"/>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掌握年度目标实现的关键，制定实现目标的行动计划；</w:t>
      </w:r>
    </w:p>
    <w:p>
      <w:pPr>
        <w:pStyle w:val="12"/>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掌握全面预算管理的重点和难点, 为实施预算控制奠定基础；</w:t>
      </w:r>
    </w:p>
    <w:p>
      <w:pPr>
        <w:pStyle w:val="12"/>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增强对预算编制和过程控制的技巧, 掌握预算管理和控制的实际操作；</w:t>
      </w:r>
    </w:p>
    <w:bookmarkEnd w:id="0"/>
    <w:p>
      <w:pPr>
        <w:adjustRightInd w:val="0"/>
        <w:snapToGrid w:val="0"/>
        <w:ind w:right="141" w:rightChars="67"/>
        <w:jc w:val="left"/>
        <w:rPr>
          <w:rFonts w:ascii="微软雅黑" w:hAnsi="微软雅黑" w:eastAsia="微软雅黑"/>
          <w:sz w:val="22"/>
        </w:rPr>
      </w:pPr>
      <w:r>
        <w:rPr>
          <w:rFonts w:hint="eastAsia" w:ascii="微软雅黑" w:hAnsi="微软雅黑" w:eastAsia="微软雅黑"/>
          <w:b/>
          <w:bCs/>
          <w:color w:val="1F4E79"/>
          <w:sz w:val="22"/>
        </w:rPr>
        <w:t>课程时间：</w:t>
      </w:r>
      <w:r>
        <w:rPr>
          <w:rFonts w:ascii="微软雅黑" w:hAnsi="微软雅黑" w:eastAsia="微软雅黑"/>
          <w:sz w:val="22"/>
        </w:rPr>
        <w:t>2</w:t>
      </w:r>
      <w:r>
        <w:rPr>
          <w:rFonts w:hint="eastAsia" w:ascii="微软雅黑" w:hAnsi="微软雅黑" w:eastAsia="微软雅黑"/>
          <w:sz w:val="22"/>
        </w:rPr>
        <w:t>天，</w:t>
      </w:r>
      <w:r>
        <w:rPr>
          <w:rFonts w:ascii="微软雅黑" w:hAnsi="微软雅黑" w:eastAsia="微软雅黑"/>
          <w:sz w:val="22"/>
        </w:rPr>
        <w:t>6</w:t>
      </w:r>
      <w:r>
        <w:rPr>
          <w:rFonts w:hint="eastAsia" w:ascii="微软雅黑" w:hAnsi="微软雅黑" w:eastAsia="微软雅黑"/>
          <w:sz w:val="22"/>
        </w:rPr>
        <w:t>小时</w:t>
      </w:r>
      <w:r>
        <w:rPr>
          <w:rFonts w:ascii="微软雅黑" w:hAnsi="微软雅黑" w:eastAsia="微软雅黑"/>
          <w:sz w:val="22"/>
        </w:rPr>
        <w:t>/</w:t>
      </w:r>
      <w:r>
        <w:rPr>
          <w:rFonts w:hint="eastAsia" w:ascii="微软雅黑" w:hAnsi="微软雅黑" w:eastAsia="微软雅黑"/>
          <w:sz w:val="22"/>
        </w:rPr>
        <w:t>天。</w:t>
      </w:r>
      <w:r>
        <w:rPr>
          <w:rFonts w:ascii="微软雅黑" w:hAnsi="微软雅黑" w:eastAsia="微软雅黑"/>
          <w:sz w:val="22"/>
        </w:rPr>
        <w:t>（</w:t>
      </w:r>
      <w:r>
        <w:rPr>
          <w:rFonts w:hint="eastAsia" w:ascii="微软雅黑" w:hAnsi="微软雅黑" w:eastAsia="微软雅黑"/>
          <w:sz w:val="22"/>
        </w:rPr>
        <w:t>为</w:t>
      </w:r>
      <w:r>
        <w:rPr>
          <w:rFonts w:ascii="微软雅黑" w:hAnsi="微软雅黑" w:eastAsia="微软雅黑"/>
          <w:sz w:val="22"/>
        </w:rPr>
        <w:t>了课程的效果</w:t>
      </w:r>
      <w:r>
        <w:rPr>
          <w:rFonts w:hint="eastAsia" w:ascii="微软雅黑" w:hAnsi="微软雅黑" w:eastAsia="微软雅黑"/>
          <w:sz w:val="22"/>
        </w:rPr>
        <w:t>人员不</w:t>
      </w:r>
      <w:r>
        <w:rPr>
          <w:rFonts w:ascii="微软雅黑" w:hAnsi="微软雅黑" w:eastAsia="微软雅黑"/>
          <w:sz w:val="22"/>
        </w:rPr>
        <w:t>得超过</w:t>
      </w:r>
      <w:r>
        <w:rPr>
          <w:rFonts w:hint="eastAsia" w:ascii="微软雅黑" w:hAnsi="微软雅黑" w:eastAsia="微软雅黑"/>
          <w:sz w:val="22"/>
        </w:rPr>
        <w:t>80人</w:t>
      </w:r>
      <w:r>
        <w:rPr>
          <w:rFonts w:ascii="微软雅黑" w:hAnsi="微软雅黑" w:eastAsia="微软雅黑"/>
          <w:sz w:val="22"/>
        </w:rPr>
        <w:t>）</w:t>
      </w:r>
    </w:p>
    <w:p>
      <w:pPr>
        <w:adjustRightInd w:val="0"/>
        <w:snapToGrid w:val="0"/>
        <w:ind w:right="141" w:rightChars="67"/>
        <w:jc w:val="left"/>
        <w:rPr>
          <w:rFonts w:ascii="微软雅黑" w:hAnsi="微软雅黑" w:eastAsia="微软雅黑"/>
          <w:sz w:val="22"/>
        </w:rPr>
      </w:pPr>
      <w:r>
        <w:rPr>
          <w:rFonts w:hint="eastAsia" w:ascii="微软雅黑" w:hAnsi="微软雅黑" w:eastAsia="微软雅黑"/>
          <w:b/>
          <w:bCs/>
          <w:color w:val="1F4E79"/>
          <w:sz w:val="22"/>
        </w:rPr>
        <w:t>授课对象：</w:t>
      </w:r>
      <w:r>
        <w:rPr>
          <w:rFonts w:hint="eastAsia" w:ascii="微软雅黑" w:hAnsi="微软雅黑" w:eastAsia="微软雅黑"/>
          <w:sz w:val="22"/>
        </w:rPr>
        <w:t>企业总经理、副总经理、企业中、高层非财务管理人员和骨干</w:t>
      </w:r>
    </w:p>
    <w:p>
      <w:pPr>
        <w:spacing w:line="276" w:lineRule="auto"/>
        <w:rPr>
          <w:rFonts w:cs="宋体" w:asciiTheme="minorEastAsia" w:hAnsiTheme="minorEastAsia"/>
          <w:color w:val="000000"/>
          <w:kern w:val="0"/>
          <w:sz w:val="22"/>
          <w:szCs w:val="21"/>
          <w:shd w:val="clear" w:color="auto" w:fill="FFFFFF"/>
        </w:rPr>
      </w:pPr>
    </w:p>
    <w:p>
      <w:pPr>
        <w:adjustRightInd w:val="0"/>
        <w:snapToGrid w:val="0"/>
        <w:spacing w:line="460" w:lineRule="exact"/>
        <w:rPr>
          <w:rFonts w:ascii="微软雅黑" w:hAnsi="微软雅黑" w:eastAsia="微软雅黑"/>
          <w:b/>
          <w:bCs/>
          <w:color w:val="1F4E79"/>
          <w:sz w:val="24"/>
        </w:rPr>
      </w:pPr>
      <w:r>
        <w:rPr>
          <w:rFonts w:hint="eastAsia" w:ascii="微软雅黑" w:hAnsi="微软雅黑" w:eastAsia="微软雅黑"/>
          <w:b/>
          <w:bCs/>
          <w:color w:val="1F4E79"/>
          <w:sz w:val="24"/>
        </w:rPr>
        <w:t>课程大纲：</w:t>
      </w:r>
    </w:p>
    <w:p>
      <w:pPr>
        <w:rPr>
          <w:rFonts w:ascii="微软雅黑" w:hAnsi="微软雅黑" w:eastAsia="微软雅黑"/>
          <w:b/>
          <w:bCs/>
          <w:color w:val="1F4E79"/>
          <w:sz w:val="22"/>
        </w:rPr>
      </w:pPr>
      <w:r>
        <w:rPr>
          <w:rFonts w:hint="eastAsia" w:ascii="微软雅黑" w:hAnsi="微软雅黑" w:eastAsia="微软雅黑"/>
          <w:b/>
          <w:bCs/>
          <w:color w:val="1F4E79"/>
          <w:sz w:val="22"/>
        </w:rPr>
        <w:t>第一</w:t>
      </w:r>
      <w:r>
        <w:rPr>
          <w:rFonts w:ascii="微软雅黑" w:hAnsi="微软雅黑" w:eastAsia="微软雅黑"/>
          <w:b/>
          <w:bCs/>
          <w:color w:val="1F4E79"/>
          <w:sz w:val="22"/>
        </w:rPr>
        <w:t>部分：</w:t>
      </w:r>
      <w:r>
        <w:rPr>
          <w:rFonts w:hint="eastAsia" w:ascii="微软雅黑" w:hAnsi="微软雅黑" w:eastAsia="微软雅黑"/>
          <w:b/>
          <w:bCs/>
          <w:color w:val="1F4E79"/>
          <w:sz w:val="22"/>
        </w:rPr>
        <w:t>企业经营与财务管理思维</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为什么收入上升了，利润却没有上升？</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为什么有利润，但现金流却越来越紧张？</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企业的规模多大合适？如：明年的销售越大越好吗？</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案例分析：销售的增长对企业的影响是什么？</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解决企业资金问题的途径只有借款吗？</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企业预算管理与企业风险防范</w:t>
      </w:r>
    </w:p>
    <w:p>
      <w:pPr>
        <w:pStyle w:val="12"/>
        <w:numPr>
          <w:ilvl w:val="0"/>
          <w:numId w:val="2"/>
        </w:numPr>
        <w:ind w:firstLineChars="0"/>
        <w:rPr>
          <w:rFonts w:ascii="微软雅黑" w:hAnsi="微软雅黑" w:eastAsia="微软雅黑"/>
          <w:sz w:val="22"/>
        </w:rPr>
      </w:pPr>
      <w:r>
        <w:rPr>
          <w:rFonts w:hint="eastAsia" w:ascii="微软雅黑" w:hAnsi="微软雅黑" w:eastAsia="微软雅黑"/>
          <w:sz w:val="22"/>
        </w:rPr>
        <w:t>预算如何影响企业各业务部门的业绩</w:t>
      </w:r>
    </w:p>
    <w:p>
      <w:pPr>
        <w:rPr>
          <w:rFonts w:ascii="微软雅黑" w:hAnsi="微软雅黑" w:eastAsia="微软雅黑"/>
          <w:b/>
          <w:bCs/>
          <w:color w:val="1F4E79"/>
          <w:sz w:val="22"/>
        </w:rPr>
      </w:pPr>
      <w:r>
        <w:rPr>
          <w:rFonts w:hint="eastAsia" w:ascii="微软雅黑" w:hAnsi="微软雅黑" w:eastAsia="微软雅黑"/>
          <w:b/>
          <w:bCs/>
          <w:color w:val="1F4E79"/>
          <w:sz w:val="22"/>
        </w:rPr>
        <w:t>第二</w:t>
      </w:r>
      <w:r>
        <w:rPr>
          <w:rFonts w:ascii="微软雅黑" w:hAnsi="微软雅黑" w:eastAsia="微软雅黑"/>
          <w:b/>
          <w:bCs/>
          <w:color w:val="1F4E79"/>
          <w:sz w:val="22"/>
        </w:rPr>
        <w:t>部分：</w:t>
      </w:r>
      <w:r>
        <w:rPr>
          <w:rFonts w:hint="eastAsia" w:ascii="微软雅黑" w:hAnsi="微软雅黑" w:eastAsia="微软雅黑"/>
          <w:b/>
          <w:bCs/>
          <w:color w:val="1F4E79"/>
          <w:sz w:val="22"/>
        </w:rPr>
        <w:t>企业成本构成及管理基础</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如何提升企业的经营利润？</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分析销售、单价及成本费用对利润的影响</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成本控制的1个核心与5个关键</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梳理企业现有成本的构成情况</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企业成本的分类及属性分析</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企业固定成本与变动成本对企业利润的影响</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利用盈亏平衡的思维提升企业的盈利</w:t>
      </w:r>
    </w:p>
    <w:p>
      <w:pPr>
        <w:pStyle w:val="12"/>
        <w:numPr>
          <w:ilvl w:val="0"/>
          <w:numId w:val="3"/>
        </w:numPr>
        <w:ind w:firstLineChars="0"/>
        <w:rPr>
          <w:rFonts w:ascii="微软雅黑" w:hAnsi="微软雅黑" w:eastAsia="微软雅黑"/>
          <w:sz w:val="22"/>
        </w:rPr>
      </w:pPr>
      <w:r>
        <w:rPr>
          <w:rFonts w:hint="eastAsia" w:ascii="微软雅黑" w:hAnsi="微软雅黑" w:eastAsia="微软雅黑"/>
          <w:sz w:val="22"/>
        </w:rPr>
        <w:t>如何利用量本利法理性做出企业的产品及设备投资？</w:t>
      </w:r>
    </w:p>
    <w:p>
      <w:pPr>
        <w:rPr>
          <w:rFonts w:ascii="微软雅黑" w:hAnsi="微软雅黑" w:eastAsia="微软雅黑"/>
          <w:b/>
          <w:bCs/>
          <w:color w:val="1F4E79"/>
          <w:sz w:val="22"/>
        </w:rPr>
      </w:pPr>
      <w:r>
        <w:rPr>
          <w:rFonts w:hint="eastAsia" w:ascii="微软雅黑" w:hAnsi="微软雅黑" w:eastAsia="微软雅黑"/>
          <w:b/>
          <w:bCs/>
          <w:color w:val="1F4E79"/>
          <w:sz w:val="22"/>
        </w:rPr>
        <w:t>第三部分：企业成本管控与年度经营计划模拟演练</w:t>
      </w:r>
    </w:p>
    <w:p>
      <w:pPr>
        <w:rPr>
          <w:rFonts w:ascii="微软雅黑" w:hAnsi="微软雅黑" w:eastAsia="微软雅黑"/>
          <w:b/>
          <w:bCs/>
          <w:color w:val="1F4E79"/>
          <w:sz w:val="22"/>
        </w:rPr>
      </w:pPr>
      <w:r>
        <w:rPr>
          <w:rFonts w:hint="eastAsia" w:ascii="微软雅黑" w:hAnsi="微软雅黑" w:eastAsia="微软雅黑"/>
          <w:b/>
          <w:bCs/>
          <w:color w:val="1F4E79"/>
          <w:sz w:val="22"/>
        </w:rPr>
        <w:t>通过模拟演练体验企业成本管控与利润管理的关键步骤：目标制订—经营计划—预算管理—落地实施。</w:t>
      </w:r>
    </w:p>
    <w:p>
      <w:pPr>
        <w:pStyle w:val="12"/>
        <w:numPr>
          <w:ilvl w:val="0"/>
          <w:numId w:val="4"/>
        </w:numPr>
        <w:ind w:firstLineChars="0"/>
        <w:rPr>
          <w:rFonts w:ascii="微软雅黑" w:hAnsi="微软雅黑" w:eastAsia="微软雅黑"/>
          <w:sz w:val="22"/>
        </w:rPr>
      </w:pPr>
      <w:r>
        <w:rPr>
          <w:rFonts w:hint="eastAsia" w:ascii="微软雅黑" w:hAnsi="微软雅黑" w:eastAsia="微软雅黑"/>
          <w:sz w:val="22"/>
        </w:rPr>
        <w:t>经营的过程中出现了什么问题</w:t>
      </w:r>
    </w:p>
    <w:p>
      <w:pPr>
        <w:pStyle w:val="12"/>
        <w:numPr>
          <w:ilvl w:val="0"/>
          <w:numId w:val="4"/>
        </w:numPr>
        <w:ind w:firstLineChars="0"/>
        <w:rPr>
          <w:rFonts w:ascii="微软雅黑" w:hAnsi="微软雅黑" w:eastAsia="微软雅黑"/>
          <w:sz w:val="22"/>
        </w:rPr>
      </w:pPr>
      <w:r>
        <w:rPr>
          <w:rFonts w:hint="eastAsia" w:ascii="微软雅黑" w:hAnsi="微软雅黑" w:eastAsia="微软雅黑"/>
          <w:sz w:val="22"/>
        </w:rPr>
        <w:t>为什么会亏损?为什么现金流断裂？</w:t>
      </w:r>
    </w:p>
    <w:p>
      <w:pPr>
        <w:pStyle w:val="12"/>
        <w:numPr>
          <w:ilvl w:val="0"/>
          <w:numId w:val="4"/>
        </w:numPr>
        <w:ind w:firstLineChars="0"/>
        <w:rPr>
          <w:rFonts w:ascii="微软雅黑" w:hAnsi="微软雅黑" w:eastAsia="微软雅黑"/>
          <w:sz w:val="22"/>
        </w:rPr>
      </w:pPr>
      <w:r>
        <w:rPr>
          <w:rFonts w:hint="eastAsia" w:ascii="微软雅黑" w:hAnsi="微软雅黑" w:eastAsia="微软雅黑"/>
          <w:sz w:val="22"/>
        </w:rPr>
        <w:t>企业目标是如何制订的</w:t>
      </w:r>
    </w:p>
    <w:p>
      <w:pPr>
        <w:pStyle w:val="12"/>
        <w:numPr>
          <w:ilvl w:val="0"/>
          <w:numId w:val="4"/>
        </w:numPr>
        <w:ind w:firstLineChars="0"/>
        <w:rPr>
          <w:rFonts w:ascii="微软雅黑" w:hAnsi="微软雅黑" w:eastAsia="微软雅黑"/>
          <w:sz w:val="22"/>
        </w:rPr>
      </w:pPr>
      <w:r>
        <w:rPr>
          <w:rFonts w:hint="eastAsia" w:ascii="微软雅黑" w:hAnsi="微软雅黑" w:eastAsia="微软雅黑"/>
          <w:sz w:val="22"/>
        </w:rPr>
        <w:t>实现年度目标的的关键是什么</w:t>
      </w:r>
    </w:p>
    <w:p>
      <w:pPr>
        <w:pStyle w:val="12"/>
        <w:numPr>
          <w:ilvl w:val="0"/>
          <w:numId w:val="4"/>
        </w:numPr>
        <w:ind w:firstLineChars="0"/>
        <w:rPr>
          <w:rFonts w:ascii="微软雅黑" w:hAnsi="微软雅黑" w:eastAsia="微软雅黑"/>
          <w:sz w:val="22"/>
        </w:rPr>
      </w:pPr>
      <w:r>
        <w:rPr>
          <w:rFonts w:hint="eastAsia" w:ascii="微软雅黑" w:hAnsi="微软雅黑" w:eastAsia="微软雅黑"/>
          <w:sz w:val="22"/>
        </w:rPr>
        <w:t>年度经营计划是否可行？资源能否支撑？</w:t>
      </w:r>
    </w:p>
    <w:p>
      <w:pPr>
        <w:pStyle w:val="12"/>
        <w:numPr>
          <w:ilvl w:val="0"/>
          <w:numId w:val="4"/>
        </w:numPr>
        <w:ind w:firstLineChars="0"/>
        <w:rPr>
          <w:rFonts w:ascii="微软雅黑" w:hAnsi="微软雅黑" w:eastAsia="微软雅黑"/>
          <w:sz w:val="22"/>
        </w:rPr>
      </w:pPr>
      <w:r>
        <w:rPr>
          <w:rFonts w:hint="eastAsia" w:ascii="微软雅黑" w:hAnsi="微软雅黑" w:eastAsia="微软雅黑"/>
          <w:sz w:val="22"/>
        </w:rPr>
        <w:t>企业预算的编制与实施有哪些关键</w:t>
      </w:r>
    </w:p>
    <w:p>
      <w:pPr>
        <w:rPr>
          <w:rFonts w:ascii="微软雅黑" w:hAnsi="微软雅黑" w:eastAsia="微软雅黑"/>
          <w:b/>
          <w:bCs/>
          <w:color w:val="1F4E79"/>
          <w:sz w:val="22"/>
        </w:rPr>
      </w:pPr>
      <w:r>
        <w:rPr>
          <w:rFonts w:hint="eastAsia" w:ascii="微软雅黑" w:hAnsi="微软雅黑" w:eastAsia="微软雅黑"/>
          <w:b/>
          <w:bCs/>
          <w:color w:val="1F4E79"/>
          <w:sz w:val="22"/>
        </w:rPr>
        <w:t>第四部分：预算具体编制方法和技巧与年度经营计划制订</w:t>
      </w:r>
    </w:p>
    <w:p>
      <w:pPr>
        <w:rPr>
          <w:rFonts w:ascii="微软雅黑" w:hAnsi="微软雅黑" w:eastAsia="微软雅黑"/>
          <w:b/>
          <w:bCs/>
          <w:color w:val="1F4E79"/>
          <w:sz w:val="22"/>
        </w:rPr>
      </w:pPr>
      <w:r>
        <w:rPr>
          <w:rFonts w:hint="eastAsia" w:ascii="微软雅黑" w:hAnsi="微软雅黑" w:eastAsia="微软雅黑"/>
          <w:b/>
          <w:bCs/>
          <w:color w:val="1F4E79"/>
          <w:sz w:val="22"/>
        </w:rPr>
        <w:t>一：总结回顾本年度目标执行情况</w:t>
      </w:r>
    </w:p>
    <w:p>
      <w:pPr>
        <w:pStyle w:val="7"/>
        <w:numPr>
          <w:ilvl w:val="0"/>
          <w:numId w:val="5"/>
        </w:numPr>
        <w:shd w:val="clear" w:color="auto" w:fill="FFFFFF"/>
        <w:spacing w:before="0" w:beforeAutospacing="0" w:after="0" w:afterAutospacing="0" w:line="360" w:lineRule="auto"/>
        <w:rPr>
          <w:color w:val="333333"/>
        </w:rPr>
      </w:pPr>
      <w:r>
        <w:rPr>
          <w:rFonts w:hint="eastAsia"/>
          <w:color w:val="333333"/>
        </w:rPr>
        <w:t>回顾本年度目标及分解目标</w:t>
      </w:r>
    </w:p>
    <w:p>
      <w:pPr>
        <w:pStyle w:val="7"/>
        <w:numPr>
          <w:ilvl w:val="0"/>
          <w:numId w:val="5"/>
        </w:numPr>
        <w:shd w:val="clear" w:color="auto" w:fill="FFFFFF"/>
        <w:spacing w:before="0" w:beforeAutospacing="0" w:after="0" w:afterAutospacing="0" w:line="360" w:lineRule="auto"/>
        <w:rPr>
          <w:color w:val="333333"/>
        </w:rPr>
      </w:pPr>
      <w:r>
        <w:rPr>
          <w:rFonts w:hint="eastAsia"/>
          <w:color w:val="333333"/>
        </w:rPr>
        <w:t>总结本年度预算执行过程中的亮点与不足</w:t>
      </w:r>
    </w:p>
    <w:p>
      <w:pPr>
        <w:pStyle w:val="7"/>
        <w:numPr>
          <w:ilvl w:val="0"/>
          <w:numId w:val="5"/>
        </w:numPr>
        <w:shd w:val="clear" w:color="auto" w:fill="FFFFFF"/>
        <w:spacing w:before="0" w:beforeAutospacing="0" w:after="0" w:afterAutospacing="0" w:line="360" w:lineRule="auto"/>
        <w:rPr>
          <w:color w:val="333333"/>
        </w:rPr>
      </w:pPr>
      <w:r>
        <w:rPr>
          <w:rFonts w:hint="eastAsia"/>
          <w:color w:val="333333"/>
        </w:rPr>
        <w:t>分析执行过程中的成功与失败的关键要素</w:t>
      </w:r>
    </w:p>
    <w:p>
      <w:pPr>
        <w:pStyle w:val="7"/>
        <w:numPr>
          <w:ilvl w:val="0"/>
          <w:numId w:val="5"/>
        </w:numPr>
        <w:shd w:val="clear" w:color="auto" w:fill="FFFFFF"/>
        <w:spacing w:before="0" w:beforeAutospacing="0" w:after="0" w:afterAutospacing="0" w:line="360" w:lineRule="auto"/>
        <w:rPr>
          <w:color w:val="333333"/>
        </w:rPr>
      </w:pPr>
      <w:r>
        <w:rPr>
          <w:rFonts w:hint="eastAsia"/>
          <w:color w:val="333333"/>
        </w:rPr>
        <w:t>总结经验、吸取教训、改正措施、增加举措，为明年预算管理奠定基础</w:t>
      </w:r>
    </w:p>
    <w:p>
      <w:pPr>
        <w:rPr>
          <w:rFonts w:ascii="微软雅黑" w:hAnsi="微软雅黑" w:eastAsia="微软雅黑"/>
          <w:b/>
          <w:bCs/>
          <w:color w:val="1F4E79"/>
          <w:sz w:val="22"/>
        </w:rPr>
      </w:pPr>
      <w:r>
        <w:rPr>
          <w:rFonts w:hint="eastAsia" w:ascii="微软雅黑" w:hAnsi="微软雅黑" w:eastAsia="微软雅黑"/>
          <w:b/>
          <w:bCs/>
          <w:color w:val="1F4E79"/>
          <w:sz w:val="22"/>
        </w:rPr>
        <w:t>二：年度目标的制订</w:t>
      </w:r>
    </w:p>
    <w:p>
      <w:pPr>
        <w:pStyle w:val="7"/>
        <w:numPr>
          <w:ilvl w:val="0"/>
          <w:numId w:val="6"/>
        </w:numPr>
        <w:shd w:val="clear" w:color="auto" w:fill="FFFFFF"/>
        <w:spacing w:before="0" w:beforeAutospacing="0" w:after="0" w:afterAutospacing="0" w:line="360" w:lineRule="auto"/>
        <w:rPr>
          <w:color w:val="333333"/>
        </w:rPr>
      </w:pPr>
      <w:r>
        <w:rPr>
          <w:rFonts w:hint="eastAsia"/>
          <w:color w:val="333333"/>
        </w:rPr>
        <w:t>确定公司或部门未来中长期目标（通常三到五年）</w:t>
      </w:r>
    </w:p>
    <w:p>
      <w:pPr>
        <w:pStyle w:val="7"/>
        <w:numPr>
          <w:ilvl w:val="0"/>
          <w:numId w:val="6"/>
        </w:numPr>
        <w:shd w:val="clear" w:color="auto" w:fill="FFFFFF"/>
        <w:spacing w:before="0" w:beforeAutospacing="0" w:after="0" w:afterAutospacing="0" w:line="360" w:lineRule="auto"/>
        <w:rPr>
          <w:color w:val="333333"/>
        </w:rPr>
      </w:pPr>
      <w:r>
        <w:rPr>
          <w:rFonts w:hint="eastAsia"/>
          <w:color w:val="333333"/>
        </w:rPr>
        <w:t>确定阶段性目标及明年短期经营目标</w:t>
      </w:r>
    </w:p>
    <w:p>
      <w:pPr>
        <w:pStyle w:val="7"/>
        <w:numPr>
          <w:ilvl w:val="0"/>
          <w:numId w:val="6"/>
        </w:numPr>
        <w:shd w:val="clear" w:color="auto" w:fill="FFFFFF"/>
        <w:spacing w:before="0" w:beforeAutospacing="0" w:after="0" w:afterAutospacing="0" w:line="360" w:lineRule="auto"/>
        <w:rPr>
          <w:color w:val="333333"/>
        </w:rPr>
      </w:pPr>
      <w:r>
        <w:rPr>
          <w:rFonts w:hint="eastAsia"/>
          <w:color w:val="333333"/>
        </w:rPr>
        <w:t>年度目标制订过程中应考虑的要素</w:t>
      </w:r>
    </w:p>
    <w:p>
      <w:pPr>
        <w:pStyle w:val="7"/>
        <w:numPr>
          <w:ilvl w:val="0"/>
          <w:numId w:val="6"/>
        </w:numPr>
        <w:shd w:val="clear" w:color="auto" w:fill="FFFFFF"/>
        <w:spacing w:before="0" w:beforeAutospacing="0" w:after="0" w:afterAutospacing="0" w:line="360" w:lineRule="auto"/>
        <w:rPr>
          <w:color w:val="333333"/>
        </w:rPr>
      </w:pPr>
      <w:r>
        <w:rPr>
          <w:rFonts w:hint="eastAsia"/>
          <w:color w:val="333333"/>
        </w:rPr>
        <w:t>年度经营目标的 SMART 原则</w:t>
      </w:r>
    </w:p>
    <w:p>
      <w:pPr>
        <w:pStyle w:val="7"/>
        <w:numPr>
          <w:ilvl w:val="0"/>
          <w:numId w:val="6"/>
        </w:numPr>
        <w:shd w:val="clear" w:color="auto" w:fill="FFFFFF"/>
        <w:spacing w:before="0" w:beforeAutospacing="0" w:after="0" w:afterAutospacing="0" w:line="360" w:lineRule="auto"/>
        <w:rPr>
          <w:color w:val="333333"/>
        </w:rPr>
      </w:pPr>
      <w:r>
        <w:rPr>
          <w:rFonts w:hint="eastAsia"/>
          <w:color w:val="333333"/>
        </w:rPr>
        <w:t>如何避免预算松弛与预算过度的问题</w:t>
      </w:r>
    </w:p>
    <w:p>
      <w:pPr>
        <w:rPr>
          <w:rFonts w:ascii="微软雅黑" w:hAnsi="微软雅黑" w:eastAsia="微软雅黑"/>
          <w:b/>
          <w:bCs/>
          <w:color w:val="1F4E79"/>
          <w:sz w:val="22"/>
        </w:rPr>
      </w:pPr>
      <w:r>
        <w:rPr>
          <w:rFonts w:hint="eastAsia" w:ascii="微软雅黑" w:hAnsi="微软雅黑" w:eastAsia="微软雅黑"/>
          <w:b/>
          <w:bCs/>
          <w:color w:val="1F4E79"/>
          <w:sz w:val="22"/>
        </w:rPr>
        <w:t>三：企业全面预算的编制流程</w:t>
      </w:r>
    </w:p>
    <w:p>
      <w:pPr>
        <w:pStyle w:val="7"/>
        <w:numPr>
          <w:ilvl w:val="0"/>
          <w:numId w:val="7"/>
        </w:numPr>
        <w:shd w:val="clear" w:color="auto" w:fill="FFFFFF"/>
        <w:spacing w:before="0" w:beforeAutospacing="0" w:after="0" w:afterAutospacing="0" w:line="360" w:lineRule="auto"/>
        <w:rPr>
          <w:color w:val="333333"/>
        </w:rPr>
      </w:pPr>
      <w:r>
        <w:rPr>
          <w:rFonts w:hint="eastAsia"/>
          <w:color w:val="333333"/>
        </w:rPr>
        <w:t>全面预算工作的时间安排</w:t>
      </w:r>
    </w:p>
    <w:p>
      <w:pPr>
        <w:pStyle w:val="7"/>
        <w:numPr>
          <w:ilvl w:val="0"/>
          <w:numId w:val="7"/>
        </w:numPr>
        <w:shd w:val="clear" w:color="auto" w:fill="FFFFFF"/>
        <w:spacing w:before="0" w:beforeAutospacing="0" w:after="0" w:afterAutospacing="0" w:line="360" w:lineRule="auto"/>
        <w:rPr>
          <w:color w:val="333333"/>
        </w:rPr>
      </w:pPr>
      <w:r>
        <w:rPr>
          <w:rFonts w:hint="eastAsia"/>
          <w:color w:val="333333"/>
        </w:rPr>
        <w:t>明确预算编制的责任主体</w:t>
      </w:r>
    </w:p>
    <w:p>
      <w:pPr>
        <w:pStyle w:val="7"/>
        <w:numPr>
          <w:ilvl w:val="0"/>
          <w:numId w:val="7"/>
        </w:numPr>
        <w:shd w:val="clear" w:color="auto" w:fill="FFFFFF"/>
        <w:spacing w:before="0" w:beforeAutospacing="0" w:after="0" w:afterAutospacing="0" w:line="360" w:lineRule="auto"/>
        <w:rPr>
          <w:color w:val="333333"/>
        </w:rPr>
      </w:pPr>
      <w:r>
        <w:rPr>
          <w:rFonts w:hint="eastAsia"/>
          <w:color w:val="333333"/>
        </w:rPr>
        <w:t>全面预算编制的12个步骤</w:t>
      </w:r>
    </w:p>
    <w:p>
      <w:pPr>
        <w:pStyle w:val="7"/>
        <w:numPr>
          <w:ilvl w:val="0"/>
          <w:numId w:val="7"/>
        </w:numPr>
        <w:shd w:val="clear" w:color="auto" w:fill="FFFFFF"/>
        <w:spacing w:before="0" w:beforeAutospacing="0" w:after="0" w:afterAutospacing="0" w:line="360" w:lineRule="auto"/>
        <w:rPr>
          <w:color w:val="333333"/>
        </w:rPr>
      </w:pPr>
      <w:r>
        <w:rPr>
          <w:rFonts w:hint="eastAsia"/>
          <w:color w:val="333333"/>
        </w:rPr>
        <w:t>全面预算编制的流程</w:t>
      </w:r>
    </w:p>
    <w:p>
      <w:pPr>
        <w:rPr>
          <w:rFonts w:ascii="微软雅黑" w:hAnsi="微软雅黑" w:eastAsia="微软雅黑"/>
          <w:b/>
          <w:bCs/>
          <w:color w:val="1F4E79"/>
          <w:sz w:val="22"/>
        </w:rPr>
      </w:pPr>
      <w:r>
        <w:rPr>
          <w:rFonts w:hint="eastAsia" w:ascii="微软雅黑" w:hAnsi="微软雅黑" w:eastAsia="微软雅黑"/>
          <w:b/>
          <w:bCs/>
          <w:color w:val="1F4E79"/>
          <w:sz w:val="22"/>
        </w:rPr>
        <w:t>四：年度经营计划制订的方法和工具</w:t>
      </w:r>
    </w:p>
    <w:p>
      <w:pPr>
        <w:pStyle w:val="7"/>
        <w:numPr>
          <w:ilvl w:val="0"/>
          <w:numId w:val="8"/>
        </w:numPr>
        <w:shd w:val="clear" w:color="auto" w:fill="FFFFFF"/>
        <w:spacing w:before="0" w:beforeAutospacing="0" w:after="0" w:afterAutospacing="0" w:line="360" w:lineRule="auto"/>
        <w:rPr>
          <w:color w:val="333333"/>
        </w:rPr>
      </w:pPr>
      <w:r>
        <w:rPr>
          <w:rFonts w:hint="eastAsia"/>
          <w:color w:val="333333"/>
        </w:rPr>
        <w:t>回顾上年度成功与失败要素的总结分析</w:t>
      </w:r>
    </w:p>
    <w:p>
      <w:pPr>
        <w:pStyle w:val="7"/>
        <w:numPr>
          <w:ilvl w:val="0"/>
          <w:numId w:val="8"/>
        </w:numPr>
        <w:shd w:val="clear" w:color="auto" w:fill="FFFFFF"/>
        <w:spacing w:before="0" w:beforeAutospacing="0" w:after="0" w:afterAutospacing="0" w:line="360" w:lineRule="auto"/>
        <w:rPr>
          <w:color w:val="333333"/>
        </w:rPr>
      </w:pPr>
      <w:r>
        <w:rPr>
          <w:rFonts w:hint="eastAsia"/>
          <w:color w:val="333333"/>
        </w:rPr>
        <w:t>明确各部门（责任单位）明年度目标</w:t>
      </w:r>
    </w:p>
    <w:p>
      <w:pPr>
        <w:pStyle w:val="7"/>
        <w:numPr>
          <w:ilvl w:val="0"/>
          <w:numId w:val="8"/>
        </w:numPr>
        <w:shd w:val="clear" w:color="auto" w:fill="FFFFFF"/>
        <w:spacing w:before="0" w:beforeAutospacing="0" w:after="0" w:afterAutospacing="0" w:line="360" w:lineRule="auto"/>
        <w:rPr>
          <w:color w:val="333333"/>
        </w:rPr>
      </w:pPr>
      <w:r>
        <w:rPr>
          <w:rFonts w:hint="eastAsia"/>
          <w:color w:val="333333"/>
        </w:rPr>
        <w:t>分析年度目标实现的障碍与机会（SWOT分析</w:t>
      </w:r>
      <w:r>
        <w:rPr>
          <w:color w:val="333333"/>
        </w:rPr>
        <w:t>）</w:t>
      </w:r>
    </w:p>
    <w:p>
      <w:pPr>
        <w:pStyle w:val="7"/>
        <w:numPr>
          <w:ilvl w:val="0"/>
          <w:numId w:val="8"/>
        </w:numPr>
        <w:shd w:val="clear" w:color="auto" w:fill="FFFFFF"/>
        <w:spacing w:before="0" w:beforeAutospacing="0" w:after="0" w:afterAutospacing="0" w:line="360" w:lineRule="auto"/>
        <w:rPr>
          <w:color w:val="333333"/>
        </w:rPr>
      </w:pPr>
      <w:r>
        <w:rPr>
          <w:rFonts w:hint="eastAsia"/>
          <w:color w:val="333333"/>
        </w:rPr>
        <w:t>制订明年度目标实现的关键策略</w:t>
      </w:r>
    </w:p>
    <w:p>
      <w:pPr>
        <w:pStyle w:val="7"/>
        <w:numPr>
          <w:ilvl w:val="0"/>
          <w:numId w:val="8"/>
        </w:numPr>
        <w:shd w:val="clear" w:color="auto" w:fill="FFFFFF"/>
        <w:spacing w:before="0" w:beforeAutospacing="0" w:after="0" w:afterAutospacing="0" w:line="360" w:lineRule="auto"/>
        <w:rPr>
          <w:color w:val="333333"/>
        </w:rPr>
      </w:pPr>
      <w:r>
        <w:rPr>
          <w:rFonts w:hint="eastAsia"/>
          <w:color w:val="333333"/>
        </w:rPr>
        <w:t>计划：关键策略实施时间、步骤及资源</w:t>
      </w:r>
    </w:p>
    <w:p>
      <w:pPr>
        <w:pStyle w:val="7"/>
        <w:numPr>
          <w:ilvl w:val="0"/>
          <w:numId w:val="8"/>
        </w:numPr>
        <w:shd w:val="clear" w:color="auto" w:fill="FFFFFF"/>
        <w:spacing w:before="0" w:beforeAutospacing="0" w:after="0" w:afterAutospacing="0" w:line="360" w:lineRule="auto"/>
        <w:rPr>
          <w:color w:val="333333"/>
        </w:rPr>
      </w:pPr>
      <w:r>
        <w:rPr>
          <w:rFonts w:hint="eastAsia"/>
          <w:color w:val="333333"/>
        </w:rPr>
        <w:t>评估各部门年度经营计划的可行性</w:t>
      </w:r>
    </w:p>
    <w:p>
      <w:pPr>
        <w:pStyle w:val="7"/>
        <w:numPr>
          <w:ilvl w:val="0"/>
          <w:numId w:val="8"/>
        </w:numPr>
        <w:shd w:val="clear" w:color="auto" w:fill="FFFFFF"/>
        <w:spacing w:before="0" w:beforeAutospacing="0" w:after="0" w:afterAutospacing="0" w:line="360" w:lineRule="auto"/>
        <w:rPr>
          <w:color w:val="333333"/>
        </w:rPr>
      </w:pPr>
      <w:r>
        <w:rPr>
          <w:rFonts w:hint="eastAsia"/>
          <w:color w:val="333333"/>
        </w:rPr>
        <w:t>确定各部门KPI指标和奖惩措施</w:t>
      </w:r>
    </w:p>
    <w:p>
      <w:pPr>
        <w:rPr>
          <w:rFonts w:ascii="微软雅黑" w:hAnsi="微软雅黑" w:eastAsia="微软雅黑"/>
          <w:b/>
          <w:bCs/>
          <w:color w:val="1F4E79"/>
          <w:sz w:val="22"/>
        </w:rPr>
      </w:pPr>
      <w:r>
        <w:rPr>
          <w:rFonts w:hint="eastAsia" w:ascii="微软雅黑" w:hAnsi="微软雅黑" w:eastAsia="微软雅黑"/>
          <w:b/>
          <w:bCs/>
          <w:color w:val="1F4E79"/>
          <w:sz w:val="22"/>
        </w:rPr>
        <w:t>五：年度预算的编制与执行</w:t>
      </w:r>
    </w:p>
    <w:p>
      <w:pPr>
        <w:pStyle w:val="7"/>
        <w:numPr>
          <w:ilvl w:val="0"/>
          <w:numId w:val="9"/>
        </w:numPr>
        <w:shd w:val="clear" w:color="auto" w:fill="FFFFFF"/>
        <w:spacing w:before="0" w:beforeAutospacing="0" w:after="0" w:afterAutospacing="0" w:line="360" w:lineRule="auto"/>
        <w:rPr>
          <w:color w:val="333333"/>
        </w:rPr>
      </w:pPr>
      <w:r>
        <w:rPr>
          <w:rFonts w:hint="eastAsia"/>
          <w:color w:val="333333"/>
        </w:rPr>
        <w:t>预算编制的六大方法</w:t>
      </w:r>
    </w:p>
    <w:p>
      <w:pPr>
        <w:pStyle w:val="7"/>
        <w:numPr>
          <w:ilvl w:val="0"/>
          <w:numId w:val="9"/>
        </w:numPr>
        <w:shd w:val="clear" w:color="auto" w:fill="FFFFFF"/>
        <w:spacing w:before="0" w:beforeAutospacing="0" w:after="0" w:afterAutospacing="0" w:line="360" w:lineRule="auto"/>
        <w:rPr>
          <w:color w:val="333333"/>
        </w:rPr>
      </w:pPr>
      <w:r>
        <w:rPr>
          <w:rFonts w:hint="eastAsia"/>
          <w:color w:val="333333"/>
        </w:rPr>
        <w:t>预算</w:t>
      </w:r>
      <w:r>
        <w:rPr>
          <w:color w:val="333333"/>
        </w:rPr>
        <w:t>编制的</w:t>
      </w:r>
      <w:r>
        <w:rPr>
          <w:rFonts w:hint="eastAsia"/>
          <w:color w:val="333333"/>
        </w:rPr>
        <w:t>三</w:t>
      </w:r>
      <w:r>
        <w:rPr>
          <w:color w:val="333333"/>
        </w:rPr>
        <w:t>种模式</w:t>
      </w:r>
    </w:p>
    <w:p>
      <w:pPr>
        <w:pStyle w:val="7"/>
        <w:numPr>
          <w:ilvl w:val="0"/>
          <w:numId w:val="9"/>
        </w:numPr>
        <w:shd w:val="clear" w:color="auto" w:fill="FFFFFF"/>
        <w:spacing w:before="0" w:beforeAutospacing="0" w:after="0" w:afterAutospacing="0" w:line="360" w:lineRule="auto"/>
        <w:rPr>
          <w:color w:val="333333"/>
        </w:rPr>
      </w:pPr>
      <w:r>
        <w:rPr>
          <w:rFonts w:hint="eastAsia"/>
          <w:color w:val="333333"/>
        </w:rPr>
        <w:t>各部门根据销售年度目标、经营计划编制年度预算</w:t>
      </w:r>
    </w:p>
    <w:p>
      <w:pPr>
        <w:pStyle w:val="7"/>
        <w:numPr>
          <w:ilvl w:val="0"/>
          <w:numId w:val="9"/>
        </w:numPr>
        <w:shd w:val="clear" w:color="auto" w:fill="FFFFFF"/>
        <w:spacing w:before="0" w:beforeAutospacing="0" w:after="0" w:afterAutospacing="0" w:line="360" w:lineRule="auto"/>
        <w:rPr>
          <w:color w:val="333333"/>
        </w:rPr>
      </w:pPr>
      <w:r>
        <w:rPr>
          <w:rFonts w:hint="eastAsia"/>
          <w:color w:val="333333"/>
        </w:rPr>
        <w:t>预算的执行及存在问题分析</w:t>
      </w:r>
    </w:p>
    <w:p>
      <w:pPr>
        <w:pStyle w:val="7"/>
        <w:numPr>
          <w:ilvl w:val="0"/>
          <w:numId w:val="9"/>
        </w:numPr>
        <w:shd w:val="clear" w:color="auto" w:fill="FFFFFF"/>
        <w:spacing w:before="0" w:beforeAutospacing="0" w:after="0" w:afterAutospacing="0" w:line="360" w:lineRule="auto"/>
        <w:rPr>
          <w:color w:val="333333"/>
        </w:rPr>
      </w:pPr>
      <w:r>
        <w:rPr>
          <w:rFonts w:hint="eastAsia"/>
          <w:color w:val="333333"/>
        </w:rPr>
        <w:t>预算反馈与分析</w:t>
      </w:r>
    </w:p>
    <w:p>
      <w:pPr>
        <w:pStyle w:val="12"/>
        <w:numPr>
          <w:ilvl w:val="0"/>
          <w:numId w:val="9"/>
        </w:numPr>
        <w:ind w:firstLineChars="0"/>
        <w:rPr>
          <w:rFonts w:ascii="宋体" w:hAnsi="宋体" w:eastAsia="宋体" w:cs="宋体"/>
          <w:color w:val="333333"/>
          <w:kern w:val="0"/>
          <w:sz w:val="24"/>
          <w:szCs w:val="24"/>
        </w:rPr>
      </w:pPr>
      <w:r>
        <w:rPr>
          <w:rFonts w:hint="eastAsia" w:ascii="宋体" w:hAnsi="宋体" w:eastAsia="宋体" w:cs="宋体"/>
          <w:color w:val="333333"/>
          <w:kern w:val="0"/>
          <w:sz w:val="24"/>
          <w:szCs w:val="24"/>
        </w:rPr>
        <w:t>预算调整的程序与方法</w:t>
      </w:r>
    </w:p>
    <w:p>
      <w:pPr>
        <w:pStyle w:val="7"/>
        <w:numPr>
          <w:ilvl w:val="0"/>
          <w:numId w:val="9"/>
        </w:numPr>
        <w:shd w:val="clear" w:color="auto" w:fill="FFFFFF"/>
        <w:spacing w:before="0" w:beforeAutospacing="0" w:after="0" w:afterAutospacing="0" w:line="360" w:lineRule="auto"/>
        <w:rPr>
          <w:color w:val="333333"/>
        </w:rPr>
      </w:pPr>
      <w:r>
        <w:rPr>
          <w:rFonts w:hint="eastAsia"/>
          <w:color w:val="333333"/>
        </w:rPr>
        <w:t>具体预算编制实例演示</w:t>
      </w:r>
    </w:p>
    <w:p>
      <w:pPr>
        <w:adjustRightInd w:val="0"/>
        <w:snapToGrid w:val="0"/>
        <w:spacing w:line="460" w:lineRule="exact"/>
        <w:jc w:val="both"/>
        <w:rPr>
          <w:rFonts w:ascii="微软雅黑" w:hAnsi="微软雅黑" w:eastAsia="微软雅黑" w:cs="微软雅黑"/>
          <w:b/>
          <w:color w:val="000000"/>
          <w:sz w:val="24"/>
          <w:szCs w:val="24"/>
        </w:rPr>
      </w:pPr>
      <w:bookmarkStart w:id="1" w:name="_Hlk330364"/>
    </w:p>
    <w:p>
      <w:pPr>
        <w:spacing w:line="360" w:lineRule="auto"/>
        <w:jc w:val="center"/>
        <w:rPr>
          <w:rFonts w:ascii="隶书" w:eastAsia="隶书"/>
          <w:b/>
          <w:spacing w:val="20"/>
          <w:sz w:val="44"/>
          <w:szCs w:val="44"/>
        </w:rPr>
      </w:pPr>
      <w:bookmarkStart w:id="2" w:name="OLE_LINK9"/>
      <w:bookmarkStart w:id="3" w:name="OLE_LINK8"/>
      <w:bookmarkStart w:id="4" w:name="OLE_LINK12"/>
      <w:bookmarkStart w:id="5" w:name="OLE_LINK13"/>
      <w:bookmarkStart w:id="6" w:name="OLE_LINK16"/>
      <w:bookmarkStart w:id="7" w:name="OLE_LINK11"/>
      <w:bookmarkStart w:id="8" w:name="OLE_LINK4"/>
      <w:bookmarkStart w:id="9" w:name="OLE_LINK10"/>
      <w:bookmarkStart w:id="10" w:name="OLE_LINK6"/>
      <w:bookmarkStart w:id="11" w:name="OLE_LINK5"/>
      <w:bookmarkStart w:id="12" w:name="OLE_LINK7"/>
      <w:bookmarkStart w:id="13" w:name="OLE_LINK14"/>
      <w:bookmarkStart w:id="14" w:name="OLE_LINK15"/>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-85725</wp:posOffset>
                </wp:positionV>
                <wp:extent cx="5248275" cy="498475"/>
                <wp:effectExtent l="0" t="0" r="85725" b="7302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248275" cy="498475"/>
                        </a:xfrm>
                        <a:prstGeom prst="rect">
                          <a:avLst/>
                        </a:prstGeom>
                        <a:gradFill rotWithShape="1">
                          <a:gsLst>
                            <a:gs pos="0">
                              <a:srgbClr val="333399">
                                <a:gamma/>
                                <a:tint val="63529"/>
                                <a:invGamma/>
                              </a:srgbClr>
                            </a:gs>
                            <a:gs pos="100000">
                              <a:srgbClr val="333399"/>
                            </a:gs>
                          </a:gsLst>
                          <a:lin ang="0" scaled="1"/>
                        </a:gradFill>
                        <a:ln>
                          <a:noFill/>
                        </a:ln>
                        <a:effectLst>
                          <a:outerShdw dist="107763" dir="2700000" algn="ctr" rotWithShape="0">
                            <a:srgbClr val="808080">
                              <a:alpha val="50000"/>
                            </a:srgbClr>
                          </a:outerShdw>
                        </a:effectLst>
                      </wps:spPr>
                      <wps:txbx>
                        <w:txbxContent>
                          <w:p>
                            <w:pPr>
                              <w:spacing w:line="360" w:lineRule="auto"/>
                              <w:jc w:val="center"/>
                              <w:rPr>
                                <w:rFonts w:ascii="黑体" w:eastAsia="黑体"/>
                                <w:b/>
                                <w:color w:val="FFFFFF"/>
                                <w:sz w:val="24"/>
                              </w:rPr>
                            </w:pPr>
                            <w:r>
                              <w:rPr>
                                <w:rFonts w:hint="eastAsia" w:ascii="黑体" w:eastAsia="黑体"/>
                                <w:b/>
                                <w:color w:val="FFFFFF"/>
                                <w:spacing w:val="20"/>
                                <w:sz w:val="44"/>
                                <w:szCs w:val="44"/>
                              </w:rPr>
                              <w:t>黄老师介绍</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6.75pt;height:39.25pt;width:413.25pt;mso-position-horizontal:left;mso-position-horizontal-relative:margin;z-index:251659264;mso-width-relative:page;mso-height-relative:page;" fillcolor="#7D7DBE" filled="t" stroked="f" coordsize="21600,21600" o:gfxdata="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B7QIrjWAAAABwEAAA8AAAAAAAAAAQAgAAAAIgAA&#10;AGRycy9kb3ducmV2LnhtbFBLAQIUABQAAAAIAIdO4kDrOLDFtQIAAJUFAAAOAAAAAAAAAAEAIAAA&#10;ACUBAABkcnMvZTJvRG9jLnhtbFBLBQYAAAAABgAGAFkBAABMBgAAAAA=&#10;">
                <v:fill type="gradient" on="t" color2="#333399" angle="90" focus="100%" focussize="0,0" rotate="t"/>
                <v:stroke on="f"/>
                <v:imagedata o:title=""/>
                <o:lock v:ext="edit" aspectratio="f"/>
                <v:shadow on="t" color="#808080" opacity="32768f" offset="6pt,6pt" origin="0f,0f" matrix="65536f,0f,0f,65536f"/>
                <v:textbox>
                  <w:txbxContent>
                    <w:p>
                      <w:pPr>
                        <w:spacing w:line="360" w:lineRule="auto"/>
                        <w:jc w:val="center"/>
                        <w:rPr>
                          <w:rFonts w:ascii="黑体" w:eastAsia="黑体"/>
                          <w:b/>
                          <w:color w:val="FFFFFF"/>
                          <w:sz w:val="24"/>
                        </w:rPr>
                      </w:pPr>
                      <w:r>
                        <w:rPr>
                          <w:rFonts w:hint="eastAsia" w:ascii="黑体" w:eastAsia="黑体"/>
                          <w:b/>
                          <w:color w:val="FFFFFF"/>
                          <w:spacing w:val="20"/>
                          <w:sz w:val="44"/>
                          <w:szCs w:val="44"/>
                        </w:rPr>
                        <w:t>黄老师介绍</w:t>
                      </w:r>
                    </w:p>
                  </w:txbxContent>
                </v:textbox>
              </v:rect>
            </w:pict>
          </mc:Fallback>
        </mc:AlternateContent>
      </w:r>
    </w:p>
    <w:p>
      <w:pPr>
        <w:pStyle w:val="6"/>
        <w:spacing w:line="350" w:lineRule="exact"/>
        <w:ind w:left="166" w:leftChars="15" w:hanging="135" w:hangingChars="64"/>
        <w:rPr>
          <w:rFonts w:hint="eastAsia" w:ascii="宋体" w:hAnsi="宋体"/>
          <w:b/>
          <w:color w:val="FF0000"/>
          <w:szCs w:val="21"/>
          <w:shd w:val="pct10" w:color="auto" w:fill="FFFFFF"/>
        </w:rPr>
      </w:pPr>
    </w:p>
    <w:p>
      <w:pPr>
        <w:pStyle w:val="6"/>
        <w:spacing w:line="350" w:lineRule="exact"/>
        <w:ind w:left="166" w:leftChars="15" w:hanging="135" w:hangingChars="64"/>
        <w:rPr>
          <w:rFonts w:ascii="宋体" w:hAnsi="宋体"/>
          <w:b/>
          <w:bCs/>
          <w:szCs w:val="21"/>
          <w:shd w:val="pct10" w:color="auto" w:fill="FFFFFF"/>
        </w:rPr>
      </w:pPr>
      <w:r>
        <w:rPr>
          <w:rFonts w:hint="eastAsia" w:ascii="宋体" w:hAnsi="宋体"/>
          <w:b/>
          <w:color w:val="FF0000"/>
          <w:szCs w:val="21"/>
          <w:shd w:val="pct10" w:color="auto" w:fill="FFFFFF"/>
        </w:rPr>
        <w:t>教育/培训背景:</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r>
        <w:rPr>
          <w:rFonts w:ascii="宋体" w:hAnsi="宋体"/>
          <w:b/>
          <w:color w:val="FF0000"/>
          <w:szCs w:val="21"/>
          <w:shd w:val="pct10" w:color="auto" w:fill="FFFFFF"/>
        </w:rPr>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1292225" cy="1720215"/>
            <wp:effectExtent l="0" t="0" r="3175" b="0"/>
            <wp:wrapSquare wrapText="bothSides"/>
            <wp:docPr id="3" name="图片 3" descr="C:\Users\黄生\AppData\Local\Temp\15359818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黄生\AppData\Local\Temp\1535981899(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92225" cy="1720215"/>
                    </a:xfrm>
                    <a:prstGeom prst="rect">
                      <a:avLst/>
                    </a:prstGeom>
                    <a:noFill/>
                    <a:ln>
                      <a:noFill/>
                    </a:ln>
                  </pic:spPr>
                </pic:pic>
              </a:graphicData>
            </a:graphic>
          </wp:anchor>
        </w:drawing>
      </w:r>
      <w:r>
        <w:rPr>
          <w:rFonts w:hint="eastAsia" w:ascii="微软雅黑" w:hAnsi="微软雅黑" w:eastAsia="微软雅黑"/>
          <w:sz w:val="21"/>
          <w:szCs w:val="21"/>
          <w:lang w:eastAsia="zh-CN"/>
        </w:rPr>
        <w:t>财务管理实战专家；</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中国注册会计师</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bookmarkStart w:id="15" w:name="_GoBack"/>
      <w:bookmarkEnd w:id="15"/>
      <w:r>
        <w:rPr>
          <w:rFonts w:hint="eastAsia" w:ascii="微软雅黑" w:hAnsi="微软雅黑" w:eastAsia="微软雅黑"/>
          <w:sz w:val="21"/>
          <w:szCs w:val="21"/>
          <w:lang w:eastAsia="zh-CN"/>
        </w:rPr>
        <w:t>中国</w:t>
      </w:r>
      <w:r>
        <w:rPr>
          <w:rFonts w:ascii="微软雅黑" w:hAnsi="微软雅黑" w:eastAsia="微软雅黑"/>
          <w:sz w:val="21"/>
          <w:szCs w:val="21"/>
          <w:lang w:eastAsia="zh-CN"/>
        </w:rPr>
        <w:t>总会计</w:t>
      </w:r>
      <w:r>
        <w:rPr>
          <w:rFonts w:hint="eastAsia" w:ascii="微软雅黑" w:hAnsi="微软雅黑" w:eastAsia="微软雅黑"/>
          <w:sz w:val="21"/>
          <w:szCs w:val="21"/>
          <w:lang w:eastAsia="zh-CN"/>
        </w:rPr>
        <w:t>师</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国际</w:t>
      </w:r>
      <w:r>
        <w:rPr>
          <w:rFonts w:ascii="微软雅黑" w:hAnsi="微软雅黑" w:eastAsia="微软雅黑"/>
          <w:sz w:val="21"/>
          <w:szCs w:val="21"/>
          <w:lang w:eastAsia="zh-CN"/>
        </w:rPr>
        <w:t>会计</w:t>
      </w:r>
      <w:r>
        <w:rPr>
          <w:rFonts w:hint="eastAsia" w:ascii="微软雅黑" w:hAnsi="微软雅黑" w:eastAsia="微软雅黑"/>
          <w:sz w:val="21"/>
          <w:szCs w:val="21"/>
          <w:lang w:eastAsia="zh-CN"/>
        </w:rPr>
        <w:t>师</w:t>
      </w:r>
    </w:p>
    <w:p>
      <w:pPr>
        <w:pStyle w:val="6"/>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工作背景</w:t>
      </w:r>
      <w:r>
        <w:rPr>
          <w:rFonts w:ascii="宋体" w:hAnsi="宋体"/>
          <w:b/>
          <w:color w:val="FF0000"/>
          <w:szCs w:val="21"/>
          <w:shd w:val="pct10" w:color="auto" w:fill="FFFFFF"/>
        </w:rPr>
        <w:t>：</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西南财经大学经济管理学院  特聘讲师</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北京大学、清华大学研修院总裁班  特聘讲师</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聚成华企商学院、时代</w:t>
      </w:r>
      <w:r>
        <w:rPr>
          <w:rFonts w:ascii="微软雅黑" w:hAnsi="微软雅黑" w:eastAsia="微软雅黑"/>
          <w:sz w:val="21"/>
          <w:szCs w:val="21"/>
          <w:lang w:eastAsia="zh-CN"/>
        </w:rPr>
        <w:t>光华商学院</w:t>
      </w:r>
      <w:r>
        <w:rPr>
          <w:rFonts w:hint="eastAsia" w:ascii="微软雅黑" w:hAnsi="微软雅黑" w:eastAsia="微软雅黑"/>
          <w:sz w:val="21"/>
          <w:szCs w:val="21"/>
          <w:lang w:eastAsia="zh-CN"/>
        </w:rPr>
        <w:t xml:space="preserve">  特</w:t>
      </w:r>
      <w:r>
        <w:rPr>
          <w:rFonts w:ascii="微软雅黑" w:hAnsi="微软雅黑" w:eastAsia="微软雅黑"/>
          <w:sz w:val="21"/>
          <w:szCs w:val="21"/>
          <w:lang w:eastAsia="zh-CN"/>
        </w:rPr>
        <w:t>聘讲师</w:t>
      </w:r>
    </w:p>
    <w:p>
      <w:pPr>
        <w:pStyle w:val="15"/>
        <w:widowControl w:val="0"/>
        <w:numPr>
          <w:ilvl w:val="0"/>
          <w:numId w:val="0"/>
        </w:numPr>
        <w:spacing w:afterLines="0" w:line="350" w:lineRule="exact"/>
        <w:ind w:left="100" w:leftChars="0" w:right="210" w:rightChars="0" w:firstLine="42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全国会计专业技术资格考试辅导主讲讲师；广东省创意产业协会财税咨询师；</w:t>
      </w:r>
      <w:r>
        <w:rPr>
          <w:rFonts w:ascii="微软雅黑" w:hAnsi="微软雅黑" w:eastAsia="微软雅黑"/>
          <w:sz w:val="21"/>
          <w:szCs w:val="21"/>
          <w:lang w:eastAsia="zh-CN"/>
        </w:rPr>
        <w:t xml:space="preserve"> </w:t>
      </w:r>
    </w:p>
    <w:p>
      <w:pPr>
        <w:pStyle w:val="15"/>
        <w:numPr>
          <w:ilvl w:val="0"/>
          <w:numId w:val="0"/>
        </w:numPr>
        <w:spacing w:afterLines="0" w:line="350" w:lineRule="exact"/>
        <w:ind w:left="100" w:leftChars="0" w:right="210" w:rightChars="100" w:firstLine="420" w:firstLineChars="0"/>
        <w:rPr>
          <w:rFonts w:ascii="微软雅黑" w:hAnsi="微软雅黑" w:eastAsia="微软雅黑"/>
          <w:sz w:val="21"/>
          <w:szCs w:val="21"/>
          <w:lang w:eastAsia="zh-CN"/>
        </w:rPr>
      </w:pPr>
      <w:r>
        <w:rPr>
          <w:rFonts w:hint="eastAsia" w:ascii="微软雅黑" w:hAnsi="微软雅黑" w:eastAsia="微软雅黑"/>
          <w:sz w:val="21"/>
          <w:szCs w:val="21"/>
          <w:lang w:eastAsia="zh-CN"/>
        </w:rPr>
        <w:t>黄道雄老师从事财务管理领域多年，曾就职于中科光电控股集团、牛商股份、逸马国际等，历任财务主管、财务经理、财务总监、副总裁等职，拥有20年以上的企业运营、财务管理经验，精通财务管理咨询及纳税筹划、企业内部控制制度设计等，具有扎实的财务功底和深厚的经验积淀。研发出企业业绩管控模式、企业盈利模式、成本倍减、应账款管控、存货管控、营运资本管控等一套有效的运营管控工具，并提炼出简明易懂的管理理念，如销售至上、收款第一的账款控制理念；库存就是负债、呆滞就是损失库存管理理念，从而帮助企业形成的健康良性控制文化。黄道雄老师为国内多家企业提供过成本管控、预算管理等财税咨询辅导项目，帮助企业改变财务价值观念，健全财务价值管理及考核系统，提升企业利润。</w:t>
      </w:r>
    </w:p>
    <w:p>
      <w:pPr>
        <w:pStyle w:val="6"/>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擅长培训:</w:t>
      </w:r>
    </w:p>
    <w:p>
      <w:pPr>
        <w:pStyle w:val="6"/>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01-《非财务经理的财务管理》、02-《财务思维与经营管理》、03-《企业财务报表分析与风险管理》</w:t>
      </w:r>
    </w:p>
    <w:p>
      <w:pPr>
        <w:pStyle w:val="6"/>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04-《企业全面预算管理》、05-《企业</w:t>
      </w:r>
      <w:r>
        <w:rPr>
          <w:rFonts w:ascii="微软雅黑" w:hAnsi="微软雅黑" w:eastAsia="微软雅黑"/>
          <w:szCs w:val="21"/>
        </w:rPr>
        <w:t>成本</w:t>
      </w:r>
      <w:r>
        <w:rPr>
          <w:rFonts w:hint="eastAsia" w:ascii="微软雅黑" w:hAnsi="微软雅黑" w:eastAsia="微软雅黑"/>
          <w:szCs w:val="21"/>
        </w:rPr>
        <w:t>分析与</w:t>
      </w:r>
      <w:r>
        <w:rPr>
          <w:rFonts w:ascii="微软雅黑" w:hAnsi="微软雅黑" w:eastAsia="微软雅黑"/>
          <w:szCs w:val="21"/>
        </w:rPr>
        <w:t>控制</w:t>
      </w:r>
      <w:r>
        <w:rPr>
          <w:rFonts w:hint="eastAsia" w:ascii="微软雅黑" w:hAnsi="微软雅黑" w:eastAsia="微软雅黑"/>
          <w:szCs w:val="21"/>
        </w:rPr>
        <w:t>》、06-《利润为导向的财务管控模式》</w:t>
      </w:r>
    </w:p>
    <w:p>
      <w:pPr>
        <w:pStyle w:val="6"/>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07-《银行</w:t>
      </w:r>
      <w:r>
        <w:rPr>
          <w:rFonts w:ascii="微软雅黑" w:hAnsi="微软雅黑" w:eastAsia="微软雅黑"/>
          <w:szCs w:val="21"/>
        </w:rPr>
        <w:t>信贷财务报表分析</w:t>
      </w:r>
      <w:r>
        <w:rPr>
          <w:rFonts w:hint="eastAsia" w:ascii="微软雅黑" w:hAnsi="微软雅黑" w:eastAsia="微软雅黑"/>
          <w:szCs w:val="21"/>
        </w:rPr>
        <w:t>与舞弊识别》08-《企业经营与财务管理沙盘模拟演练》</w:t>
      </w:r>
    </w:p>
    <w:p>
      <w:pPr>
        <w:pStyle w:val="6"/>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w:t>
      </w:r>
      <w:r>
        <w:rPr>
          <w:rFonts w:ascii="微软雅黑" w:hAnsi="微软雅黑" w:eastAsia="微软雅黑"/>
          <w:szCs w:val="21"/>
        </w:rPr>
        <w:t>9</w:t>
      </w:r>
      <w:r>
        <w:rPr>
          <w:rFonts w:hint="eastAsia" w:ascii="微软雅黑" w:hAnsi="微软雅黑" w:eastAsia="微软雅黑"/>
          <w:szCs w:val="21"/>
        </w:rPr>
        <w:t>-《企业成本管控与预算管理沙盘实战演练》</w:t>
      </w:r>
    </w:p>
    <w:p>
      <w:pPr>
        <w:pStyle w:val="6"/>
        <w:spacing w:line="350" w:lineRule="exact"/>
        <w:ind w:left="585" w:leftChars="215" w:hanging="134" w:hangingChars="64"/>
        <w:rPr>
          <w:rFonts w:ascii="微软雅黑" w:hAnsi="微软雅黑" w:eastAsia="微软雅黑"/>
          <w:szCs w:val="21"/>
        </w:rPr>
      </w:pPr>
    </w:p>
    <w:p>
      <w:pPr>
        <w:pStyle w:val="6"/>
        <w:spacing w:line="350" w:lineRule="exact"/>
        <w:ind w:left="585" w:leftChars="215" w:hanging="134" w:hangingChars="64"/>
        <w:rPr>
          <w:rFonts w:ascii="微软雅黑" w:hAnsi="微软雅黑" w:eastAsia="微软雅黑"/>
          <w:szCs w:val="21"/>
        </w:rPr>
      </w:pPr>
    </w:p>
    <w:p>
      <w:pPr>
        <w:pStyle w:val="6"/>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授课风格：</w:t>
      </w:r>
    </w:p>
    <w:p>
      <w:pPr>
        <w:pStyle w:val="3"/>
        <w:spacing w:line="350" w:lineRule="exact"/>
        <w:ind w:left="359" w:leftChars="171"/>
        <w:rPr>
          <w:rFonts w:ascii="微软雅黑" w:hAnsi="微软雅黑" w:eastAsia="微软雅黑" w:cs="Times New Roman"/>
        </w:rPr>
      </w:pPr>
      <w:r>
        <w:rPr>
          <w:rFonts w:hint="eastAsia" w:ascii="微软雅黑" w:hAnsi="微软雅黑" w:eastAsia="微软雅黑" w:cs="Times New Roman"/>
        </w:rPr>
        <w:t>黄</w:t>
      </w:r>
      <w:r>
        <w:rPr>
          <w:rFonts w:ascii="微软雅黑" w:hAnsi="微软雅黑" w:eastAsia="微软雅黑" w:cs="Times New Roman"/>
        </w:rPr>
        <w:t>老师扎实的财务理论知识与丰富实践经验的有效结合，形成了他严谨、清晰、实用、生动的</w:t>
      </w:r>
      <w:r>
        <w:rPr>
          <w:rFonts w:hint="eastAsia" w:ascii="微软雅黑" w:hAnsi="微软雅黑" w:eastAsia="微软雅黑" w:cs="Times New Roman"/>
        </w:rPr>
        <w:t>授课</w:t>
      </w:r>
      <w:r>
        <w:rPr>
          <w:rFonts w:ascii="微软雅黑" w:hAnsi="微软雅黑" w:eastAsia="微软雅黑" w:cs="Times New Roman"/>
        </w:rPr>
        <w:t>风格</w:t>
      </w:r>
      <w:r>
        <w:rPr>
          <w:rFonts w:hint="eastAsia" w:ascii="微软雅黑" w:hAnsi="微软雅黑" w:eastAsia="微软雅黑" w:cs="Times New Roman"/>
        </w:rPr>
        <w:t>；</w:t>
      </w:r>
      <w:r>
        <w:rPr>
          <w:rFonts w:ascii="微软雅黑" w:hAnsi="微软雅黑" w:eastAsia="微软雅黑" w:cs="Times New Roman"/>
        </w:rPr>
        <w:t>将课程专业性和趣味性并重，理论和实践紧密结合，将财务管理和战略、经营管理融为一体。课程深入浅出，风格新颖、活跃，视角独到，内容充实缜密，一贯受到</w:t>
      </w:r>
      <w:r>
        <w:rPr>
          <w:rFonts w:hint="eastAsia" w:ascii="微软雅黑" w:hAnsi="微软雅黑" w:eastAsia="微软雅黑" w:cs="Times New Roman"/>
        </w:rPr>
        <w:t>学员</w:t>
      </w:r>
      <w:r>
        <w:rPr>
          <w:rFonts w:ascii="微软雅黑" w:hAnsi="微软雅黑" w:eastAsia="微软雅黑" w:cs="Times New Roman"/>
        </w:rPr>
        <w:t>的高度赞扬。</w:t>
      </w:r>
    </w:p>
    <w:p>
      <w:pPr>
        <w:pStyle w:val="6"/>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部分客户：</w:t>
      </w:r>
    </w:p>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350" w:lineRule="exact"/>
        <w:rPr>
          <w:rFonts w:ascii="宋体" w:hAnsi="宋体" w:cs="宋体"/>
          <w:bCs/>
          <w:color w:val="000000"/>
          <w:sz w:val="24"/>
          <w:szCs w:val="24"/>
        </w:rPr>
      </w:pPr>
      <w:r>
        <w:rPr>
          <w:rFonts w:hint="eastAsia" w:ascii="微软雅黑" w:hAnsi="微软雅黑" w:eastAsia="微软雅黑"/>
          <w:szCs w:val="21"/>
        </w:rPr>
        <w:t>宝武集团、华侨城集团、格力电器、西部航空、丰田汽车、东风集团、五粮液、中烟集团、中国中车、华厦幸福、长城科技、山东重工、维</w:t>
      </w:r>
      <w:r>
        <w:rPr>
          <w:rFonts w:ascii="微软雅黑" w:hAnsi="微软雅黑" w:eastAsia="微软雅黑"/>
          <w:szCs w:val="21"/>
        </w:rPr>
        <w:t>柴动力</w:t>
      </w:r>
      <w:r>
        <w:rPr>
          <w:rFonts w:hint="eastAsia" w:ascii="微软雅黑" w:hAnsi="微软雅黑" w:eastAsia="微软雅黑"/>
          <w:szCs w:val="21"/>
        </w:rPr>
        <w:t>、玉</w:t>
      </w:r>
      <w:r>
        <w:rPr>
          <w:rFonts w:ascii="微软雅黑" w:hAnsi="微软雅黑" w:eastAsia="微软雅黑"/>
          <w:szCs w:val="21"/>
        </w:rPr>
        <w:t>柴动力</w:t>
      </w:r>
      <w:r>
        <w:rPr>
          <w:rFonts w:hint="eastAsia" w:ascii="微软雅黑" w:hAnsi="微软雅黑" w:eastAsia="微软雅黑"/>
          <w:szCs w:val="21"/>
        </w:rPr>
        <w:t>、中国石化、中</w:t>
      </w:r>
      <w:r>
        <w:rPr>
          <w:rFonts w:ascii="微软雅黑" w:hAnsi="微软雅黑" w:eastAsia="微软雅黑"/>
          <w:szCs w:val="21"/>
        </w:rPr>
        <w:t>国电信</w:t>
      </w:r>
      <w:r>
        <w:rPr>
          <w:rFonts w:hint="eastAsia" w:ascii="微软雅黑" w:hAnsi="微软雅黑" w:eastAsia="微软雅黑"/>
          <w:szCs w:val="21"/>
        </w:rPr>
        <w:t>、中</w:t>
      </w:r>
      <w:r>
        <w:rPr>
          <w:rFonts w:ascii="微软雅黑" w:hAnsi="微软雅黑" w:eastAsia="微软雅黑"/>
          <w:szCs w:val="21"/>
        </w:rPr>
        <w:t>国</w:t>
      </w:r>
      <w:r>
        <w:rPr>
          <w:rFonts w:hint="eastAsia" w:ascii="微软雅黑" w:hAnsi="微软雅黑" w:eastAsia="微软雅黑"/>
          <w:szCs w:val="21"/>
        </w:rPr>
        <w:t>移动、中</w:t>
      </w:r>
      <w:r>
        <w:rPr>
          <w:rFonts w:ascii="微软雅黑" w:hAnsi="微软雅黑" w:eastAsia="微软雅黑"/>
          <w:szCs w:val="21"/>
        </w:rPr>
        <w:t>国联通</w:t>
      </w:r>
      <w:r>
        <w:rPr>
          <w:rFonts w:hint="eastAsia" w:ascii="微软雅黑" w:hAnsi="微软雅黑" w:eastAsia="微软雅黑"/>
          <w:szCs w:val="21"/>
        </w:rPr>
        <w:t>、中国网通、中</w:t>
      </w:r>
      <w:r>
        <w:rPr>
          <w:rFonts w:ascii="微软雅黑" w:hAnsi="微软雅黑" w:eastAsia="微软雅黑"/>
          <w:szCs w:val="21"/>
        </w:rPr>
        <w:t>国通信产</w:t>
      </w:r>
      <w:r>
        <w:rPr>
          <w:rFonts w:hint="eastAsia" w:ascii="微软雅黑" w:hAnsi="微软雅黑" w:eastAsia="微软雅黑"/>
          <w:szCs w:val="21"/>
        </w:rPr>
        <w:t>业</w:t>
      </w:r>
      <w:r>
        <w:rPr>
          <w:rFonts w:ascii="微软雅黑" w:hAnsi="微软雅黑" w:eastAsia="微软雅黑"/>
          <w:szCs w:val="21"/>
        </w:rPr>
        <w:t>服务公司</w:t>
      </w:r>
      <w:r>
        <w:rPr>
          <w:rFonts w:hint="eastAsia" w:ascii="微软雅黑" w:hAnsi="微软雅黑" w:eastAsia="微软雅黑"/>
          <w:szCs w:val="21"/>
        </w:rPr>
        <w:t>、广东省电信工程有限公司、青海黄河电力投资公司、粤海中粤、湖北电力设备、湖北工建、山东比德文电动车有限公司 、西南财经大学经济管理学院、北京大学研究</w:t>
      </w:r>
      <w:r>
        <w:rPr>
          <w:rFonts w:ascii="微软雅黑" w:hAnsi="微软雅黑" w:eastAsia="微软雅黑"/>
          <w:szCs w:val="21"/>
        </w:rPr>
        <w:t>院</w:t>
      </w:r>
      <w:r>
        <w:rPr>
          <w:rFonts w:hint="eastAsia" w:ascii="微软雅黑" w:hAnsi="微软雅黑" w:eastAsia="微软雅黑"/>
          <w:szCs w:val="21"/>
        </w:rPr>
        <w:t>、清华研究院、中</w:t>
      </w:r>
      <w:r>
        <w:rPr>
          <w:rFonts w:ascii="微软雅黑" w:hAnsi="微软雅黑" w:eastAsia="微软雅黑"/>
          <w:szCs w:val="21"/>
        </w:rPr>
        <w:t>原大地传媒</w:t>
      </w:r>
      <w:r>
        <w:rPr>
          <w:rFonts w:hint="eastAsia" w:ascii="微软雅黑" w:hAnsi="微软雅黑" w:eastAsia="微软雅黑"/>
          <w:szCs w:val="21"/>
        </w:rPr>
        <w:t>、中</w:t>
      </w:r>
      <w:r>
        <w:rPr>
          <w:rFonts w:ascii="微软雅黑" w:hAnsi="微软雅黑" w:eastAsia="微软雅黑"/>
          <w:szCs w:val="21"/>
        </w:rPr>
        <w:t>国电力投资集团</w:t>
      </w:r>
      <w:r>
        <w:rPr>
          <w:rFonts w:hint="eastAsia" w:ascii="微软雅黑" w:hAnsi="微软雅黑" w:eastAsia="微软雅黑"/>
          <w:szCs w:val="21"/>
        </w:rPr>
        <w:t>、大博医疗、神州数码、默克雪兰诺、保利协鑫、麦田科技、水妮亚贸易、杰洛集团、平安保险、世图教育、立邦涂料、日立建机、东方通信、浪潮集团、上实投资、中国纺织进出口、新华制药、卡斯谩诺、深圳会计进修学院、爱华培训、赣冠培训、科讯培训、创意产业协会、连企网、企汇网、一品轩食品、景旺电子、中原地产（深圳）、艾美特电器（深圳）、绪光集团、永和大王、山重租赁有限公司、华润万家、飞来发航空服务、松泽化妆品、美联物业、百胜餐饮、嘉乐源餐饮、迪迪集团、远益科技（深圳）、环宇仁和塑胶电子、伟发塑胶玩具、隆原（深圳）机电贸易、偶凯（深圳）电子科技有限公司、超宇兴科技公司、富昌兴电子、鸿胜公益制品、四川财政局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细黑">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63D9F"/>
    <w:multiLevelType w:val="multilevel"/>
    <w:tmpl w:val="1B263D9F"/>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9CD4CC6"/>
    <w:multiLevelType w:val="multilevel"/>
    <w:tmpl w:val="29CD4CC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ED14965"/>
    <w:multiLevelType w:val="multilevel"/>
    <w:tmpl w:val="2ED149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9943F9"/>
    <w:multiLevelType w:val="multilevel"/>
    <w:tmpl w:val="2F9943F9"/>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4">
    <w:nsid w:val="32A93C5C"/>
    <w:multiLevelType w:val="multilevel"/>
    <w:tmpl w:val="32A93C5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3EA359A"/>
    <w:multiLevelType w:val="multilevel"/>
    <w:tmpl w:val="43EA359A"/>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6">
    <w:nsid w:val="6D4836C7"/>
    <w:multiLevelType w:val="multilevel"/>
    <w:tmpl w:val="6D4836C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4C61FB1"/>
    <w:multiLevelType w:val="multilevel"/>
    <w:tmpl w:val="74C61FB1"/>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7CC215E"/>
    <w:multiLevelType w:val="multilevel"/>
    <w:tmpl w:val="77CC215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2"/>
  </w:num>
  <w:num w:numId="2">
    <w:abstractNumId w:val="5"/>
  </w:num>
  <w:num w:numId="3">
    <w:abstractNumId w:val="3"/>
  </w:num>
  <w:num w:numId="4">
    <w:abstractNumId w:val="8"/>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ZTY3ZWExNWMzOTkwNTZkMTk0MzY3M2NlZTI0ZDkifQ=="/>
  </w:docVars>
  <w:rsids>
    <w:rsidRoot w:val="005F0297"/>
    <w:rsid w:val="00006B9C"/>
    <w:rsid w:val="0004773A"/>
    <w:rsid w:val="00067B02"/>
    <w:rsid w:val="00076094"/>
    <w:rsid w:val="000A0600"/>
    <w:rsid w:val="000B17A0"/>
    <w:rsid w:val="000D2799"/>
    <w:rsid w:val="000F333C"/>
    <w:rsid w:val="000F6C8E"/>
    <w:rsid w:val="00100DDD"/>
    <w:rsid w:val="00112DA4"/>
    <w:rsid w:val="00130A77"/>
    <w:rsid w:val="00176C5B"/>
    <w:rsid w:val="001B363C"/>
    <w:rsid w:val="001B3A49"/>
    <w:rsid w:val="001D177F"/>
    <w:rsid w:val="001D2672"/>
    <w:rsid w:val="001D685A"/>
    <w:rsid w:val="001E7709"/>
    <w:rsid w:val="001F2B51"/>
    <w:rsid w:val="001F3B5E"/>
    <w:rsid w:val="0020750F"/>
    <w:rsid w:val="0021448A"/>
    <w:rsid w:val="00224796"/>
    <w:rsid w:val="002946A1"/>
    <w:rsid w:val="002C70FB"/>
    <w:rsid w:val="002E041F"/>
    <w:rsid w:val="002F5AE4"/>
    <w:rsid w:val="00327318"/>
    <w:rsid w:val="00331399"/>
    <w:rsid w:val="00350F99"/>
    <w:rsid w:val="003530E3"/>
    <w:rsid w:val="0036747F"/>
    <w:rsid w:val="003D2493"/>
    <w:rsid w:val="003E28A5"/>
    <w:rsid w:val="003E2D56"/>
    <w:rsid w:val="003E7EF3"/>
    <w:rsid w:val="003F679D"/>
    <w:rsid w:val="00413107"/>
    <w:rsid w:val="00430316"/>
    <w:rsid w:val="004426DC"/>
    <w:rsid w:val="00454ADB"/>
    <w:rsid w:val="004600A8"/>
    <w:rsid w:val="00462F16"/>
    <w:rsid w:val="004C2A51"/>
    <w:rsid w:val="004F75AA"/>
    <w:rsid w:val="00524204"/>
    <w:rsid w:val="00531798"/>
    <w:rsid w:val="00556689"/>
    <w:rsid w:val="0055758E"/>
    <w:rsid w:val="00581D8E"/>
    <w:rsid w:val="00596E5F"/>
    <w:rsid w:val="005973A3"/>
    <w:rsid w:val="005C2979"/>
    <w:rsid w:val="005C3045"/>
    <w:rsid w:val="005D3E28"/>
    <w:rsid w:val="005D677E"/>
    <w:rsid w:val="005F0297"/>
    <w:rsid w:val="005F496C"/>
    <w:rsid w:val="00600B1B"/>
    <w:rsid w:val="00646CB1"/>
    <w:rsid w:val="00650BA1"/>
    <w:rsid w:val="006B3B56"/>
    <w:rsid w:val="006B4F1B"/>
    <w:rsid w:val="006E1ADA"/>
    <w:rsid w:val="006F3D99"/>
    <w:rsid w:val="006F55A3"/>
    <w:rsid w:val="00706C69"/>
    <w:rsid w:val="0073233B"/>
    <w:rsid w:val="0078690E"/>
    <w:rsid w:val="007A37EE"/>
    <w:rsid w:val="007A4316"/>
    <w:rsid w:val="007B3352"/>
    <w:rsid w:val="007C1E96"/>
    <w:rsid w:val="007C3B95"/>
    <w:rsid w:val="007F6E05"/>
    <w:rsid w:val="0080197B"/>
    <w:rsid w:val="008053B0"/>
    <w:rsid w:val="00816272"/>
    <w:rsid w:val="00823A22"/>
    <w:rsid w:val="008367FE"/>
    <w:rsid w:val="00840846"/>
    <w:rsid w:val="0084236F"/>
    <w:rsid w:val="008459CC"/>
    <w:rsid w:val="00857D2F"/>
    <w:rsid w:val="008723E5"/>
    <w:rsid w:val="0087641C"/>
    <w:rsid w:val="008A06AA"/>
    <w:rsid w:val="008F2298"/>
    <w:rsid w:val="008F6D99"/>
    <w:rsid w:val="009078E7"/>
    <w:rsid w:val="0091392A"/>
    <w:rsid w:val="00926F2B"/>
    <w:rsid w:val="00943E6A"/>
    <w:rsid w:val="0094423B"/>
    <w:rsid w:val="0094495F"/>
    <w:rsid w:val="0095603B"/>
    <w:rsid w:val="00956B76"/>
    <w:rsid w:val="0097465C"/>
    <w:rsid w:val="00A02A81"/>
    <w:rsid w:val="00A15949"/>
    <w:rsid w:val="00A8499B"/>
    <w:rsid w:val="00AD4F0C"/>
    <w:rsid w:val="00B061D3"/>
    <w:rsid w:val="00B53B51"/>
    <w:rsid w:val="00B56D09"/>
    <w:rsid w:val="00B92BDC"/>
    <w:rsid w:val="00BD49C0"/>
    <w:rsid w:val="00C05B6C"/>
    <w:rsid w:val="00CA2BDF"/>
    <w:rsid w:val="00CB3E24"/>
    <w:rsid w:val="00CB5BCF"/>
    <w:rsid w:val="00D03F42"/>
    <w:rsid w:val="00D20C95"/>
    <w:rsid w:val="00D214B6"/>
    <w:rsid w:val="00D3517A"/>
    <w:rsid w:val="00D567FC"/>
    <w:rsid w:val="00D73DB0"/>
    <w:rsid w:val="00D81968"/>
    <w:rsid w:val="00DA1E1E"/>
    <w:rsid w:val="00DA356D"/>
    <w:rsid w:val="00DC25B9"/>
    <w:rsid w:val="00DC7FEA"/>
    <w:rsid w:val="00DF2A72"/>
    <w:rsid w:val="00E37D99"/>
    <w:rsid w:val="00E5405A"/>
    <w:rsid w:val="00E72AAC"/>
    <w:rsid w:val="00E76DBD"/>
    <w:rsid w:val="00EC790E"/>
    <w:rsid w:val="00EE36AC"/>
    <w:rsid w:val="00F044B0"/>
    <w:rsid w:val="00F04952"/>
    <w:rsid w:val="00F63B07"/>
    <w:rsid w:val="00FD3754"/>
    <w:rsid w:val="00FD3D3C"/>
    <w:rsid w:val="00FE379C"/>
    <w:rsid w:val="00FE76D8"/>
    <w:rsid w:val="4CDA3541"/>
    <w:rsid w:val="68AC2FE0"/>
    <w:rsid w:val="6CD6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semiHidden/>
    <w:unhideWhenUsed/>
    <w:qFormat/>
    <w:uiPriority w:val="99"/>
    <w:pPr>
      <w:spacing w:after="120"/>
      <w:ind w:left="420" w:leftChars="200"/>
    </w:pPr>
  </w:style>
  <w:style w:type="paragraph" w:styleId="3">
    <w:name w:val="Plain Text"/>
    <w:basedOn w:val="1"/>
    <w:link w:val="13"/>
    <w:qFormat/>
    <w:uiPriority w:val="0"/>
    <w:rPr>
      <w:rFonts w:ascii="宋体" w:hAnsi="Courier New" w:eastAsia="宋体" w:cs="Courier New"/>
      <w:szCs w:val="21"/>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4"/>
    <w:qFormat/>
    <w:uiPriority w:val="0"/>
    <w:pPr>
      <w:spacing w:line="400" w:lineRule="exact"/>
      <w:ind w:left="59" w:leftChars="28" w:firstLine="420" w:firstLineChars="200"/>
    </w:pPr>
    <w:rPr>
      <w:rFonts w:ascii="Times New Roman" w:hAnsi="Times New Roman" w:eastAsia="宋体" w:cs="Times New Roman"/>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apple-converted-space"/>
    <w:basedOn w:val="9"/>
    <w:qFormat/>
    <w:uiPriority w:val="0"/>
  </w:style>
  <w:style w:type="paragraph" w:styleId="12">
    <w:name w:val="List Paragraph"/>
    <w:basedOn w:val="1"/>
    <w:qFormat/>
    <w:uiPriority w:val="34"/>
    <w:pPr>
      <w:ind w:firstLine="420" w:firstLineChars="200"/>
    </w:pPr>
  </w:style>
  <w:style w:type="character" w:customStyle="1" w:styleId="13">
    <w:name w:val="纯文本 字符"/>
    <w:basedOn w:val="9"/>
    <w:link w:val="3"/>
    <w:qFormat/>
    <w:uiPriority w:val="0"/>
    <w:rPr>
      <w:rFonts w:ascii="宋体" w:hAnsi="Courier New" w:eastAsia="宋体" w:cs="Courier New"/>
      <w:szCs w:val="21"/>
    </w:rPr>
  </w:style>
  <w:style w:type="character" w:customStyle="1" w:styleId="14">
    <w:name w:val="正文文本缩进 3 字符"/>
    <w:basedOn w:val="9"/>
    <w:link w:val="6"/>
    <w:qFormat/>
    <w:uiPriority w:val="0"/>
    <w:rPr>
      <w:rFonts w:ascii="Times New Roman" w:hAnsi="Times New Roman" w:eastAsia="宋体" w:cs="Times New Roman"/>
      <w:szCs w:val="20"/>
    </w:rPr>
  </w:style>
  <w:style w:type="paragraph" w:customStyle="1" w:styleId="15">
    <w:name w:val="列出段落1"/>
    <w:basedOn w:val="1"/>
    <w:qFormat/>
    <w:uiPriority w:val="99"/>
    <w:pPr>
      <w:widowControl/>
      <w:spacing w:afterLines="50"/>
      <w:ind w:left="100" w:leftChars="100" w:right="100" w:rightChars="100" w:firstLine="420" w:firstLineChars="200"/>
      <w:jc w:val="left"/>
    </w:pPr>
    <w:rPr>
      <w:rFonts w:ascii="Arial Unicode MS" w:hAnsi="Arial Unicode MS" w:eastAsia="PMingLiU" w:cs="Times New Roman"/>
      <w:sz w:val="24"/>
      <w:szCs w:val="20"/>
      <w:lang w:eastAsia="zh-TW"/>
    </w:rPr>
  </w:style>
  <w:style w:type="character" w:customStyle="1" w:styleId="16">
    <w:name w:val="页眉 字符"/>
    <w:basedOn w:val="9"/>
    <w:link w:val="5"/>
    <w:qFormat/>
    <w:uiPriority w:val="99"/>
    <w:rPr>
      <w:sz w:val="18"/>
      <w:szCs w:val="18"/>
    </w:rPr>
  </w:style>
  <w:style w:type="character" w:customStyle="1" w:styleId="17">
    <w:name w:val="页脚 字符"/>
    <w:basedOn w:val="9"/>
    <w:link w:val="4"/>
    <w:qFormat/>
    <w:uiPriority w:val="99"/>
    <w:rPr>
      <w:sz w:val="18"/>
      <w:szCs w:val="18"/>
    </w:rPr>
  </w:style>
  <w:style w:type="character" w:customStyle="1" w:styleId="18">
    <w:name w:val="正文文本缩进 字符"/>
    <w:basedOn w:val="9"/>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2793</Words>
  <Characters>2823</Characters>
  <Lines>20</Lines>
  <Paragraphs>5</Paragraphs>
  <TotalTime>54</TotalTime>
  <ScaleCrop>false</ScaleCrop>
  <LinksUpToDate>false</LinksUpToDate>
  <CharactersWithSpaces>2836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2022-12-07T20:43:00Z</dcterms:created>
  <dc:creator>Sky123.Org</dc:creator>
  <cp:lastModifiedBy>诺达名师-蒋老师18188609073</cp:lastModifiedBy>
  <dcterms:modified xsi:type="dcterms:W3CDTF">2023-01-06T08:27:48Z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D2711EFCE6084D588E90494C8F53E181</vt:lpwstr>
  </property>
</Properties>
</file>