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宋体" w:hAnsi="宋体" w:eastAsia="宋体" w:cs="宋体"/>
          <w:b/>
          <w:color w:val="1F4E79"/>
          <w:sz w:val="32"/>
          <w:szCs w:val="32"/>
        </w:rPr>
      </w:pPr>
      <w:r>
        <w:rPr>
          <w:rFonts w:hint="eastAsia" w:ascii="宋体" w:hAnsi="宋体" w:eastAsia="宋体" w:cs="宋体"/>
          <w:b/>
          <w:color w:val="1F4E79"/>
          <w:sz w:val="32"/>
          <w:szCs w:val="32"/>
          <w:lang w:val="en-US"/>
        </w:rPr>
        <w:t>固本控流——现金流高效管理</w:t>
      </w:r>
    </w:p>
    <w:p>
      <w:pPr>
        <w:spacing w:line="480" w:lineRule="exact"/>
        <w:rPr>
          <w:rFonts w:ascii="宋体" w:hAnsi="宋体" w:eastAsia="宋体" w:cs="宋体"/>
          <w:b/>
          <w:color w:val="1F4E79"/>
          <w:sz w:val="24"/>
          <w:szCs w:val="24"/>
        </w:rPr>
      </w:pPr>
    </w:p>
    <w:p>
      <w:pPr>
        <w:spacing w:line="480" w:lineRule="exact"/>
        <w:rPr>
          <w:rFonts w:ascii="宋体" w:hAnsi="宋体" w:eastAsia="宋体" w:cs="宋体"/>
          <w:b/>
          <w:color w:val="1F4E79"/>
          <w:sz w:val="24"/>
          <w:szCs w:val="24"/>
        </w:rPr>
      </w:pPr>
      <w:r>
        <w:rPr>
          <w:rFonts w:hint="eastAsia" w:ascii="宋体" w:hAnsi="宋体" w:eastAsia="宋体" w:cs="宋体"/>
          <w:b/>
          <w:color w:val="1F4E79"/>
          <w:sz w:val="24"/>
          <w:szCs w:val="24"/>
        </w:rPr>
        <w:t>课程背景：</w:t>
      </w:r>
    </w:p>
    <w:p>
      <w:pPr>
        <w:spacing w:line="480" w:lineRule="exact"/>
        <w:ind w:firstLine="720" w:firstLineChars="300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如果把企业比作一个人，那么资产负债表就构成了企业的骨架，利润表形成了肌肉，而现金流就如同血液之于人体，在循环运转中维系着企业的生命。一个企业可以没有利润，但现金流却不能断，越是在危机时刻，越是考验企业管理者对现金流的驾驭能力。新冠疫情这只黑天鹅并未飞远，疫情之下一些原本看似运转良好的企业因实际能力欠佳，终未避免资金链断裂的窘境以倒闭惨淡收场，让人不禁唏嘘，甚至连一向现金流良好的餐饮业知名企业如西贝，都因出现了资金问题而宣称只能支撑3个月。后疫情时期，企业应该如何管理现金流，成为了企业管理者必修的课程内容。</w:t>
      </w:r>
    </w:p>
    <w:p>
      <w:pPr>
        <w:spacing w:line="480" w:lineRule="exact"/>
        <w:ind w:firstLine="720" w:firstLineChars="300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本节课力求让听课者能全方位了解现金流的管理方法，从“开源”和“节流”两方面详细列出具体问题并逐一拆解给出应对措施。抓紧资金进出两端，结合五百强实战案例阐述“全程管理、全节点把控”的理念，帮听课者搭建起整体的现金流架构，梳理建立立体框架思维，从而达到灵学活用的效果。</w:t>
      </w:r>
    </w:p>
    <w:p>
      <w:pPr>
        <w:spacing w:line="480" w:lineRule="exact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rPr>
          <w:rFonts w:ascii="宋体" w:hAnsi="宋体" w:eastAsia="宋体" w:cs="宋体"/>
          <w:b/>
          <w:color w:val="1F4E79"/>
          <w:sz w:val="24"/>
          <w:szCs w:val="24"/>
        </w:rPr>
      </w:pPr>
      <w:r>
        <w:rPr>
          <w:rFonts w:hint="eastAsia" w:ascii="宋体" w:hAnsi="宋体" w:eastAsia="宋体" w:cs="宋体"/>
          <w:b/>
          <w:color w:val="1F4E79"/>
          <w:sz w:val="24"/>
          <w:szCs w:val="24"/>
        </w:rPr>
        <w:t>课程收益：</w:t>
      </w:r>
    </w:p>
    <w:p>
      <w:pPr>
        <w:spacing w:line="480" w:lineRule="exact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●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掌握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现金流管理中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全流程控制的关键点，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抓准关键点优化现金流管理控制；</w:t>
      </w:r>
    </w:p>
    <w:p>
      <w:pPr>
        <w:spacing w:line="480" w:lineRule="exact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●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梳理现金流管理各环节遇到的问题及相应处理方法，搭建“开源”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与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“节流”现金流治理框架；</w:t>
      </w:r>
    </w:p>
    <w:p>
      <w:pPr>
        <w:spacing w:line="480" w:lineRule="exact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●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以干货形式让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听课者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掌握科学的现金管理方法，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引用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丰富的案例，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灵学活用到工作中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spacing w:line="480" w:lineRule="exact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●</w:t>
      </w:r>
      <w:bookmarkStart w:id="0" w:name="_GoBack"/>
      <w:bookmarkEnd w:id="0"/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掌握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从传统的核算会计的理念，升级到管理会计层面的思维逻辑。</w:t>
      </w:r>
    </w:p>
    <w:p>
      <w:pPr>
        <w:spacing w:line="480" w:lineRule="exact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rPr>
          <w:rFonts w:ascii="宋体" w:hAnsi="宋体" w:eastAsia="宋体" w:cs="宋体"/>
          <w:b/>
          <w:color w:val="1F4E79"/>
          <w:sz w:val="24"/>
          <w:szCs w:val="24"/>
        </w:rPr>
      </w:pPr>
      <w:r>
        <w:rPr>
          <w:rFonts w:hint="eastAsia" w:ascii="宋体" w:hAnsi="宋体" w:eastAsia="宋体" w:cs="宋体"/>
          <w:b/>
          <w:color w:val="1F4E79"/>
          <w:sz w:val="24"/>
          <w:szCs w:val="24"/>
        </w:rPr>
        <w:t>课程特色：</w:t>
      </w:r>
    </w:p>
    <w:p>
      <w:pPr>
        <w:spacing w:line="48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☆</w:t>
      </w:r>
      <w:r>
        <w:rPr>
          <w:rFonts w:hint="eastAsia" w:ascii="宋体" w:hAnsi="宋体" w:eastAsia="宋体" w:cs="宋体"/>
          <w:sz w:val="24"/>
          <w:szCs w:val="24"/>
          <w:lang w:val="en-US"/>
        </w:rPr>
        <w:t xml:space="preserve"> </w:t>
      </w:r>
      <w:r>
        <w:rPr>
          <w:rFonts w:hint="eastAsia" w:ascii="宋体" w:hAnsi="宋体" w:eastAsia="宋体" w:cs="宋体"/>
          <w:b/>
          <w:sz w:val="24"/>
          <w:szCs w:val="24"/>
        </w:rPr>
        <w:t>讲师讲解：</w:t>
      </w:r>
      <w:r>
        <w:rPr>
          <w:rFonts w:hint="eastAsia" w:ascii="宋体" w:hAnsi="宋体" w:eastAsia="宋体" w:cs="宋体"/>
          <w:sz w:val="24"/>
          <w:szCs w:val="24"/>
        </w:rPr>
        <w:t>通过逻辑缜密、深入浅出的讲解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及丰富案例的</w:t>
      </w:r>
      <w:r>
        <w:rPr>
          <w:rFonts w:hint="eastAsia" w:ascii="宋体" w:hAnsi="宋体" w:eastAsia="宋体" w:cs="宋体"/>
          <w:sz w:val="24"/>
          <w:szCs w:val="24"/>
        </w:rPr>
        <w:t>演绎让学员充分理解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知识点，掌握现金流管理技能</w:t>
      </w:r>
      <w:r>
        <w:rPr>
          <w:rFonts w:hint="eastAsia" w:ascii="宋体" w:hAnsi="宋体" w:eastAsia="宋体" w:cs="宋体"/>
          <w:sz w:val="24"/>
          <w:szCs w:val="24"/>
        </w:rPr>
        <w:t>；</w:t>
      </w:r>
    </w:p>
    <w:p>
      <w:pPr>
        <w:spacing w:line="480" w:lineRule="exact"/>
        <w:rPr>
          <w:rFonts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</w:rPr>
        <w:t>☆</w:t>
      </w:r>
      <w:r>
        <w:rPr>
          <w:rFonts w:hint="eastAsia" w:ascii="宋体" w:hAnsi="宋体" w:eastAsia="宋体" w:cs="宋体"/>
          <w:sz w:val="24"/>
          <w:szCs w:val="24"/>
          <w:lang w:val="en-US"/>
        </w:rPr>
        <w:t xml:space="preserve"> </w:t>
      </w:r>
      <w:r>
        <w:rPr>
          <w:rFonts w:hint="eastAsia" w:ascii="宋体" w:hAnsi="宋体" w:eastAsia="宋体" w:cs="宋体"/>
          <w:b/>
          <w:sz w:val="24"/>
          <w:szCs w:val="24"/>
        </w:rPr>
        <w:t>形式多样：</w:t>
      </w:r>
      <w:r>
        <w:rPr>
          <w:rFonts w:hint="eastAsia" w:ascii="宋体" w:hAnsi="宋体" w:eastAsia="宋体" w:cs="宋体"/>
          <w:sz w:val="24"/>
          <w:szCs w:val="24"/>
        </w:rPr>
        <w:t>培训采取课堂集中培训的形式进行通过课堂讲述、短片播放、图片展示、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实战</w:t>
      </w:r>
      <w:r>
        <w:rPr>
          <w:rFonts w:hint="eastAsia" w:ascii="宋体" w:hAnsi="宋体" w:eastAsia="宋体" w:cs="宋体"/>
          <w:sz w:val="24"/>
          <w:szCs w:val="24"/>
        </w:rPr>
        <w:t>案例分析等方式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使</w:t>
      </w:r>
      <w:r>
        <w:rPr>
          <w:rFonts w:hint="eastAsia" w:ascii="宋体" w:hAnsi="宋体" w:eastAsia="宋体" w:cs="宋体"/>
          <w:sz w:val="24"/>
          <w:szCs w:val="24"/>
        </w:rPr>
        <w:t>学员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能轻松直观地掌握知识，易于理解且记忆牢固；</w:t>
      </w:r>
    </w:p>
    <w:p>
      <w:pPr>
        <w:spacing w:line="480" w:lineRule="exact"/>
        <w:rPr>
          <w:rFonts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</w:rPr>
        <w:t>☆</w:t>
      </w:r>
      <w:r>
        <w:rPr>
          <w:rFonts w:hint="eastAsia" w:ascii="宋体" w:hAnsi="宋体" w:eastAsia="宋体" w:cs="宋体"/>
          <w:sz w:val="24"/>
          <w:szCs w:val="24"/>
          <w:lang w:val="en-US"/>
        </w:rPr>
        <w:t xml:space="preserve"> </w:t>
      </w:r>
      <w:r>
        <w:rPr>
          <w:rFonts w:hint="eastAsia" w:ascii="宋体" w:hAnsi="宋体" w:eastAsia="宋体" w:cs="宋体"/>
          <w:b/>
          <w:sz w:val="24"/>
          <w:szCs w:val="24"/>
          <w:lang w:val="en-US"/>
        </w:rPr>
        <w:t>模拟</w:t>
      </w:r>
      <w:r>
        <w:rPr>
          <w:rFonts w:hint="eastAsia" w:ascii="宋体" w:hAnsi="宋体" w:eastAsia="宋体" w:cs="宋体"/>
          <w:b/>
          <w:sz w:val="24"/>
          <w:szCs w:val="24"/>
        </w:rPr>
        <w:t>演练：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学员能灵学活用所学知识，将课堂知识内化形成一套自我的“财务管理思维体系”，使其课后能用于其岗位贡献，为企业创造价值。</w:t>
      </w:r>
    </w:p>
    <w:p>
      <w:pPr>
        <w:spacing w:line="480" w:lineRule="exact"/>
        <w:rPr>
          <w:rFonts w:ascii="宋体" w:hAnsi="宋体" w:eastAsia="宋体" w:cs="宋体"/>
          <w:sz w:val="24"/>
          <w:szCs w:val="24"/>
          <w:lang w:val="en-US"/>
        </w:rPr>
      </w:pPr>
    </w:p>
    <w:p>
      <w:pPr>
        <w:spacing w:line="48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color w:val="1F4E79"/>
          <w:sz w:val="24"/>
          <w:szCs w:val="24"/>
        </w:rPr>
        <w:t>课程时间：</w:t>
      </w:r>
      <w:r>
        <w:rPr>
          <w:rFonts w:hint="eastAsia" w:ascii="宋体" w:hAnsi="宋体" w:eastAsia="宋体" w:cs="宋体"/>
          <w:sz w:val="24"/>
          <w:szCs w:val="24"/>
        </w:rPr>
        <w:t>2天，6小时/天</w:t>
      </w:r>
    </w:p>
    <w:p>
      <w:pPr>
        <w:spacing w:line="480" w:lineRule="exact"/>
        <w:rPr>
          <w:rFonts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color w:val="1F4E79"/>
          <w:sz w:val="24"/>
          <w:szCs w:val="24"/>
        </w:rPr>
        <w:t>课程对象：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财务高级经理、财务经理、财务主管</w:t>
      </w:r>
    </w:p>
    <w:p>
      <w:pPr>
        <w:spacing w:line="480" w:lineRule="exac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color w:val="1F4E79"/>
          <w:sz w:val="24"/>
          <w:szCs w:val="24"/>
        </w:rPr>
        <w:t>课程方式：</w:t>
      </w:r>
      <w:r>
        <w:rPr>
          <w:rFonts w:hint="eastAsia" w:ascii="宋体" w:hAnsi="宋体" w:eastAsia="宋体" w:cs="宋体"/>
          <w:sz w:val="24"/>
          <w:szCs w:val="24"/>
        </w:rPr>
        <w:t>讲师讲授+案例分析+视频互动+情景模拟+实操演练</w:t>
      </w:r>
    </w:p>
    <w:p>
      <w:pPr>
        <w:pStyle w:val="3"/>
        <w:spacing w:line="480" w:lineRule="exact"/>
        <w:rPr>
          <w:rFonts w:ascii="宋体" w:hAnsi="宋体" w:eastAsia="宋体" w:cs="宋体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jc w:val="center"/>
        <w:rPr>
          <w:rFonts w:ascii="宋体" w:hAnsi="宋体" w:eastAsia="宋体" w:cs="宋体"/>
          <w:b/>
          <w:color w:val="1F4E79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color w:val="1F4E79"/>
          <w:sz w:val="24"/>
          <w:szCs w:val="24"/>
          <w:lang w:val="en-US"/>
        </w:rPr>
        <w:t>课程大纲</w:t>
      </w:r>
    </w:p>
    <w:p>
      <w:pPr>
        <w:spacing w:line="480" w:lineRule="exact"/>
        <w:rPr>
          <w:rFonts w:ascii="宋体" w:hAnsi="宋体" w:eastAsia="宋体" w:cs="宋体"/>
          <w:b/>
          <w:color w:val="1F4E79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color w:val="1F4E79"/>
          <w:sz w:val="24"/>
          <w:szCs w:val="24"/>
        </w:rPr>
        <w:t>第一讲：</w:t>
      </w:r>
      <w:r>
        <w:rPr>
          <w:rFonts w:hint="eastAsia" w:ascii="宋体" w:hAnsi="宋体" w:eastAsia="宋体" w:cs="宋体"/>
          <w:b/>
          <w:color w:val="1F4E79"/>
          <w:sz w:val="24"/>
          <w:szCs w:val="24"/>
          <w:lang w:val="en-US"/>
        </w:rPr>
        <w:t>现金流——企业的血液命脉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b/>
          <w:bCs/>
          <w:color w:val="C45911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C45911"/>
          <w:sz w:val="24"/>
          <w:szCs w:val="24"/>
          <w:lang w:val="en-US"/>
        </w:rPr>
        <w:t>一、企业面临的现金流管理</w:t>
      </w:r>
      <w:r>
        <w:rPr>
          <w:rFonts w:hint="eastAsia" w:ascii="宋体" w:hAnsi="宋体" w:eastAsia="宋体" w:cs="宋体"/>
          <w:b/>
          <w:bCs/>
          <w:color w:val="C45911"/>
          <w:sz w:val="24"/>
          <w:szCs w:val="24"/>
        </w:rPr>
        <w:t>“痛点”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kern w:val="2"/>
          <w:sz w:val="24"/>
          <w:szCs w:val="24"/>
          <w:lang w:val="en-US" w:bidi="ar-SA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bidi="ar-SA"/>
        </w:rPr>
        <w:t>. “利”还在，但“钱”没了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2.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客户欠款不还成“老赖”，企业被拖垮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3.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供应商催款急，客户欠款久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4.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企业贷款难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企业开支大，降本增效没成果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b/>
          <w:bCs/>
          <w:color w:val="C45911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/>
          <w:color w:val="C45911"/>
          <w:sz w:val="24"/>
          <w:szCs w:val="24"/>
          <w:lang w:val="en-US"/>
        </w:rPr>
        <w:t>二、黑天鹅来时，对现金流的影响比你预想的更严重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1. 后疫情时期的现金流困局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2. 本次疫情的特殊性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——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范围广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影响人口多，经济损失大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3. 本次疫情对企业现金流的影响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1）两百多万家小微企业倒闭，现金流引发的生存思考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2）健康的企业现金流储备究竟是怎样的？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b/>
          <w:bCs/>
          <w:color w:val="C45911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/>
          <w:color w:val="C45911"/>
          <w:sz w:val="24"/>
          <w:szCs w:val="24"/>
          <w:lang w:val="en-US"/>
        </w:rPr>
        <w:t>三、疫情发展情况及各阶段现金流特点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1. 抗疫期——急刹车凸显现金流问题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2. 波动期——现金流问题加剧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3. 后疫情时期——经营风险再发酵</w:t>
      </w:r>
    </w:p>
    <w:p>
      <w:pPr>
        <w:spacing w:line="480" w:lineRule="exact"/>
        <w:rPr>
          <w:rFonts w:ascii="宋体" w:hAnsi="宋体" w:eastAsia="宋体" w:cs="宋体"/>
          <w:b/>
          <w:color w:val="1F4E79"/>
          <w:sz w:val="24"/>
          <w:szCs w:val="24"/>
          <w:lang w:val="en-US"/>
        </w:rPr>
      </w:pPr>
    </w:p>
    <w:p>
      <w:pPr>
        <w:spacing w:line="480" w:lineRule="exact"/>
        <w:rPr>
          <w:rFonts w:ascii="宋体" w:hAnsi="宋体" w:eastAsia="宋体" w:cs="宋体"/>
          <w:b/>
          <w:color w:val="1F4E79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color w:val="1F4E79"/>
          <w:sz w:val="24"/>
          <w:szCs w:val="24"/>
        </w:rPr>
        <w:t>第</w:t>
      </w:r>
      <w:r>
        <w:rPr>
          <w:rFonts w:hint="eastAsia" w:ascii="宋体" w:hAnsi="宋体" w:eastAsia="宋体" w:cs="宋体"/>
          <w:b/>
          <w:color w:val="1F4E79"/>
          <w:sz w:val="24"/>
          <w:szCs w:val="24"/>
          <w:lang w:val="en-US"/>
        </w:rPr>
        <w:t>二</w:t>
      </w:r>
      <w:r>
        <w:rPr>
          <w:rFonts w:hint="eastAsia" w:ascii="宋体" w:hAnsi="宋体" w:eastAsia="宋体" w:cs="宋体"/>
          <w:b/>
          <w:color w:val="1F4E79"/>
          <w:sz w:val="24"/>
          <w:szCs w:val="24"/>
        </w:rPr>
        <w:t>讲：</w:t>
      </w:r>
      <w:r>
        <w:rPr>
          <w:rFonts w:hint="eastAsia" w:ascii="宋体" w:hAnsi="宋体" w:eastAsia="宋体" w:cs="宋体"/>
          <w:b/>
          <w:color w:val="1F4E79"/>
          <w:sz w:val="24"/>
          <w:szCs w:val="24"/>
          <w:lang w:val="en-US"/>
        </w:rPr>
        <w:t>现金流管理抓手——黄金五法则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b/>
          <w:bCs/>
          <w:color w:val="C45911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/>
          <w:color w:val="C45911"/>
          <w:sz w:val="24"/>
          <w:szCs w:val="24"/>
          <w:lang w:val="en-US"/>
        </w:rPr>
        <w:t>一、平衡点法则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1</w:t>
      </w:r>
      <w:r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“利润”与“流动性”的天平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平衡金三角——利润—流动性—可持续性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案例：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房地产集团爱收购大型商超，如李嘉诚同时拥有房产公司和711零售店；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b/>
          <w:bCs/>
          <w:color w:val="C45911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/>
          <w:color w:val="C45911"/>
          <w:sz w:val="24"/>
          <w:szCs w:val="24"/>
          <w:lang w:val="en-US"/>
        </w:rPr>
        <w:t>二、现金在夹缝中求生存，滚动中求发展——掌握现金周期计算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1</w:t>
      </w:r>
      <w:r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现金周期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模型：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经营周期模型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rFonts w:ascii="宋体" w:hAnsi="宋体" w:eastAsia="宋体" w:cs="宋体"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CCC模型——Cash Conversion Cycle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模型：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CCC模型展示（动态）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3.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应收账款、现金、存货、应收四大模块关系及计算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案例：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某上市公司经营周期图示分析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8"/>
          <w:lang w:val="en-US"/>
          <w14:textFill>
            <w14:solidFill>
              <w14:schemeClr w14:val="tx1"/>
            </w14:solidFill>
          </w14:textFill>
        </w:rPr>
        <w:t>模拟演练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：给出某上市公司营运周转期数据及图例子，学员分组测算现金周期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b/>
          <w:bCs/>
          <w:color w:val="C45911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/>
          <w:color w:val="C45911"/>
          <w:sz w:val="24"/>
          <w:szCs w:val="24"/>
          <w:lang w:val="en-US"/>
        </w:rPr>
        <w:t>三、“量入为出”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1. 把握进出款节奏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2. 严把资金敞口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b/>
          <w:bCs/>
          <w:color w:val="984807" w:themeColor="accent6" w:themeShade="8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3. 企业在经营中应避免“赌性”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案例：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史玉柱建巨人大厦占用大量资金，造成资金链断裂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b/>
          <w:bCs/>
          <w:color w:val="C45911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/>
          <w:color w:val="C45911"/>
          <w:sz w:val="24"/>
          <w:szCs w:val="24"/>
          <w:lang w:val="en-US"/>
        </w:rPr>
        <w:t>四、“广积粮，缓称王”——保持健康良好的现金储备，合理扩张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视频引入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：谭鱼头为融资扩张太快导致资金链断裂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案例：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丰田资金充裕，专用于造车，从容应对金融危机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b/>
          <w:bCs/>
          <w:color w:val="C45911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/>
          <w:color w:val="C45911"/>
          <w:sz w:val="24"/>
          <w:szCs w:val="24"/>
          <w:lang w:val="en-US"/>
        </w:rPr>
        <w:t>五、短中长三期结合，资金计划完整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1</w:t>
      </w:r>
      <w:r>
        <w:rPr>
          <w:rFonts w:ascii="宋体" w:hAnsi="宋体" w:eastAsia="宋体" w:cs="宋体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资金计划需要眼光放“长远”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1）做好战略层面的战规划——根据企业战略规划及所处发展阶段规划资金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2）长期投资项目的选择——收益性与流动性的平衡，杠杆与财务风险的考量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3）长短错配的后果严重——资金成本高，流动性差，债务到期无法偿还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案例：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某大型地产企业因长短期资金错配，造成资金链断裂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rFonts w:ascii="宋体" w:hAnsi="宋体" w:eastAsia="宋体" w:cs="宋体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备战到中期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1）战术层面的目标预备：3-6个月的资金计划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2）资金滚动管理，打好时间差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3. 严把眼下短期流动资金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1）执行层面：严格遵守，例外汇报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2）风险敞口的管理：不能拆东墙补西墙</w:t>
      </w:r>
    </w:p>
    <w:p>
      <w:pPr>
        <w:spacing w:line="480" w:lineRule="exact"/>
        <w:rPr>
          <w:rFonts w:ascii="宋体" w:hAnsi="宋体" w:eastAsia="宋体" w:cs="宋体"/>
          <w:b/>
          <w:color w:val="1F4E79"/>
          <w:sz w:val="24"/>
          <w:szCs w:val="24"/>
          <w:lang w:val="en-US"/>
        </w:rPr>
      </w:pPr>
    </w:p>
    <w:p>
      <w:pPr>
        <w:spacing w:line="480" w:lineRule="exact"/>
        <w:rPr>
          <w:rFonts w:ascii="宋体" w:hAnsi="宋体" w:eastAsia="宋体" w:cs="宋体"/>
          <w:b/>
          <w:color w:val="1F4E79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color w:val="1F4E79"/>
          <w:sz w:val="24"/>
          <w:szCs w:val="24"/>
          <w:lang w:val="en-US"/>
        </w:rPr>
        <w:t>第三讲：现金流管理基石——建立预测机制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b/>
          <w:bCs/>
          <w:color w:val="C45911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/>
          <w:color w:val="C45911"/>
          <w:sz w:val="24"/>
          <w:szCs w:val="24"/>
          <w:lang w:val="en-US"/>
        </w:rPr>
        <w:t>一、特殊时期下的零基预算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1. 零基预算与增量预算的比较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1）零基预算与增量预算的区别——立足现状，破旧立新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2）零基预算的优势——符合战略需要，支出透明，事前预警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rFonts w:ascii="宋体" w:hAnsi="宋体" w:eastAsia="宋体" w:cs="宋体"/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零基预算的执行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1）划分基层预算单位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2）对基层预算单位的业务活动提出计划，编制单位预算方案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3）成本——效益分析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4）审核及资源分配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5）汇总编制预算及落地执行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b/>
          <w:bCs/>
          <w:color w:val="C45911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/>
          <w:color w:val="C45911"/>
          <w:sz w:val="24"/>
          <w:szCs w:val="24"/>
          <w:lang w:val="en-US"/>
        </w:rPr>
        <w:t>二、建立预测机制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1</w:t>
      </w:r>
      <w:r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整理手头资源：资金储备、库存储备、信用储备等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整理供应链上下游：抓主要风险并围绕其确认事态，拼凑对未来的资金预测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3</w:t>
      </w:r>
      <w:r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建立定期预测的机制：定期、及时更新资金预测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4</w:t>
      </w:r>
      <w:r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建立汇报机制：资金按天汇报，随时预警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5</w:t>
      </w:r>
      <w:r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最终目标：建立对现金状况的全局掌控</w:t>
      </w:r>
    </w:p>
    <w:p>
      <w:pPr>
        <w:spacing w:line="480" w:lineRule="exact"/>
        <w:rPr>
          <w:rFonts w:ascii="宋体" w:hAnsi="宋体" w:eastAsia="宋体" w:cs="宋体"/>
          <w:b/>
          <w:color w:val="1F4E79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案例：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资金预测表的数据获取与制作分析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b/>
          <w:bCs/>
          <w:color w:val="C45911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/>
          <w:color w:val="C45911"/>
          <w:sz w:val="24"/>
          <w:szCs w:val="24"/>
          <w:lang w:val="en-US"/>
        </w:rPr>
        <w:t>三、从收付实现制理解“开源”与“节流”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b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/>
        </w:rPr>
        <w:t>视频：</w:t>
      </w:r>
      <w:r>
        <w:rPr>
          <w:rFonts w:hint="eastAsia" w:ascii="宋体" w:hAnsi="宋体" w:eastAsia="宋体" w:cs="宋体"/>
          <w:bCs/>
          <w:sz w:val="24"/>
          <w:szCs w:val="24"/>
          <w:lang w:val="en-US"/>
        </w:rPr>
        <w:t>动画“企业现金流”生动阐述现金流概念</w:t>
      </w:r>
    </w:p>
    <w:p>
      <w:pPr>
        <w:spacing w:line="480" w:lineRule="exact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模型展示：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现金流的“蓄水池”模型——开源与节流</w:t>
      </w:r>
    </w:p>
    <w:p>
      <w:pPr>
        <w:spacing w:line="480" w:lineRule="exact"/>
        <w:rPr>
          <w:rFonts w:ascii="宋体" w:hAnsi="宋体" w:eastAsia="宋体" w:cs="宋体"/>
          <w:color w:val="000000" w:themeColor="text1"/>
          <w:sz w:val="24"/>
          <w:szCs w:val="24"/>
          <w:highlight w:val="yellow"/>
          <w:lang w:val="en-US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rPr>
          <w:rFonts w:ascii="宋体" w:hAnsi="宋体" w:eastAsia="宋体" w:cs="宋体"/>
          <w:b/>
          <w:color w:val="1F4E79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color w:val="1F4E79"/>
          <w:sz w:val="24"/>
          <w:szCs w:val="24"/>
        </w:rPr>
        <w:t>第四讲：</w:t>
      </w:r>
      <w:r>
        <w:rPr>
          <w:rFonts w:hint="eastAsia" w:ascii="宋体" w:hAnsi="宋体" w:eastAsia="宋体" w:cs="宋体"/>
          <w:b/>
          <w:color w:val="1F4E79"/>
          <w:sz w:val="24"/>
          <w:szCs w:val="24"/>
          <w:lang w:val="en-US"/>
        </w:rPr>
        <w:t>现金流高效管理的框架模型——“开源”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b/>
          <w:bCs/>
          <w:color w:val="C45911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/>
          <w:color w:val="C45911"/>
          <w:sz w:val="24"/>
          <w:szCs w:val="24"/>
          <w:lang w:val="en-US"/>
        </w:rPr>
        <w:t>一、应收账款的管理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建立客户信用体系，制定授信制度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案例：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韦尔股份应收款管控总结</w:t>
      </w:r>
    </w:p>
    <w:p>
      <w:pPr>
        <w:spacing w:line="480" w:lineRule="exact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组成临时管理小组，定期召开应收账款会议</w:t>
      </w:r>
    </w:p>
    <w:p>
      <w:pPr>
        <w:spacing w:line="480" w:lineRule="exact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3</w:t>
      </w:r>
      <w:r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制定应收款的分析框架并进行“三看”——看周转，看风险，看变现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案例：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格力与青岛海尔的应收账款周转分析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分析欠款原因，6种方案协助收回货款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方案1：前端销售追款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方案2：财务协助，分析原因制定方案协助追款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方案3：企业负责人出面，主动上门协商催收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方案4：第三方机构，催收外包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方案5：发送律师函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方案6：启动法律途径，起诉追讨，诉讼保全，冻结账户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实战演练：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模拟应收账款逾期在不同阶段的情景，学员分组讨论给出对应解决方案</w:t>
      </w:r>
    </w:p>
    <w:p>
      <w:pPr>
        <w:spacing w:line="480" w:lineRule="exact"/>
        <w:rPr>
          <w:rFonts w:ascii="宋体" w:hAnsi="宋体" w:eastAsia="宋体" w:cs="宋体"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5. </w:t>
      </w:r>
      <w:r>
        <w:rPr>
          <w:rFonts w:hint="eastAsia" w:ascii="宋体" w:hAnsi="宋体" w:eastAsia="宋体" w:cs="宋体"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应收管控三部曲——事前规划、事中控制、事后管理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b/>
          <w:bCs/>
          <w:color w:val="C45911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/>
          <w:color w:val="C45911"/>
          <w:sz w:val="24"/>
          <w:szCs w:val="24"/>
          <w:lang w:val="en-US"/>
        </w:rPr>
        <w:t>二、银行贷款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1.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WHAT——确定实际利率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2.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WHEN——匹配贷款下发时间与企业营运节点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HOW——维护银行信贷关系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b/>
          <w:bCs/>
          <w:color w:val="C45911"/>
          <w:sz w:val="24"/>
          <w:szCs w:val="24"/>
          <w:highlight w:val="yellow"/>
          <w:lang w:val="en-US"/>
        </w:rPr>
      </w:pPr>
      <w:r>
        <w:rPr>
          <w:rFonts w:hint="eastAsia" w:ascii="宋体" w:hAnsi="宋体" w:eastAsia="宋体" w:cs="宋体"/>
          <w:b/>
          <w:bCs/>
          <w:color w:val="C45911"/>
          <w:sz w:val="24"/>
          <w:szCs w:val="24"/>
          <w:lang w:val="en-US"/>
        </w:rPr>
        <w:t>三、预收款与预付款的管理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1. </w:t>
      </w: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预收账款——把客户的钱留住，想办法变成公司的产品或服务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1）增加产品/服务价值，获取更多储值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）引导客户分批次消费，增加消费频次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）储值卡、代金券的使用</w:t>
      </w:r>
    </w:p>
    <w:p>
      <w:pPr>
        <w:spacing w:line="480" w:lineRule="exact"/>
        <w:rPr>
          <w:rFonts w:ascii="宋体" w:hAnsi="宋体" w:eastAsia="宋体" w:cs="宋体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rFonts w:ascii="宋体" w:hAnsi="宋体" w:eastAsia="宋体" w:cs="宋体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预付账款——把企业的钱留住，想办法减少提前支出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1）还未支付的预付款项，协商更改付款协议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）已支付的预付款项，协商退回或部分退回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b/>
          <w:bCs/>
          <w:color w:val="C45911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/>
          <w:color w:val="C45911"/>
          <w:sz w:val="24"/>
          <w:szCs w:val="24"/>
          <w:lang w:val="en-US"/>
        </w:rPr>
        <w:t>四、集团资金管理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讨论：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集中与分散管理的利弊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1. </w:t>
      </w: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集团资金管理的模式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1）集中管理，收支两条线，全封闭运作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2）账户归集，上划下拨，统一调配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3）资金结算中心模式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案例：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国家电网资金结算中心模式示例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2.</w:t>
      </w:r>
      <w:r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集团总部的三种角色职能——资本投资，战略运作，运营管理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3.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集中统一管理的两种实现方式——垂直管控与相互协作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4.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集团资融业务管理——统一融资计划，集中授信，融资组合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5.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集团投资业务的管理性质——安全性，流动性，收益性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6.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灵活的外汇风险规避方式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模型：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集团资金管理提升模型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b/>
          <w:bCs/>
          <w:color w:val="C45911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/>
          <w:color w:val="C45911"/>
          <w:sz w:val="24"/>
          <w:szCs w:val="24"/>
          <w:lang w:val="en-US"/>
        </w:rPr>
        <w:t>五、其他“开源”现金流高效管理方法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/>
        </w:rPr>
        <w:t>1</w:t>
      </w:r>
      <w:r>
        <w:rPr>
          <w:rFonts w:ascii="宋体" w:hAnsi="宋体" w:eastAsia="宋体" w:cs="宋体"/>
          <w:bCs/>
          <w:sz w:val="24"/>
          <w:szCs w:val="24"/>
          <w:lang w:val="en-US"/>
        </w:rPr>
        <w:t xml:space="preserve">. </w:t>
      </w:r>
      <w:r>
        <w:rPr>
          <w:rFonts w:hint="eastAsia" w:ascii="宋体" w:hAnsi="宋体" w:eastAsia="宋体" w:cs="宋体"/>
          <w:bCs/>
          <w:sz w:val="24"/>
          <w:szCs w:val="24"/>
          <w:lang w:val="en-US"/>
        </w:rPr>
        <w:t>保理与商业票据贴现——忍痛割肉变现，换得落袋为安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bCs/>
          <w:sz w:val="24"/>
          <w:szCs w:val="24"/>
          <w:lang w:val="en-US"/>
        </w:rPr>
      </w:pPr>
      <w:r>
        <w:rPr>
          <w:rFonts w:ascii="宋体" w:hAnsi="宋体" w:eastAsia="宋体" w:cs="宋体"/>
          <w:bCs/>
          <w:sz w:val="24"/>
          <w:szCs w:val="24"/>
          <w:lang w:val="en-US"/>
        </w:rPr>
        <w:t xml:space="preserve">2. </w:t>
      </w:r>
      <w:r>
        <w:rPr>
          <w:rFonts w:hint="eastAsia" w:ascii="宋体" w:hAnsi="宋体" w:eastAsia="宋体" w:cs="宋体"/>
          <w:bCs/>
          <w:sz w:val="24"/>
          <w:szCs w:val="24"/>
          <w:lang w:val="en-US"/>
        </w:rPr>
        <w:t>股东贷款或股权融资——较易筹资，资金成本低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bCs/>
          <w:sz w:val="24"/>
          <w:szCs w:val="24"/>
          <w:lang w:val="en-US"/>
        </w:rPr>
      </w:pPr>
      <w:r>
        <w:rPr>
          <w:rFonts w:ascii="宋体" w:hAnsi="宋体" w:eastAsia="宋体" w:cs="宋体"/>
          <w:bCs/>
          <w:sz w:val="24"/>
          <w:szCs w:val="24"/>
          <w:lang w:val="en-US"/>
        </w:rPr>
        <w:t xml:space="preserve">3. </w:t>
      </w:r>
      <w:r>
        <w:rPr>
          <w:rFonts w:hint="eastAsia" w:ascii="宋体" w:hAnsi="宋体" w:eastAsia="宋体" w:cs="宋体"/>
          <w:bCs/>
          <w:sz w:val="24"/>
          <w:szCs w:val="24"/>
          <w:lang w:val="en-US"/>
        </w:rPr>
        <w:t>押金、保证金的协商处理——转换形式，抵减租金，转租免责</w:t>
      </w:r>
    </w:p>
    <w:p>
      <w:pPr>
        <w:spacing w:line="480" w:lineRule="exact"/>
        <w:rPr>
          <w:rFonts w:ascii="宋体" w:hAnsi="宋体" w:eastAsia="宋体" w:cs="宋体"/>
          <w:bCs/>
          <w:sz w:val="24"/>
          <w:szCs w:val="24"/>
          <w:lang w:val="en-US"/>
        </w:rPr>
      </w:pPr>
      <w:r>
        <w:rPr>
          <w:rFonts w:ascii="宋体" w:hAnsi="宋体" w:eastAsia="宋体" w:cs="宋体"/>
          <w:bCs/>
          <w:sz w:val="24"/>
          <w:szCs w:val="24"/>
          <w:lang w:val="en-US"/>
        </w:rPr>
        <w:t xml:space="preserve">4. </w:t>
      </w:r>
      <w:r>
        <w:rPr>
          <w:rFonts w:hint="eastAsia" w:ascii="宋体" w:hAnsi="宋体" w:eastAsia="宋体" w:cs="宋体"/>
          <w:bCs/>
          <w:sz w:val="24"/>
          <w:szCs w:val="24"/>
          <w:lang w:val="en-US"/>
        </w:rPr>
        <w:t>政策补贴性资金流入—税收优惠，金融支持，社会保障，地方政府扶植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bCs/>
          <w:sz w:val="24"/>
          <w:szCs w:val="24"/>
          <w:lang w:val="en-US"/>
        </w:rPr>
      </w:pPr>
      <w:r>
        <w:rPr>
          <w:rFonts w:ascii="宋体" w:hAnsi="宋体" w:eastAsia="宋体" w:cs="宋体"/>
          <w:bCs/>
          <w:sz w:val="24"/>
          <w:szCs w:val="24"/>
          <w:lang w:val="en-US"/>
        </w:rPr>
        <w:t xml:space="preserve">5. </w:t>
      </w:r>
      <w:r>
        <w:rPr>
          <w:rFonts w:hint="eastAsia" w:ascii="宋体" w:hAnsi="宋体" w:eastAsia="宋体" w:cs="宋体"/>
          <w:bCs/>
          <w:sz w:val="24"/>
          <w:szCs w:val="24"/>
          <w:lang w:val="en-US"/>
        </w:rPr>
        <w:t>法人贷款——风险较大，违约失信后果严重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bCs/>
          <w:sz w:val="24"/>
          <w:szCs w:val="24"/>
          <w:lang w:val="en-US"/>
        </w:rPr>
      </w:pPr>
      <w:r>
        <w:rPr>
          <w:rFonts w:ascii="宋体" w:hAnsi="宋体" w:eastAsia="宋体" w:cs="宋体"/>
          <w:bCs/>
          <w:sz w:val="24"/>
          <w:szCs w:val="24"/>
          <w:lang w:val="en-US"/>
        </w:rPr>
        <w:t xml:space="preserve">6. </w:t>
      </w:r>
      <w:r>
        <w:rPr>
          <w:rFonts w:hint="eastAsia" w:ascii="宋体" w:hAnsi="宋体" w:eastAsia="宋体" w:cs="宋体"/>
          <w:bCs/>
          <w:sz w:val="24"/>
          <w:szCs w:val="24"/>
          <w:lang w:val="en-US"/>
        </w:rPr>
        <w:t>员工借款——面向员工集资，员工承担较大风险</w:t>
      </w:r>
    </w:p>
    <w:p>
      <w:pPr>
        <w:spacing w:line="480" w:lineRule="exact"/>
        <w:rPr>
          <w:rFonts w:ascii="宋体" w:hAnsi="宋体" w:eastAsia="宋体" w:cs="宋体"/>
          <w:b/>
          <w:bCs/>
          <w:color w:val="984807" w:themeColor="accent6" w:themeShade="80"/>
          <w:sz w:val="24"/>
          <w:szCs w:val="24"/>
          <w:lang w:val="en-US"/>
        </w:rPr>
      </w:pPr>
    </w:p>
    <w:p>
      <w:pPr>
        <w:spacing w:line="480" w:lineRule="exact"/>
        <w:rPr>
          <w:rFonts w:ascii="宋体" w:hAnsi="宋体" w:eastAsia="宋体" w:cs="宋体"/>
          <w:b/>
          <w:color w:val="1F4E79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color w:val="1F4E79"/>
          <w:sz w:val="24"/>
          <w:szCs w:val="24"/>
        </w:rPr>
        <w:t>第五讲：</w:t>
      </w:r>
      <w:r>
        <w:rPr>
          <w:rFonts w:hint="eastAsia" w:ascii="宋体" w:hAnsi="宋体" w:eastAsia="宋体" w:cs="宋体"/>
          <w:b/>
          <w:color w:val="1F4E79"/>
          <w:sz w:val="24"/>
          <w:szCs w:val="24"/>
          <w:lang w:val="en-US"/>
        </w:rPr>
        <w:t>现金流高效管理的框架模型——“节流”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b/>
          <w:bCs/>
          <w:color w:val="C45911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/>
          <w:color w:val="C45911"/>
          <w:sz w:val="24"/>
          <w:szCs w:val="24"/>
          <w:lang w:val="en-US"/>
        </w:rPr>
        <w:t>一、应付账款的管理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1</w:t>
      </w:r>
      <w:r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建立供应商信用体系，指定付款政策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供应商账期时间协调，考虑背对背条款，加强供货协同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</w:t>
      </w:r>
      <w:r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把握账龄及供货商财务状况，管理战略供货商资源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4</w:t>
      </w:r>
      <w:r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确立合作意向，争取产业链上下游抱团取暖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b/>
          <w:bCs/>
          <w:color w:val="C45911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/>
          <w:color w:val="C45911"/>
          <w:sz w:val="24"/>
          <w:szCs w:val="24"/>
          <w:lang w:val="en-US"/>
        </w:rPr>
        <w:t>二、存货的管理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1</w:t>
      </w:r>
      <w:r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供应商的授权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rFonts w:ascii="宋体" w:hAnsi="宋体" w:eastAsia="宋体" w:cs="宋体"/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存货的全链条分类管理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从下单—在途—入库—原材料存放—加工—返工—产成品存放—商品发货全链条管理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模型：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最优存货模型——什么时候订？订多少量？如何防止断货？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.存货周转天数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案例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：丰田存货精细化管理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实战演练：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给出特定的存货业务链场景，学员分组讨论分析，综合运用存货的分类管理、最优模型、周转天数等给出降减措施，各组间相互点评分析，讲师点评总结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b/>
          <w:bCs/>
          <w:color w:val="C45911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/>
          <w:color w:val="C45911"/>
          <w:sz w:val="24"/>
          <w:szCs w:val="24"/>
          <w:lang w:val="en-US"/>
        </w:rPr>
        <w:t>三、人员成本优化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减小人员成本的具体措施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1）裁员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2）减薪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3）取消绩效工资、无薪休假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4）人力外包，用工平台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案例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：稻盛和夫执掌日航时裁员案例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2. </w:t>
      </w:r>
      <w:r>
        <w:rPr>
          <w:rFonts w:hint="eastAsia" w:ascii="宋体" w:hAnsi="宋体" w:eastAsia="宋体" w:cs="宋体"/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绩效管理中的“组织管理”和“员工管理”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1）从组织管理层面来优化成本的效益最大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2）员工绩效管理与成本优化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b/>
          <w:bCs/>
          <w:color w:val="C45911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/>
          <w:color w:val="C45911"/>
          <w:sz w:val="24"/>
          <w:szCs w:val="24"/>
          <w:lang w:val="en-US"/>
        </w:rPr>
        <w:t>四、营销费用的管理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1</w:t>
      </w:r>
      <w:r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营销成本目标管理——营销费用开之前的事前验证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分析思路：当前情势——分析顺序——资源支持——方案建议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3</w:t>
      </w:r>
      <w:r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建立营销费用考核标准体系——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广告费有50%是浪费的，如何知道是哪50%在浪费？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b/>
          <w:bCs/>
          <w:color w:val="C45911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/>
          <w:color w:val="C45911"/>
          <w:sz w:val="24"/>
          <w:szCs w:val="24"/>
          <w:lang w:val="en-US"/>
        </w:rPr>
        <w:t>五、建立现金流预警机制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1</w:t>
      </w:r>
      <w:r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建立最低资金水位线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联合各部门共同维护预警线</w:t>
      </w:r>
    </w:p>
    <w:p>
      <w:pPr>
        <w:spacing w:line="480" w:lineRule="exact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实战案例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：建立核心管理层的资金汇报渠道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b/>
          <w:bCs/>
          <w:color w:val="C45911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/>
          <w:color w:val="C45911"/>
          <w:sz w:val="24"/>
          <w:szCs w:val="24"/>
          <w:lang w:val="en-US"/>
        </w:rPr>
        <w:t>六、加强内控，杜绝舞弊现象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1</w:t>
      </w:r>
      <w:r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舞弊三角形——压力，借口，机会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2</w:t>
      </w:r>
      <w:r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逆境时往往是舞弊高发期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案例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：碧桂园出纳侵占4800万，一半用于打赏主播一案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b/>
          <w:bCs/>
          <w:color w:val="C45911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/>
          <w:color w:val="C45911"/>
          <w:sz w:val="24"/>
          <w:szCs w:val="24"/>
          <w:lang w:val="en-US"/>
        </w:rPr>
        <w:t>七、其他“开源”现金流高效管理方法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/>
        </w:rPr>
        <w:t>1</w:t>
      </w:r>
      <w:r>
        <w:rPr>
          <w:rFonts w:ascii="宋体" w:hAnsi="宋体" w:eastAsia="宋体" w:cs="宋体"/>
          <w:bCs/>
          <w:sz w:val="24"/>
          <w:szCs w:val="24"/>
          <w:lang w:val="en-US"/>
        </w:rPr>
        <w:t xml:space="preserve">. </w:t>
      </w:r>
      <w:r>
        <w:rPr>
          <w:rFonts w:hint="eastAsia" w:ascii="宋体" w:hAnsi="宋体" w:eastAsia="宋体" w:cs="宋体"/>
          <w:bCs/>
          <w:sz w:val="24"/>
          <w:szCs w:val="24"/>
          <w:lang w:val="en-US"/>
        </w:rPr>
        <w:t>租金减免谈判及暂缓交租——集中优势力量，提出专业方案，带着诚意谈判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/>
        </w:rPr>
        <w:t>2</w:t>
      </w:r>
      <w:r>
        <w:rPr>
          <w:rFonts w:ascii="宋体" w:hAnsi="宋体" w:eastAsia="宋体" w:cs="宋体"/>
          <w:bCs/>
          <w:sz w:val="24"/>
          <w:szCs w:val="24"/>
          <w:lang w:val="en-US"/>
        </w:rPr>
        <w:t xml:space="preserve">. </w:t>
      </w:r>
      <w:r>
        <w:rPr>
          <w:rFonts w:hint="eastAsia" w:ascii="宋体" w:hAnsi="宋体" w:eastAsia="宋体" w:cs="宋体"/>
          <w:bCs/>
          <w:sz w:val="24"/>
          <w:szCs w:val="24"/>
          <w:lang w:val="en-US"/>
        </w:rPr>
        <w:t>调整企业架构——关闭加速亏损门店关店/分支机构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/>
        </w:rPr>
        <w:t>案例：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星巴克关店调整，扭亏为盈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/>
        </w:rPr>
        <w:t>3</w:t>
      </w:r>
      <w:r>
        <w:rPr>
          <w:rFonts w:ascii="宋体" w:hAnsi="宋体" w:eastAsia="宋体" w:cs="宋体"/>
          <w:bCs/>
          <w:sz w:val="24"/>
          <w:szCs w:val="24"/>
          <w:lang w:val="en-US"/>
        </w:rPr>
        <w:t xml:space="preserve">. </w:t>
      </w:r>
      <w:r>
        <w:rPr>
          <w:rFonts w:hint="eastAsia" w:ascii="宋体" w:hAnsi="宋体" w:eastAsia="宋体" w:cs="宋体"/>
          <w:bCs/>
          <w:sz w:val="24"/>
          <w:szCs w:val="24"/>
          <w:lang w:val="en-US"/>
        </w:rPr>
        <w:t>日常营运费用的管理—— 差旅费，招待费等费用的降减措施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/>
        </w:rPr>
        <w:t>4</w:t>
      </w:r>
      <w:r>
        <w:rPr>
          <w:rFonts w:ascii="宋体" w:hAnsi="宋体" w:eastAsia="宋体" w:cs="宋体"/>
          <w:bCs/>
          <w:sz w:val="24"/>
          <w:szCs w:val="24"/>
          <w:lang w:val="en-US"/>
        </w:rPr>
        <w:t xml:space="preserve">. </w:t>
      </w:r>
      <w:r>
        <w:rPr>
          <w:rFonts w:hint="eastAsia" w:ascii="宋体" w:hAnsi="宋体" w:eastAsia="宋体" w:cs="宋体"/>
          <w:bCs/>
          <w:sz w:val="24"/>
          <w:szCs w:val="24"/>
          <w:lang w:val="en-US"/>
        </w:rPr>
        <w:t>约束性成本、酌量性成本的降减——培训费，会议费等费用的降减</w:t>
      </w:r>
    </w:p>
    <w:p>
      <w:pPr>
        <w:pStyle w:val="11"/>
        <w:spacing w:before="0" w:line="480" w:lineRule="exact"/>
        <w:ind w:left="0"/>
        <w:rPr>
          <w:rFonts w:ascii="宋体" w:hAnsi="宋体" w:eastAsia="宋体" w:cs="宋体"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bCs/>
          <w:sz w:val="24"/>
          <w:szCs w:val="24"/>
          <w:lang w:val="en-US"/>
        </w:rPr>
        <w:t>5</w:t>
      </w:r>
      <w:r>
        <w:rPr>
          <w:rFonts w:ascii="宋体" w:hAnsi="宋体" w:eastAsia="宋体" w:cs="宋体"/>
          <w:bCs/>
          <w:sz w:val="24"/>
          <w:szCs w:val="24"/>
          <w:lang w:val="en-US"/>
        </w:rPr>
        <w:t xml:space="preserve">. </w:t>
      </w:r>
      <w:r>
        <w:rPr>
          <w:rFonts w:hint="eastAsia" w:ascii="宋体" w:hAnsi="宋体" w:eastAsia="宋体" w:cs="宋体"/>
          <w:bCs/>
          <w:sz w:val="24"/>
          <w:szCs w:val="24"/>
          <w:lang w:val="en-US"/>
        </w:rPr>
        <w:t>建立临时的费用审批制度— 临时管理小组严格把控费用支出</w:t>
      </w:r>
    </w:p>
    <w:sectPr>
      <w:headerReference r:id="rId3" w:type="default"/>
      <w:footerReference r:id="rId4" w:type="default"/>
      <w:pgSz w:w="11920" w:h="16850"/>
      <w:pgMar w:top="1134" w:right="1134" w:bottom="1134" w:left="1134" w:header="454" w:footer="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92"/>
    <w:rsid w:val="00003450"/>
    <w:rsid w:val="00010595"/>
    <w:rsid w:val="00013FD1"/>
    <w:rsid w:val="0001415B"/>
    <w:rsid w:val="000158FF"/>
    <w:rsid w:val="0004645D"/>
    <w:rsid w:val="0005359F"/>
    <w:rsid w:val="000621C4"/>
    <w:rsid w:val="00080DD4"/>
    <w:rsid w:val="00085BA7"/>
    <w:rsid w:val="000B0A02"/>
    <w:rsid w:val="000B20B2"/>
    <w:rsid w:val="000B2972"/>
    <w:rsid w:val="000B6BA6"/>
    <w:rsid w:val="000E38BE"/>
    <w:rsid w:val="000E3945"/>
    <w:rsid w:val="000F62B1"/>
    <w:rsid w:val="001106BE"/>
    <w:rsid w:val="0014368E"/>
    <w:rsid w:val="001457D9"/>
    <w:rsid w:val="00171F82"/>
    <w:rsid w:val="001721DB"/>
    <w:rsid w:val="00187068"/>
    <w:rsid w:val="001B3ECB"/>
    <w:rsid w:val="001C025A"/>
    <w:rsid w:val="001D4461"/>
    <w:rsid w:val="001D5942"/>
    <w:rsid w:val="001F257B"/>
    <w:rsid w:val="00200AA7"/>
    <w:rsid w:val="0021216B"/>
    <w:rsid w:val="0021463D"/>
    <w:rsid w:val="002156C0"/>
    <w:rsid w:val="002170CB"/>
    <w:rsid w:val="00235FB4"/>
    <w:rsid w:val="00237535"/>
    <w:rsid w:val="00237EAB"/>
    <w:rsid w:val="00243175"/>
    <w:rsid w:val="002516FB"/>
    <w:rsid w:val="00254E89"/>
    <w:rsid w:val="00277A0C"/>
    <w:rsid w:val="002875C0"/>
    <w:rsid w:val="00293842"/>
    <w:rsid w:val="00296F26"/>
    <w:rsid w:val="002A0D9A"/>
    <w:rsid w:val="002B1DF4"/>
    <w:rsid w:val="002B3A7F"/>
    <w:rsid w:val="002C2BBA"/>
    <w:rsid w:val="002E0A53"/>
    <w:rsid w:val="002F05BA"/>
    <w:rsid w:val="002F60DF"/>
    <w:rsid w:val="00300FB9"/>
    <w:rsid w:val="00314225"/>
    <w:rsid w:val="003176CF"/>
    <w:rsid w:val="0032382F"/>
    <w:rsid w:val="003266F7"/>
    <w:rsid w:val="00331896"/>
    <w:rsid w:val="003375A7"/>
    <w:rsid w:val="00342424"/>
    <w:rsid w:val="0035087F"/>
    <w:rsid w:val="00353178"/>
    <w:rsid w:val="00355922"/>
    <w:rsid w:val="00355E92"/>
    <w:rsid w:val="00373138"/>
    <w:rsid w:val="00377C5A"/>
    <w:rsid w:val="00386DD9"/>
    <w:rsid w:val="003A77E3"/>
    <w:rsid w:val="003B0796"/>
    <w:rsid w:val="003C7385"/>
    <w:rsid w:val="003D6A5B"/>
    <w:rsid w:val="003D6CD9"/>
    <w:rsid w:val="003F3CDD"/>
    <w:rsid w:val="003F54C4"/>
    <w:rsid w:val="003F66D6"/>
    <w:rsid w:val="0041398C"/>
    <w:rsid w:val="00430C48"/>
    <w:rsid w:val="004431A6"/>
    <w:rsid w:val="004504D0"/>
    <w:rsid w:val="004609A5"/>
    <w:rsid w:val="00474C24"/>
    <w:rsid w:val="00480F39"/>
    <w:rsid w:val="004818A5"/>
    <w:rsid w:val="00485FFE"/>
    <w:rsid w:val="004A2408"/>
    <w:rsid w:val="004A50D8"/>
    <w:rsid w:val="004D69FE"/>
    <w:rsid w:val="004E6833"/>
    <w:rsid w:val="004F6358"/>
    <w:rsid w:val="00500749"/>
    <w:rsid w:val="00511D0B"/>
    <w:rsid w:val="00531EB8"/>
    <w:rsid w:val="005325EE"/>
    <w:rsid w:val="00542023"/>
    <w:rsid w:val="00542F14"/>
    <w:rsid w:val="00555105"/>
    <w:rsid w:val="005B7B7F"/>
    <w:rsid w:val="005D152D"/>
    <w:rsid w:val="005E62A8"/>
    <w:rsid w:val="006016D8"/>
    <w:rsid w:val="0060765F"/>
    <w:rsid w:val="006118DF"/>
    <w:rsid w:val="00616374"/>
    <w:rsid w:val="0061750E"/>
    <w:rsid w:val="0062172F"/>
    <w:rsid w:val="00626CEB"/>
    <w:rsid w:val="00644EFB"/>
    <w:rsid w:val="0064631B"/>
    <w:rsid w:val="00646DE6"/>
    <w:rsid w:val="00662A31"/>
    <w:rsid w:val="00663BBF"/>
    <w:rsid w:val="00665616"/>
    <w:rsid w:val="00684B5A"/>
    <w:rsid w:val="00690E7C"/>
    <w:rsid w:val="00692B33"/>
    <w:rsid w:val="00696C37"/>
    <w:rsid w:val="006A0B54"/>
    <w:rsid w:val="006A1440"/>
    <w:rsid w:val="006A2559"/>
    <w:rsid w:val="006A290A"/>
    <w:rsid w:val="006B3BE9"/>
    <w:rsid w:val="006B7EF2"/>
    <w:rsid w:val="006C5963"/>
    <w:rsid w:val="006D75A1"/>
    <w:rsid w:val="006E0C89"/>
    <w:rsid w:val="006F390B"/>
    <w:rsid w:val="00712EEE"/>
    <w:rsid w:val="00715A9C"/>
    <w:rsid w:val="00716C6E"/>
    <w:rsid w:val="00722665"/>
    <w:rsid w:val="00727BE4"/>
    <w:rsid w:val="00736FA7"/>
    <w:rsid w:val="0074426D"/>
    <w:rsid w:val="00744805"/>
    <w:rsid w:val="00753F3F"/>
    <w:rsid w:val="00754975"/>
    <w:rsid w:val="00766D60"/>
    <w:rsid w:val="00767CFA"/>
    <w:rsid w:val="00781EFB"/>
    <w:rsid w:val="00793B1E"/>
    <w:rsid w:val="007C5F64"/>
    <w:rsid w:val="007D25BF"/>
    <w:rsid w:val="007D2E95"/>
    <w:rsid w:val="007F5061"/>
    <w:rsid w:val="00810ED7"/>
    <w:rsid w:val="0082171E"/>
    <w:rsid w:val="00835343"/>
    <w:rsid w:val="008635AA"/>
    <w:rsid w:val="00876338"/>
    <w:rsid w:val="008B3592"/>
    <w:rsid w:val="008C01AB"/>
    <w:rsid w:val="008D4683"/>
    <w:rsid w:val="008D5EF9"/>
    <w:rsid w:val="008D6DE2"/>
    <w:rsid w:val="008E45D4"/>
    <w:rsid w:val="008F1212"/>
    <w:rsid w:val="00901370"/>
    <w:rsid w:val="00943F1C"/>
    <w:rsid w:val="00945347"/>
    <w:rsid w:val="00946B3A"/>
    <w:rsid w:val="009747D8"/>
    <w:rsid w:val="00975AB5"/>
    <w:rsid w:val="00981322"/>
    <w:rsid w:val="009825FD"/>
    <w:rsid w:val="009850AF"/>
    <w:rsid w:val="00997048"/>
    <w:rsid w:val="009A4F1B"/>
    <w:rsid w:val="009B16E9"/>
    <w:rsid w:val="009C27CD"/>
    <w:rsid w:val="009C379E"/>
    <w:rsid w:val="009D632A"/>
    <w:rsid w:val="009F0134"/>
    <w:rsid w:val="009F4A44"/>
    <w:rsid w:val="00A178EB"/>
    <w:rsid w:val="00A211A2"/>
    <w:rsid w:val="00A36A7B"/>
    <w:rsid w:val="00A457EA"/>
    <w:rsid w:val="00A460F8"/>
    <w:rsid w:val="00A53AF4"/>
    <w:rsid w:val="00A941F0"/>
    <w:rsid w:val="00AA5593"/>
    <w:rsid w:val="00AB0741"/>
    <w:rsid w:val="00AB1E20"/>
    <w:rsid w:val="00AD22B8"/>
    <w:rsid w:val="00AE3DDF"/>
    <w:rsid w:val="00AE446B"/>
    <w:rsid w:val="00AE6A0E"/>
    <w:rsid w:val="00AF612D"/>
    <w:rsid w:val="00B00932"/>
    <w:rsid w:val="00B10DF4"/>
    <w:rsid w:val="00B22E3D"/>
    <w:rsid w:val="00B2625F"/>
    <w:rsid w:val="00B26AD4"/>
    <w:rsid w:val="00B270D3"/>
    <w:rsid w:val="00B37A4D"/>
    <w:rsid w:val="00B5277A"/>
    <w:rsid w:val="00B75558"/>
    <w:rsid w:val="00B95BF7"/>
    <w:rsid w:val="00BA30EE"/>
    <w:rsid w:val="00BA5C98"/>
    <w:rsid w:val="00BB0811"/>
    <w:rsid w:val="00BC0D3B"/>
    <w:rsid w:val="00BD3CCD"/>
    <w:rsid w:val="00BD64A7"/>
    <w:rsid w:val="00BD743B"/>
    <w:rsid w:val="00BF3192"/>
    <w:rsid w:val="00BF5125"/>
    <w:rsid w:val="00C25266"/>
    <w:rsid w:val="00C43D33"/>
    <w:rsid w:val="00C44141"/>
    <w:rsid w:val="00C52D80"/>
    <w:rsid w:val="00C53F74"/>
    <w:rsid w:val="00C54B02"/>
    <w:rsid w:val="00C73B5B"/>
    <w:rsid w:val="00C83FF8"/>
    <w:rsid w:val="00C96C8C"/>
    <w:rsid w:val="00CA1617"/>
    <w:rsid w:val="00CA63AB"/>
    <w:rsid w:val="00CB31E5"/>
    <w:rsid w:val="00CC16D7"/>
    <w:rsid w:val="00CE3AA3"/>
    <w:rsid w:val="00CE5B48"/>
    <w:rsid w:val="00CF032C"/>
    <w:rsid w:val="00D322A7"/>
    <w:rsid w:val="00D43E69"/>
    <w:rsid w:val="00D516DF"/>
    <w:rsid w:val="00D55A82"/>
    <w:rsid w:val="00D61C5A"/>
    <w:rsid w:val="00D74EC4"/>
    <w:rsid w:val="00D816DB"/>
    <w:rsid w:val="00D87EC0"/>
    <w:rsid w:val="00DA195A"/>
    <w:rsid w:val="00DB1A62"/>
    <w:rsid w:val="00DB4A92"/>
    <w:rsid w:val="00DB7620"/>
    <w:rsid w:val="00DC02CA"/>
    <w:rsid w:val="00DC09A8"/>
    <w:rsid w:val="00DC20EC"/>
    <w:rsid w:val="00DC2FE7"/>
    <w:rsid w:val="00DC5F8A"/>
    <w:rsid w:val="00DE2B08"/>
    <w:rsid w:val="00DE5F27"/>
    <w:rsid w:val="00E0779B"/>
    <w:rsid w:val="00E11ABD"/>
    <w:rsid w:val="00E12D3C"/>
    <w:rsid w:val="00E20265"/>
    <w:rsid w:val="00E4542F"/>
    <w:rsid w:val="00E5321E"/>
    <w:rsid w:val="00E5376E"/>
    <w:rsid w:val="00E55C95"/>
    <w:rsid w:val="00E60771"/>
    <w:rsid w:val="00E63F32"/>
    <w:rsid w:val="00E74B38"/>
    <w:rsid w:val="00E824E7"/>
    <w:rsid w:val="00E826C3"/>
    <w:rsid w:val="00EA107D"/>
    <w:rsid w:val="00EA4084"/>
    <w:rsid w:val="00EB54AD"/>
    <w:rsid w:val="00ED6FEC"/>
    <w:rsid w:val="00EE776E"/>
    <w:rsid w:val="00F008AC"/>
    <w:rsid w:val="00F0548C"/>
    <w:rsid w:val="00F10C07"/>
    <w:rsid w:val="00F21AAE"/>
    <w:rsid w:val="00F35E28"/>
    <w:rsid w:val="00F37E82"/>
    <w:rsid w:val="00F434F4"/>
    <w:rsid w:val="00F463B3"/>
    <w:rsid w:val="00F53EFB"/>
    <w:rsid w:val="00F64AB1"/>
    <w:rsid w:val="00F67699"/>
    <w:rsid w:val="00F761E7"/>
    <w:rsid w:val="00F817C4"/>
    <w:rsid w:val="00F8539C"/>
    <w:rsid w:val="00F85BB8"/>
    <w:rsid w:val="00F97670"/>
    <w:rsid w:val="00FB2380"/>
    <w:rsid w:val="00FB38ED"/>
    <w:rsid w:val="00FC5496"/>
    <w:rsid w:val="00FE25ED"/>
    <w:rsid w:val="00FF7565"/>
    <w:rsid w:val="015A207E"/>
    <w:rsid w:val="018F25DD"/>
    <w:rsid w:val="01D30ECF"/>
    <w:rsid w:val="01E8678A"/>
    <w:rsid w:val="02A67805"/>
    <w:rsid w:val="033A47C7"/>
    <w:rsid w:val="04FA5DA6"/>
    <w:rsid w:val="052D1B7D"/>
    <w:rsid w:val="063545A5"/>
    <w:rsid w:val="06D25D4A"/>
    <w:rsid w:val="078B524E"/>
    <w:rsid w:val="07AD19B7"/>
    <w:rsid w:val="082456C5"/>
    <w:rsid w:val="08295CEC"/>
    <w:rsid w:val="083B4DBC"/>
    <w:rsid w:val="08F37C65"/>
    <w:rsid w:val="09134DE0"/>
    <w:rsid w:val="096F2278"/>
    <w:rsid w:val="09DF635B"/>
    <w:rsid w:val="09FD3F68"/>
    <w:rsid w:val="0A3D7532"/>
    <w:rsid w:val="0A622300"/>
    <w:rsid w:val="0B390022"/>
    <w:rsid w:val="0B947E1A"/>
    <w:rsid w:val="0C0A0645"/>
    <w:rsid w:val="0C492183"/>
    <w:rsid w:val="0C6652C6"/>
    <w:rsid w:val="0C7E0802"/>
    <w:rsid w:val="0E0B4251"/>
    <w:rsid w:val="0FA2066B"/>
    <w:rsid w:val="0FA74E17"/>
    <w:rsid w:val="108D5F07"/>
    <w:rsid w:val="10CA1170"/>
    <w:rsid w:val="111D57C1"/>
    <w:rsid w:val="134539CD"/>
    <w:rsid w:val="13DD6886"/>
    <w:rsid w:val="13F73442"/>
    <w:rsid w:val="15C749B6"/>
    <w:rsid w:val="162D35CD"/>
    <w:rsid w:val="16965BDA"/>
    <w:rsid w:val="16F27A49"/>
    <w:rsid w:val="17366177"/>
    <w:rsid w:val="183A6120"/>
    <w:rsid w:val="186A5271"/>
    <w:rsid w:val="18EB6C94"/>
    <w:rsid w:val="195F61A0"/>
    <w:rsid w:val="1B792A9C"/>
    <w:rsid w:val="1CD44593"/>
    <w:rsid w:val="1D6C6C5B"/>
    <w:rsid w:val="1D7916C1"/>
    <w:rsid w:val="1F91232B"/>
    <w:rsid w:val="1FF01582"/>
    <w:rsid w:val="20114CB6"/>
    <w:rsid w:val="20293FFF"/>
    <w:rsid w:val="203C6C21"/>
    <w:rsid w:val="20BB3D0C"/>
    <w:rsid w:val="21D4178D"/>
    <w:rsid w:val="22447617"/>
    <w:rsid w:val="22A27EDF"/>
    <w:rsid w:val="22C25748"/>
    <w:rsid w:val="22E9034F"/>
    <w:rsid w:val="25865344"/>
    <w:rsid w:val="25865FE5"/>
    <w:rsid w:val="26011C1D"/>
    <w:rsid w:val="26872F33"/>
    <w:rsid w:val="26B827B9"/>
    <w:rsid w:val="27C41B42"/>
    <w:rsid w:val="28EF2765"/>
    <w:rsid w:val="299A3EB4"/>
    <w:rsid w:val="2A355A42"/>
    <w:rsid w:val="2B247965"/>
    <w:rsid w:val="2B4C0C9D"/>
    <w:rsid w:val="2C3072B6"/>
    <w:rsid w:val="2C7D5BE3"/>
    <w:rsid w:val="2D0B76FB"/>
    <w:rsid w:val="2D2D39CA"/>
    <w:rsid w:val="2DBB0585"/>
    <w:rsid w:val="2DFE4B7B"/>
    <w:rsid w:val="2EB754AD"/>
    <w:rsid w:val="307942F8"/>
    <w:rsid w:val="311F6E87"/>
    <w:rsid w:val="324F4D18"/>
    <w:rsid w:val="32D475F3"/>
    <w:rsid w:val="333F06F0"/>
    <w:rsid w:val="34356F1B"/>
    <w:rsid w:val="34A5591A"/>
    <w:rsid w:val="34C87E31"/>
    <w:rsid w:val="35112109"/>
    <w:rsid w:val="359B1E44"/>
    <w:rsid w:val="35B4723C"/>
    <w:rsid w:val="367F5412"/>
    <w:rsid w:val="36BC00A0"/>
    <w:rsid w:val="36F87D56"/>
    <w:rsid w:val="37B03454"/>
    <w:rsid w:val="38B65C18"/>
    <w:rsid w:val="398D6EA3"/>
    <w:rsid w:val="39E049E1"/>
    <w:rsid w:val="3A3E3B54"/>
    <w:rsid w:val="3CD1546D"/>
    <w:rsid w:val="3E5D4CC0"/>
    <w:rsid w:val="3F1B430C"/>
    <w:rsid w:val="3F5F57A4"/>
    <w:rsid w:val="40223251"/>
    <w:rsid w:val="40294BFC"/>
    <w:rsid w:val="40685364"/>
    <w:rsid w:val="41526A8E"/>
    <w:rsid w:val="415C6E7D"/>
    <w:rsid w:val="41D44E9C"/>
    <w:rsid w:val="41EC4915"/>
    <w:rsid w:val="427350F8"/>
    <w:rsid w:val="448C45F9"/>
    <w:rsid w:val="44936326"/>
    <w:rsid w:val="44B95819"/>
    <w:rsid w:val="44F340ED"/>
    <w:rsid w:val="44FF4A2B"/>
    <w:rsid w:val="4532191A"/>
    <w:rsid w:val="457571AF"/>
    <w:rsid w:val="4598630A"/>
    <w:rsid w:val="45DD304E"/>
    <w:rsid w:val="45EF0BE8"/>
    <w:rsid w:val="46B14334"/>
    <w:rsid w:val="47DB0CC6"/>
    <w:rsid w:val="48A657E6"/>
    <w:rsid w:val="49804AD8"/>
    <w:rsid w:val="4AA951C7"/>
    <w:rsid w:val="4AAD7390"/>
    <w:rsid w:val="4B053732"/>
    <w:rsid w:val="4C0D3AEE"/>
    <w:rsid w:val="4CDC486B"/>
    <w:rsid w:val="4D553656"/>
    <w:rsid w:val="4DDF08F6"/>
    <w:rsid w:val="4E63637F"/>
    <w:rsid w:val="4E706169"/>
    <w:rsid w:val="4F3E7CF9"/>
    <w:rsid w:val="50851465"/>
    <w:rsid w:val="51447190"/>
    <w:rsid w:val="51AB56CD"/>
    <w:rsid w:val="5204475A"/>
    <w:rsid w:val="521A38D3"/>
    <w:rsid w:val="52C10CD0"/>
    <w:rsid w:val="536A0F03"/>
    <w:rsid w:val="537902BE"/>
    <w:rsid w:val="54271764"/>
    <w:rsid w:val="550F434F"/>
    <w:rsid w:val="55384243"/>
    <w:rsid w:val="55697053"/>
    <w:rsid w:val="56287661"/>
    <w:rsid w:val="567119E0"/>
    <w:rsid w:val="57667DB0"/>
    <w:rsid w:val="579716CF"/>
    <w:rsid w:val="5A12266A"/>
    <w:rsid w:val="5B5522DD"/>
    <w:rsid w:val="5BD042DB"/>
    <w:rsid w:val="5D581AB4"/>
    <w:rsid w:val="5E59726B"/>
    <w:rsid w:val="5E5C0EFF"/>
    <w:rsid w:val="5EBB6620"/>
    <w:rsid w:val="5FDB29E8"/>
    <w:rsid w:val="5FF36FBC"/>
    <w:rsid w:val="604A486A"/>
    <w:rsid w:val="608159A5"/>
    <w:rsid w:val="6261470C"/>
    <w:rsid w:val="626369E6"/>
    <w:rsid w:val="62C372C5"/>
    <w:rsid w:val="637F32E2"/>
    <w:rsid w:val="64014AB4"/>
    <w:rsid w:val="64152D84"/>
    <w:rsid w:val="646D23FA"/>
    <w:rsid w:val="66676467"/>
    <w:rsid w:val="668D0A26"/>
    <w:rsid w:val="67512F71"/>
    <w:rsid w:val="675A4F1D"/>
    <w:rsid w:val="676E75C9"/>
    <w:rsid w:val="67B42B71"/>
    <w:rsid w:val="67D136BC"/>
    <w:rsid w:val="68C84553"/>
    <w:rsid w:val="68E472AD"/>
    <w:rsid w:val="68F25853"/>
    <w:rsid w:val="696332AE"/>
    <w:rsid w:val="69A62C09"/>
    <w:rsid w:val="6AE02BF0"/>
    <w:rsid w:val="6B2F1B19"/>
    <w:rsid w:val="6C865C2E"/>
    <w:rsid w:val="6D2B5EB3"/>
    <w:rsid w:val="6D3C1147"/>
    <w:rsid w:val="6D760F43"/>
    <w:rsid w:val="6DD91B36"/>
    <w:rsid w:val="6DF77C9B"/>
    <w:rsid w:val="6DFD4A81"/>
    <w:rsid w:val="6E6457A8"/>
    <w:rsid w:val="6EC07E80"/>
    <w:rsid w:val="6F1B786D"/>
    <w:rsid w:val="6F7F61C8"/>
    <w:rsid w:val="6F962E4B"/>
    <w:rsid w:val="6F981953"/>
    <w:rsid w:val="6FD00080"/>
    <w:rsid w:val="718E121B"/>
    <w:rsid w:val="72445CC6"/>
    <w:rsid w:val="73024434"/>
    <w:rsid w:val="7345125F"/>
    <w:rsid w:val="74384A51"/>
    <w:rsid w:val="74C334AD"/>
    <w:rsid w:val="74D67D77"/>
    <w:rsid w:val="754442A5"/>
    <w:rsid w:val="75E721C8"/>
    <w:rsid w:val="75F669A0"/>
    <w:rsid w:val="76281E07"/>
    <w:rsid w:val="763C5541"/>
    <w:rsid w:val="76E3373F"/>
    <w:rsid w:val="77024762"/>
    <w:rsid w:val="77DD0DE5"/>
    <w:rsid w:val="79ED7CB2"/>
    <w:rsid w:val="7A764DA0"/>
    <w:rsid w:val="7AA12FF7"/>
    <w:rsid w:val="7BB118B4"/>
    <w:rsid w:val="7CC2770D"/>
    <w:rsid w:val="7CC4575B"/>
    <w:rsid w:val="7D7536B2"/>
    <w:rsid w:val="7E7B470B"/>
    <w:rsid w:val="7F4A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004"/>
      <w:outlineLvl w:val="0"/>
    </w:pPr>
    <w:rPr>
      <w:b/>
      <w:bCs/>
      <w:sz w:val="24"/>
      <w:szCs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4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  <w:lang w:val="en-US" w:bidi="ar-SA"/>
    </w:rPr>
  </w:style>
  <w:style w:type="character" w:styleId="9">
    <w:name w:val="Strong"/>
    <w:basedOn w:val="8"/>
    <w:qFormat/>
    <w:uiPriority w:val="0"/>
    <w:rPr>
      <w:b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34"/>
    <w:pPr>
      <w:spacing w:before="2"/>
      <w:ind w:left="1004"/>
    </w:pPr>
  </w:style>
  <w:style w:type="paragraph" w:customStyle="1" w:styleId="12">
    <w:name w:val="Table Paragraph"/>
    <w:basedOn w:val="1"/>
    <w:qFormat/>
    <w:uiPriority w:val="1"/>
  </w:style>
  <w:style w:type="paragraph" w:customStyle="1" w:styleId="13">
    <w:name w:val="_Style 3"/>
    <w:basedOn w:val="1"/>
    <w:next w:val="11"/>
    <w:qFormat/>
    <w:uiPriority w:val="34"/>
    <w:pPr>
      <w:ind w:firstLine="420" w:firstLineChars="200"/>
    </w:pPr>
  </w:style>
  <w:style w:type="character" w:customStyle="1" w:styleId="14">
    <w:name w:val="页眉 字符"/>
    <w:basedOn w:val="8"/>
    <w:link w:val="5"/>
    <w:qFormat/>
    <w:uiPriority w:val="0"/>
    <w:rPr>
      <w:rFonts w:ascii="微软雅黑" w:hAnsi="微软雅黑" w:eastAsia="微软雅黑" w:cs="微软雅黑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3663</Words>
  <Characters>489</Characters>
  <Lines>4</Lines>
  <Paragraphs>8</Paragraphs>
  <TotalTime>65</TotalTime>
  <ScaleCrop>false</ScaleCrop>
  <LinksUpToDate>false</LinksUpToDate>
  <CharactersWithSpaces>4144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2021-08-31T07:48:00Z</dcterms:created>
  <dc:creator>就是马芸-</dc:creator>
  <cp:lastModifiedBy>诺达名师-蒋老师18188609073</cp:lastModifiedBy>
  <dcterms:modified xsi:type="dcterms:W3CDTF">2023-01-06T09:58:07Z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2020-12-08T00:00:00Z</vt:filetime>
  </property>
  <property fmtid="{D5CDD505-2E9C-101B-9397-08002B2CF9AE}" pid="5" name="KSOProductBuildVer">
    <vt:lpwstr>2052-11.1.0.12980</vt:lpwstr>
  </property>
  <property fmtid="{D5CDD505-2E9C-101B-9397-08002B2CF9AE}" pid="6" name="ICV">
    <vt:lpwstr>F7BB572F3BDD4C239D6B24050C79FA26</vt:lpwstr>
  </property>
</Properties>
</file>