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FF0000"/>
          <w:w w:val="110"/>
          <w:sz w:val="72"/>
          <w:szCs w:val="72"/>
        </w:rPr>
      </w:pPr>
      <w:r>
        <w:rPr>
          <w:rFonts w:hint="eastAsia" w:ascii="宋体" w:hAnsi="宋体"/>
          <w:b/>
          <w:color w:val="FF0000"/>
          <w:w w:val="110"/>
          <w:sz w:val="72"/>
          <w:szCs w:val="72"/>
        </w:rPr>
        <w:t>中国国际工程咨询协会</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w:t>
      </w:r>
      <w:r>
        <w:rPr>
          <w:rFonts w:hint="eastAsia" w:ascii="仿宋" w:hAnsi="仿宋" w:eastAsia="仿宋" w:cs="仿宋_GB2312"/>
          <w:color w:val="000000"/>
          <w:spacing w:val="-12"/>
          <w:sz w:val="28"/>
          <w:szCs w:val="28"/>
          <w:lang w:val="en-US" w:eastAsia="zh-CN"/>
        </w:rPr>
        <w:t>3</w:t>
      </w:r>
      <w:r>
        <w:rPr>
          <w:rFonts w:hint="eastAsia" w:ascii="仿宋" w:hAnsi="仿宋" w:eastAsia="仿宋" w:cs="仿宋_GB2312"/>
          <w:color w:val="000000"/>
          <w:spacing w:val="-12"/>
          <w:sz w:val="28"/>
          <w:szCs w:val="28"/>
        </w:rPr>
        <w:t>]</w:t>
      </w:r>
      <w:r>
        <w:rPr>
          <w:rFonts w:hint="eastAsia" w:ascii="仿宋" w:hAnsi="仿宋" w:eastAsia="仿宋" w:cs="仿宋_GB2312"/>
          <w:color w:val="000000"/>
          <w:spacing w:val="-12"/>
          <w:sz w:val="28"/>
          <w:szCs w:val="28"/>
          <w:lang w:val="en-US" w:eastAsia="zh-CN"/>
        </w:rPr>
        <w:t xml:space="preserve"> 08</w:t>
      </w:r>
      <w:r>
        <w:rPr>
          <w:rFonts w:hint="eastAsia" w:ascii="仿宋" w:hAnsi="仿宋" w:eastAsia="仿宋" w:cs="仿宋_GB2312"/>
          <w:color w:val="000000"/>
          <w:spacing w:val="-12"/>
          <w:sz w:val="28"/>
          <w:szCs w:val="28"/>
        </w:rPr>
        <w:t>号</w:t>
      </w:r>
    </w:p>
    <w:p>
      <w:pPr>
        <w:jc w:val="center"/>
        <w:rPr>
          <w:rFonts w:ascii="仿宋" w:hAnsi="仿宋" w:eastAsia="仿宋" w:cs="Times New Roman"/>
        </w:rPr>
      </w:pPr>
      <w:r>
        <w:rPr>
          <w:rFonts w:ascii="仿宋" w:hAnsi="仿宋" w:eastAsia="仿宋" w:cs="Times New Roma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5848350" cy="0"/>
                <wp:effectExtent l="0" t="9525" r="3810" b="13335"/>
                <wp:wrapNone/>
                <wp:docPr id="1"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6.1pt;height:0pt;width:460.5pt;z-index:251659264;mso-width-relative:page;mso-height-relative:page;" filled="f" stroked="t" coordsize="21600,21600" o:gfxdata="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l95HWAAAACAEAAA8AAAAAAAAAAQAgAAAAIgAAAGRycy9kb3du&#10;cmV2LnhtbFBLAQIUABQAAAAIAIdO4kCU7TkXAQIAAPIDAAAOAAAAAAAAAAEAIAAAACUBAABkcnMv&#10;ZTJvRG9jLnhtbFBLBQYAAAAABgAGAFkBAACYBQAAAAA=&#10;">
                <v:fill on="f" focussize="0,0"/>
                <v:stroke weight="1.5pt" color="#FF0000" joinstyle="round"/>
                <v:imagedata o:title=""/>
                <o:lock v:ext="edit" aspectratio="f"/>
              </v:line>
            </w:pict>
          </mc:Fallback>
        </mc:AlternateContent>
      </w:r>
    </w:p>
    <w:p>
      <w:pPr>
        <w:jc w:val="center"/>
        <w:rPr>
          <w:rFonts w:hint="eastAsia" w:ascii="仿宋" w:hAnsi="仿宋" w:eastAsia="仿宋" w:cs="仿宋"/>
          <w:b/>
          <w:bCs w:val="0"/>
          <w:sz w:val="36"/>
          <w:szCs w:val="36"/>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关于举办建设项目“危大工程”</w:t>
      </w:r>
      <w:r>
        <w:rPr>
          <w:rFonts w:hint="eastAsia" w:ascii="仿宋" w:hAnsi="仿宋" w:eastAsia="仿宋" w:cs="仿宋"/>
          <w:b/>
          <w:bCs w:val="0"/>
          <w:sz w:val="32"/>
          <w:szCs w:val="32"/>
          <w:lang w:eastAsia="zh-CN"/>
        </w:rPr>
        <w:t>暨全过程</w:t>
      </w:r>
      <w:r>
        <w:rPr>
          <w:rFonts w:hint="eastAsia" w:ascii="仿宋" w:hAnsi="仿宋" w:eastAsia="仿宋" w:cs="仿宋"/>
          <w:b/>
          <w:bCs w:val="0"/>
          <w:sz w:val="32"/>
          <w:szCs w:val="32"/>
        </w:rPr>
        <w:t>安全管理与风险防范专题培训班的通知</w:t>
      </w:r>
    </w:p>
    <w:p>
      <w:pPr>
        <w:spacing w:line="320" w:lineRule="exact"/>
        <w:jc w:val="left"/>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各有关单位</w:t>
      </w:r>
      <w:r>
        <w:rPr>
          <w:rFonts w:ascii="仿宋" w:hAnsi="仿宋" w:eastAsia="仿宋" w:cs="仿宋_GB2312"/>
          <w:b/>
          <w:bCs/>
          <w:color w:val="000000"/>
          <w:w w:val="90"/>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有效管控建筑施工安全风险、防范生产安全事故发生，2018年，住建部印发《危险性较大的分部分项工程安全管理规定》（住建部令第37号）。2021年，住建部发布《危险性较大的分部分项工程专项施工方案编制指南》，进一步规范危大工程专项施工方案编制，明确、细化基坑工程、模板支撑体系工程、起重吊装及安装拆卸工程、脚手架工程、拆除工程、暗挖工程、建筑幕墙安装工程、人工挖孔桩工程和钢结构安装工程等9类危险性较大的分部分项工程施工方案内容，使之规范化、标准化。2022年，住建部印发《房屋市政工程生产安全重大事故隐患判定标准（2022版）》的通知（建质规〔2022〕2号），要求各级住房和城乡建设主管部门要把重大风险隐患当成事故来对待，将《判定标准》作为监管执法的重要依据，督促工程建设各方依法落实重大事故隐患排查治理主体责任，准确判定、及时消除各类重大事故隐患。2022年，住建部印发《“十四五”建筑业发展规划》，提出开展危险性较大的分部分项工程专项治理工作，到2025 年重大安全风险管控和隐患排查治理机制更加健全，安全生产责任体系更加完善，安全科技支撑能力显著增强，施工安全事故得到有效遏制。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帮助相关单位学习和掌握建设领域最新安全政策、标准规范，落实建设项目安全要求，保障生命安全。我会决定举办建设项目“危大工程”暨全过程安全管理与风险防范专题培训班。本次培训班由中国国际工程咨询协会主办，</w:t>
      </w:r>
      <w:r>
        <w:rPr>
          <w:rFonts w:hint="eastAsia" w:ascii="仿宋" w:hAnsi="仿宋" w:eastAsia="仿宋" w:cs="仿宋"/>
          <w:color w:val="000000"/>
          <w:spacing w:val="10"/>
          <w:kern w:val="2"/>
          <w:sz w:val="28"/>
          <w:szCs w:val="28"/>
          <w:shd w:val="clear" w:color="auto" w:fill="auto"/>
          <w:lang w:val="zh-CN" w:eastAsia="zh-CN"/>
        </w:rPr>
        <w:t>北京中科领航教育咨询有限公司</w:t>
      </w:r>
      <w:r>
        <w:rPr>
          <w:rFonts w:hint="eastAsia" w:ascii="仿宋" w:hAnsi="仿宋" w:eastAsia="仿宋" w:cs="仿宋"/>
          <w:color w:val="000000"/>
          <w:spacing w:val="10"/>
          <w:kern w:val="2"/>
          <w:sz w:val="28"/>
          <w:szCs w:val="28"/>
          <w:shd w:val="clear" w:color="auto" w:fill="auto"/>
        </w:rPr>
        <w:t>承办</w:t>
      </w:r>
      <w:r>
        <w:rPr>
          <w:rFonts w:hint="eastAsia" w:ascii="仿宋" w:hAnsi="仿宋" w:eastAsia="仿宋" w:cs="仿宋"/>
          <w:color w:val="000000"/>
          <w:spacing w:val="10"/>
          <w:kern w:val="2"/>
          <w:sz w:val="28"/>
          <w:szCs w:val="28"/>
          <w:shd w:val="clear" w:color="auto" w:fill="auto"/>
          <w:lang w:val="en-US" w:eastAsia="zh-CN" w:bidi="ar-SA"/>
        </w:rPr>
        <w:t>。请各单位积极组织本单位及相关人员参加。现将有关事宜通知如下：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44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一、培训内容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（一）</w:t>
      </w:r>
      <w:r>
        <w:rPr>
          <w:rFonts w:hint="eastAsia" w:ascii="仿宋" w:hAnsi="仿宋" w:eastAsia="仿宋" w:cs="仿宋"/>
          <w:b/>
          <w:bCs/>
          <w:color w:val="000000"/>
          <w:w w:val="90"/>
          <w:kern w:val="2"/>
          <w:sz w:val="28"/>
          <w:szCs w:val="28"/>
          <w:lang w:eastAsia="zh-CN"/>
        </w:rPr>
        <w:t>建设项目安全生产</w:t>
      </w:r>
      <w:r>
        <w:rPr>
          <w:rFonts w:hint="eastAsia" w:ascii="仿宋" w:hAnsi="仿宋" w:eastAsia="仿宋" w:cs="仿宋"/>
          <w:b/>
          <w:bCs/>
          <w:color w:val="000000"/>
          <w:w w:val="90"/>
          <w:kern w:val="2"/>
          <w:sz w:val="28"/>
          <w:szCs w:val="28"/>
        </w:rPr>
        <w:t>相关政策</w:t>
      </w:r>
      <w:r>
        <w:rPr>
          <w:rFonts w:hint="eastAsia" w:ascii="仿宋" w:hAnsi="仿宋" w:eastAsia="仿宋" w:cs="仿宋"/>
          <w:b/>
          <w:bCs/>
          <w:color w:val="000000"/>
          <w:w w:val="90"/>
          <w:kern w:val="2"/>
          <w:sz w:val="28"/>
          <w:szCs w:val="28"/>
          <w:lang w:val="en-US" w:eastAsia="zh-CN"/>
        </w:rPr>
        <w:t>、标准</w:t>
      </w:r>
      <w:r>
        <w:rPr>
          <w:rFonts w:hint="eastAsia" w:ascii="仿宋" w:hAnsi="仿宋" w:eastAsia="仿宋" w:cs="仿宋"/>
          <w:b/>
          <w:bCs/>
          <w:color w:val="000000"/>
          <w:w w:val="90"/>
          <w:kern w:val="2"/>
          <w:sz w:val="28"/>
          <w:szCs w:val="28"/>
        </w:rPr>
        <w:t>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1.《中华人民共和国安全生产法》解读；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2.《危险性较大的分部分项工程安全管理规定》（住建部令第37号）解读；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3.《危险性较大的分部分项工程专项施工方案编制指南》解读；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4.《房屋市政工程生产安全重大事故隐患判定标准（2022版）》解读；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5.《城市轨道交通工程基坑、隧道施工坍塌防范导则》解读。</w:t>
      </w:r>
    </w:p>
    <w:p>
      <w:pPr>
        <w:keepNext w:val="0"/>
        <w:keepLines w:val="0"/>
        <w:pageBreakBefore w:val="0"/>
        <w:tabs>
          <w:tab w:val="left" w:pos="567"/>
          <w:tab w:val="left" w:pos="709"/>
          <w:tab w:val="left" w:pos="851"/>
          <w:tab w:val="right" w:leader="dot" w:pos="8296"/>
        </w:tabs>
        <w:kinsoku/>
        <w:wordWrap/>
        <w:overflowPunct/>
        <w:topLinePunct w:val="0"/>
        <w:autoSpaceDE/>
        <w:autoSpaceDN/>
        <w:bidi w:val="0"/>
        <w:adjustRightInd/>
        <w:snapToGrid/>
        <w:spacing w:line="400" w:lineRule="exact"/>
        <w:ind w:leftChars="0" w:firstLine="253" w:firstLineChars="100"/>
        <w:jc w:val="left"/>
        <w:rPr>
          <w:rFonts w:hint="eastAsia" w:ascii="仿宋" w:hAnsi="仿宋" w:eastAsia="仿宋" w:cs="仿宋"/>
          <w:b/>
          <w:w w:val="90"/>
          <w:kern w:val="0"/>
          <w:sz w:val="28"/>
          <w:szCs w:val="28"/>
        </w:rPr>
      </w:pPr>
      <w:r>
        <w:rPr>
          <w:rFonts w:hint="eastAsia" w:ascii="仿宋" w:hAnsi="仿宋" w:eastAsia="仿宋" w:cs="仿宋"/>
          <w:b/>
          <w:w w:val="90"/>
          <w:kern w:val="0"/>
          <w:sz w:val="28"/>
          <w:szCs w:val="28"/>
        </w:rPr>
        <w:t>（二）</w:t>
      </w:r>
      <w:r>
        <w:rPr>
          <w:rFonts w:hint="eastAsia" w:ascii="仿宋" w:hAnsi="仿宋" w:eastAsia="仿宋" w:cs="仿宋"/>
          <w:b/>
          <w:w w:val="90"/>
          <w:sz w:val="28"/>
          <w:szCs w:val="28"/>
        </w:rPr>
        <w:t>建设</w:t>
      </w:r>
      <w:r>
        <w:rPr>
          <w:rFonts w:hint="eastAsia" w:ascii="仿宋" w:hAnsi="仿宋" w:eastAsia="仿宋" w:cs="仿宋"/>
          <w:b/>
          <w:bCs/>
          <w:w w:val="90"/>
          <w:sz w:val="28"/>
          <w:szCs w:val="28"/>
        </w:rPr>
        <w:t>项目</w:t>
      </w:r>
      <w:r>
        <w:rPr>
          <w:rFonts w:hint="eastAsia" w:ascii="仿宋" w:hAnsi="仿宋" w:eastAsia="仿宋" w:cs="仿宋"/>
          <w:b/>
          <w:w w:val="90"/>
          <w:kern w:val="0"/>
          <w:sz w:val="28"/>
          <w:szCs w:val="28"/>
        </w:rPr>
        <w:t>安全生产管理实务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1.项目安全生产管理计划应满足事故预防的管理要求，并应符合的规定；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bookmarkStart w:id="0" w:name="_Toc419217405"/>
      <w:r>
        <w:rPr>
          <w:rFonts w:hint="eastAsia" w:ascii="仿宋" w:hAnsi="仿宋" w:eastAsia="仿宋" w:cs="仿宋"/>
          <w:color w:val="000000"/>
          <w:spacing w:val="10"/>
          <w:kern w:val="2"/>
          <w:sz w:val="28"/>
          <w:szCs w:val="28"/>
          <w:shd w:val="clear" w:color="auto" w:fill="auto"/>
          <w:lang w:val="en-US" w:eastAsia="zh-CN" w:bidi="ar-SA"/>
        </w:rPr>
        <w:t>2.施工现场的安全生产管理应符合的要求；</w:t>
      </w:r>
    </w:p>
    <w:bookmarkEnd w:id="0"/>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3.项目管理机构应急准备与响应预案应包括的内容；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4.组织应按相关规定实施项目安全生产管理评价，评估项目安全生产能力满足规定要求的程度；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5.安全生产管理检查与评价的程序、方法、标准、评价人员应执行的相关规定；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6.项目管理机构实施项目安全管理标准化工作，开展安全文明工地建设活动的有关要求。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 xml:space="preserve"> </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三</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建设工程安全风险分级管控与关键技术实务操作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w w:val="90"/>
          <w:kern w:val="2"/>
          <w:sz w:val="28"/>
          <w:szCs w:val="28"/>
        </w:rPr>
      </w:pPr>
      <w:r>
        <w:rPr>
          <w:rFonts w:hint="eastAsia" w:ascii="仿宋" w:hAnsi="仿宋" w:eastAsia="仿宋" w:cs="仿宋"/>
          <w:color w:val="000000"/>
          <w:spacing w:val="10"/>
          <w:kern w:val="2"/>
          <w:sz w:val="28"/>
          <w:szCs w:val="28"/>
          <w:shd w:val="clear" w:color="auto" w:fill="auto"/>
          <w:lang w:val="en-US" w:eastAsia="zh-CN" w:bidi="ar-SA"/>
        </w:rPr>
        <w:t>（3）高处作业吊篮事故</w:t>
      </w:r>
      <w:r>
        <w:rPr>
          <w:rFonts w:hint="eastAsia" w:ascii="仿宋" w:hAnsi="仿宋" w:eastAsia="仿宋" w:cs="仿宋"/>
          <w:color w:val="000000"/>
          <w:w w:val="90"/>
          <w:kern w:val="2"/>
          <w:sz w:val="28"/>
          <w:szCs w:val="28"/>
        </w:rPr>
        <w:t>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color w:val="000000"/>
          <w:w w:val="90"/>
          <w:kern w:val="2"/>
          <w:sz w:val="28"/>
          <w:szCs w:val="28"/>
        </w:rPr>
      </w:pPr>
      <w:r>
        <w:rPr>
          <w:rFonts w:hint="eastAsia" w:ascii="仿宋" w:hAnsi="仿宋" w:eastAsia="仿宋" w:cs="仿宋"/>
          <w:color w:val="000000"/>
          <w:w w:val="90"/>
          <w:kern w:val="2"/>
          <w:sz w:val="28"/>
          <w:szCs w:val="28"/>
        </w:rPr>
        <w:t>4</w:t>
      </w:r>
      <w:r>
        <w:rPr>
          <w:rFonts w:hint="eastAsia" w:ascii="仿宋" w:hAnsi="仿宋" w:eastAsia="仿宋" w:cs="仿宋"/>
          <w:color w:val="000000"/>
          <w:w w:val="90"/>
          <w:kern w:val="2"/>
          <w:sz w:val="28"/>
          <w:szCs w:val="28"/>
          <w:lang w:eastAsia="zh-CN"/>
        </w:rPr>
        <w:t>.</w:t>
      </w:r>
      <w:r>
        <w:rPr>
          <w:rFonts w:hint="eastAsia" w:ascii="仿宋" w:hAnsi="仿宋" w:eastAsia="仿宋" w:cs="仿宋"/>
          <w:color w:val="000000"/>
          <w:w w:val="90"/>
          <w:kern w:val="2"/>
          <w:sz w:val="28"/>
          <w:szCs w:val="28"/>
        </w:rPr>
        <w:t>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(四)建设施工过程中安全隐患排查治理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(五)危大工程安全管理实务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（六）安全管理信息化建设项目解决方案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1.建筑施工安全信息化管理现状；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2.基于网络及数据的安全管理信息系统；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3.隐患排查标准不统一；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4.隐患整改跟进落实不到位；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5.安全教育培训管理易疏漏。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（七）如何规避安全事故引起的刑事法律风险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2.企业主要负责人和安全生产管理人员常见的刑事法律风险；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3.典型的安全事故追责案件辩护实录及精解；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4.刑辩律师视角下看企业主要负责人和安全生产管理人员应如何规避安全事故引发的刑事法律风险。</w:t>
      </w:r>
    </w:p>
    <w:p>
      <w:pPr>
        <w:keepNext w:val="0"/>
        <w:keepLines w:val="0"/>
        <w:pageBreakBefore w:val="0"/>
        <w:kinsoku/>
        <w:wordWrap/>
        <w:overflowPunct/>
        <w:topLinePunct w:val="0"/>
        <w:autoSpaceDE/>
        <w:autoSpaceDN/>
        <w:bidi w:val="0"/>
        <w:adjustRightInd/>
        <w:snapToGrid/>
        <w:spacing w:line="400" w:lineRule="exact"/>
        <w:ind w:leftChars="0" w:firstLine="253" w:firstLineChars="100"/>
        <w:rPr>
          <w:rFonts w:hint="eastAsia" w:ascii="仿宋" w:hAnsi="仿宋" w:eastAsia="仿宋" w:cs="仿宋"/>
          <w:b/>
          <w:w w:val="90"/>
          <w:sz w:val="28"/>
          <w:szCs w:val="28"/>
        </w:rPr>
      </w:pPr>
      <w:r>
        <w:rPr>
          <w:rFonts w:hint="eastAsia" w:ascii="仿宋" w:hAnsi="仿宋" w:eastAsia="仿宋" w:cs="仿宋"/>
          <w:b/>
          <w:w w:val="90"/>
          <w:sz w:val="28"/>
          <w:szCs w:val="28"/>
          <w:lang w:eastAsia="zh-CN"/>
        </w:rPr>
        <w:t>（</w:t>
      </w:r>
      <w:r>
        <w:rPr>
          <w:rFonts w:hint="eastAsia" w:ascii="仿宋" w:hAnsi="仿宋" w:eastAsia="仿宋" w:cs="仿宋"/>
          <w:b/>
          <w:w w:val="90"/>
          <w:sz w:val="28"/>
          <w:szCs w:val="28"/>
        </w:rPr>
        <w:t>八</w:t>
      </w:r>
      <w:r>
        <w:rPr>
          <w:rFonts w:hint="eastAsia" w:ascii="仿宋" w:hAnsi="仿宋" w:eastAsia="仿宋" w:cs="仿宋"/>
          <w:b/>
          <w:w w:val="90"/>
          <w:sz w:val="28"/>
          <w:szCs w:val="28"/>
          <w:lang w:eastAsia="zh-CN"/>
        </w:rPr>
        <w:t>）</w:t>
      </w:r>
      <w:r>
        <w:rPr>
          <w:rFonts w:hint="eastAsia" w:ascii="仿宋" w:hAnsi="仿宋" w:eastAsia="仿宋" w:cs="仿宋"/>
          <w:b/>
          <w:w w:val="90"/>
          <w:sz w:val="28"/>
          <w:szCs w:val="28"/>
        </w:rPr>
        <w:t>工程行业相关法律法规综合解读（建筑法和建筑工程安全管理条例）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2.监理单位的法定安全职责和法律责任；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3.施工单位的法定安全职责和法律责任。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施工单位主要安全负责人、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2023年03月24日—03月27日    南宁市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2023年04月21日—04月24日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长沙</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市 （21日全天报到）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2023年05月26日—05月29日    郑州市 （26日全天报到）</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3"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B.5600元/人（含培训、资料、电子课件、场地、证书及培训期间午餐），住宿统一安排，费用自理。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t>六、课程权益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1.本培训班常年举办，本人全年免费复训一次，只交资料费300元即可，赠送同主题一次网络课程；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2.推送各类行业政策新闻及专家解读相关资讯信息；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rPr>
      </w:pPr>
      <w:r>
        <w:rPr>
          <w:rFonts w:hint="eastAsia" w:ascii="仿宋" w:hAnsi="仿宋" w:eastAsia="仿宋" w:cs="仿宋"/>
          <w:color w:val="000000"/>
          <w:spacing w:val="10"/>
          <w:kern w:val="2"/>
          <w:sz w:val="28"/>
          <w:szCs w:val="28"/>
          <w:shd w:val="clear" w:color="auto" w:fill="auto"/>
          <w:lang w:val="en-US" w:eastAsia="zh-CN"/>
        </w:rPr>
        <w:t>培训结束后，经考核合格，由我会颁发“《安全总监》、《安全管理工程师》”证书。</w:t>
      </w:r>
      <w:r>
        <w:rPr>
          <w:rFonts w:ascii="仿宋" w:hAnsi="仿宋" w:eastAsia="仿宋" w:cs="仿宋"/>
          <w:bCs/>
          <w:kern w:val="2"/>
          <w:sz w:val="28"/>
          <w:szCs w:val="28"/>
        </w:rPr>
        <w:t>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3"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七</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联系人：郭磊老师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电  话：18701646027（同微信）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邮  箱：2952107154@qq.com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3175000</wp:posOffset>
            </wp:positionH>
            <wp:positionV relativeFrom="paragraph">
              <wp:posOffset>244475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5">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0" w:firstLineChars="16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二0二三年一月十三日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tabs>
          <w:tab w:val="left" w:pos="567"/>
          <w:tab w:val="left" w:pos="709"/>
        </w:tabs>
        <w:spacing w:line="320" w:lineRule="exact"/>
        <w:jc w:val="both"/>
        <w:textAlignment w:val="baseline"/>
        <w:outlineLvl w:val="0"/>
        <w:rPr>
          <w:rFonts w:hint="eastAsia" w:ascii="仿宋" w:hAnsi="仿宋" w:eastAsia="仿宋" w:cs="仿宋_GB2312"/>
          <w:b/>
          <w:bCs/>
          <w:color w:val="000000"/>
          <w:sz w:val="32"/>
          <w:szCs w:val="32"/>
        </w:rPr>
      </w:pP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建设项目“危大工程”暨全过程安全管理与风险防范专题培训班</w:t>
      </w: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报名回执表</w:t>
      </w:r>
    </w:p>
    <w:tbl>
      <w:tblPr>
        <w:tblStyle w:val="8"/>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eastAsia="zh-CN"/>
              </w:rPr>
              <w:t>账</w:t>
            </w:r>
            <w:r>
              <w:rPr>
                <w:rFonts w:hint="eastAsia" w:ascii="仿宋" w:hAnsi="仿宋" w:eastAsia="仿宋" w:cs="仿宋"/>
                <w:bCs/>
                <w:w w:val="100"/>
                <w:sz w:val="24"/>
                <w:szCs w:val="24"/>
                <w:lang w:val="zh-CN"/>
              </w:rPr>
              <w:t xml:space="preserve">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w:t>
            </w:r>
            <w:r>
              <w:rPr>
                <w:rFonts w:hint="eastAsia" w:ascii="仿宋" w:hAnsi="仿宋" w:eastAsia="仿宋" w:cs="仿宋"/>
                <w:bCs/>
                <w:w w:val="100"/>
                <w:sz w:val="24"/>
                <w:szCs w:val="24"/>
                <w:lang w:val="en-US" w:eastAsia="zh-CN"/>
              </w:rPr>
              <w:t>76612</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560" w:firstLineChars="2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b/>
          <w:bCs w:val="0"/>
          <w:color w:val="000000" w:themeColor="text1"/>
          <w:kern w:val="2"/>
          <w:sz w:val="28"/>
          <w:szCs w:val="28"/>
          <w:shd w:val="clear"/>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shd w:val="clear"/>
          <w:lang w:val="zh-CN" w:eastAsia="zh-CN" w:bidi="ar-SA"/>
          <w14:textFill>
            <w14:solidFill>
              <w14:schemeClr w14:val="tx1"/>
            </w14:solidFill>
          </w14:textFill>
        </w:rPr>
        <w:t>联系人：郭磊老师</w:t>
      </w:r>
      <w:r>
        <w:rPr>
          <w:rFonts w:hint="eastAsia" w:ascii="仿宋" w:hAnsi="仿宋" w:eastAsia="仿宋" w:cs="仿宋"/>
          <w:b/>
          <w:bCs w:val="0"/>
          <w:color w:val="000000" w:themeColor="text1"/>
          <w:kern w:val="2"/>
          <w:sz w:val="28"/>
          <w:szCs w:val="28"/>
          <w:shd w:val="clear"/>
          <w:lang w:val="en-US" w:eastAsia="zh-CN" w:bidi="ar-SA"/>
          <w14:textFill>
            <w14:solidFill>
              <w14:schemeClr w14:val="tx1"/>
            </w14:solidFill>
          </w14:textFill>
        </w:rPr>
        <w:t xml:space="preserve"> </w:t>
      </w:r>
      <w:bookmarkStart w:id="1" w:name="_GoBack"/>
      <w:bookmarkEnd w:id="1"/>
      <w:r>
        <w:rPr>
          <w:rFonts w:hint="eastAsia" w:ascii="仿宋" w:hAnsi="仿宋" w:eastAsia="仿宋" w:cs="仿宋"/>
          <w:b/>
          <w:bCs w:val="0"/>
          <w:color w:val="000000" w:themeColor="text1"/>
          <w:kern w:val="2"/>
          <w:sz w:val="28"/>
          <w:szCs w:val="28"/>
          <w:shd w:val="clear"/>
          <w:lang w:val="en-US" w:eastAsia="zh-CN" w:bidi="ar-SA"/>
          <w14:textFill>
            <w14:solidFill>
              <w14:schemeClr w14:val="tx1"/>
            </w14:solidFill>
          </w14:textFill>
        </w:rPr>
        <w:t xml:space="preserve">18701646027（同微信）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b/>
          <w:bCs w:val="0"/>
          <w:color w:val="000000" w:themeColor="text1"/>
          <w:kern w:val="2"/>
          <w:sz w:val="28"/>
          <w:szCs w:val="28"/>
          <w:shd w:val="clear"/>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shd w:val="clear"/>
          <w:lang w:val="en-US" w:eastAsia="zh-CN" w:bidi="ar-SA"/>
          <w14:textFill>
            <w14:solidFill>
              <w14:schemeClr w14:val="tx1"/>
            </w14:solidFill>
          </w14:textFill>
        </w:rPr>
        <w:t xml:space="preserve">邮  箱：2952107154@qq.com </w:t>
      </w:r>
      <w:r>
        <w:rPr>
          <w:rFonts w:hint="eastAsia" w:ascii="仿宋" w:hAnsi="仿宋" w:eastAsia="仿宋" w:cs="仿宋"/>
          <w:b/>
          <w:bCs w:val="0"/>
          <w:color w:val="000000" w:themeColor="text1"/>
          <w:kern w:val="2"/>
          <w:sz w:val="28"/>
          <w:szCs w:val="28"/>
          <w:shd w:val="clear"/>
          <w:lang w:val="zh-CN" w:eastAsia="zh-CN" w:bidi="ar-SA"/>
          <w14:textFill>
            <w14:solidFill>
              <w14:schemeClr w14:val="tx1"/>
            </w14:solidFill>
          </w14:textFill>
        </w:rPr>
        <w:t xml:space="preserve"> </w:t>
      </w:r>
    </w:p>
    <w:p>
      <w:pPr>
        <w:spacing w:line="400" w:lineRule="exact"/>
        <w:rPr>
          <w:rFonts w:ascii="仿宋" w:hAnsi="仿宋" w:eastAsia="仿宋" w:cs="仿宋_GB2312"/>
          <w:bCs/>
          <w:color w:val="000000"/>
          <w:sz w:val="28"/>
          <w:szCs w:val="28"/>
        </w:rPr>
      </w:pP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jlmYjIyOTZkMGIzOGIzOWJkZmY2NjM4N2YyNWY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E63DA1"/>
    <w:rsid w:val="063F1274"/>
    <w:rsid w:val="07D01B5E"/>
    <w:rsid w:val="08C2594B"/>
    <w:rsid w:val="094B11BC"/>
    <w:rsid w:val="0A971D96"/>
    <w:rsid w:val="0B30198C"/>
    <w:rsid w:val="101133B7"/>
    <w:rsid w:val="105129C5"/>
    <w:rsid w:val="107C6D27"/>
    <w:rsid w:val="1149633E"/>
    <w:rsid w:val="14AE254B"/>
    <w:rsid w:val="173533D7"/>
    <w:rsid w:val="1FB12AFA"/>
    <w:rsid w:val="22D84291"/>
    <w:rsid w:val="24DC4D6F"/>
    <w:rsid w:val="27F96D69"/>
    <w:rsid w:val="281612B4"/>
    <w:rsid w:val="2944586D"/>
    <w:rsid w:val="2E58122D"/>
    <w:rsid w:val="3391591B"/>
    <w:rsid w:val="33A41AA3"/>
    <w:rsid w:val="343F5187"/>
    <w:rsid w:val="357B0FAE"/>
    <w:rsid w:val="3699743B"/>
    <w:rsid w:val="37610C7D"/>
    <w:rsid w:val="379813FB"/>
    <w:rsid w:val="37C82AE4"/>
    <w:rsid w:val="39491CE4"/>
    <w:rsid w:val="3A2B124D"/>
    <w:rsid w:val="3D2A7B71"/>
    <w:rsid w:val="3E664B6D"/>
    <w:rsid w:val="437B6926"/>
    <w:rsid w:val="438651D3"/>
    <w:rsid w:val="446529ED"/>
    <w:rsid w:val="44A616A1"/>
    <w:rsid w:val="451E56DB"/>
    <w:rsid w:val="460D2589"/>
    <w:rsid w:val="47415467"/>
    <w:rsid w:val="4777325F"/>
    <w:rsid w:val="4B8359A5"/>
    <w:rsid w:val="4BE0656F"/>
    <w:rsid w:val="4DD354BD"/>
    <w:rsid w:val="4E57326C"/>
    <w:rsid w:val="50957218"/>
    <w:rsid w:val="50C81726"/>
    <w:rsid w:val="5236594B"/>
    <w:rsid w:val="527F2630"/>
    <w:rsid w:val="5453405A"/>
    <w:rsid w:val="54683335"/>
    <w:rsid w:val="57CA5049"/>
    <w:rsid w:val="57E15B41"/>
    <w:rsid w:val="5BDF1AF2"/>
    <w:rsid w:val="5C3816D7"/>
    <w:rsid w:val="5FB47DE5"/>
    <w:rsid w:val="600F05EB"/>
    <w:rsid w:val="615D0EE2"/>
    <w:rsid w:val="638A686D"/>
    <w:rsid w:val="63B84051"/>
    <w:rsid w:val="648D71A0"/>
    <w:rsid w:val="65CF4766"/>
    <w:rsid w:val="66EB6240"/>
    <w:rsid w:val="68DB306A"/>
    <w:rsid w:val="699279AE"/>
    <w:rsid w:val="6BAB44AE"/>
    <w:rsid w:val="6F074FFF"/>
    <w:rsid w:val="6FEC567C"/>
    <w:rsid w:val="7102558A"/>
    <w:rsid w:val="715E40C3"/>
    <w:rsid w:val="76C03B43"/>
    <w:rsid w:val="78CC06D3"/>
    <w:rsid w:val="791D53D0"/>
    <w:rsid w:val="796B7EBB"/>
    <w:rsid w:val="79C96EB1"/>
    <w:rsid w:val="7ED25187"/>
    <w:rsid w:val="7EFE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Strong"/>
    <w:basedOn w:val="9"/>
    <w:qFormat/>
    <w:uiPriority w:val="22"/>
    <w:rPr>
      <w:rFonts w:cs="Times New Roman"/>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9"/>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2758</Words>
  <Characters>2951</Characters>
  <Lines>25</Lines>
  <Paragraphs>7</Paragraphs>
  <TotalTime>0</TotalTime>
  <ScaleCrop>false</ScaleCrop>
  <LinksUpToDate>false</LinksUpToDate>
  <CharactersWithSpaces>3125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WPS_1665626516</cp:lastModifiedBy>
  <dcterms:modified xsi:type="dcterms:W3CDTF">2023-02-22T07:47:14Z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0711347D04404FDE86F6A8C7EE565262</vt:lpwstr>
  </property>
</Properties>
</file>