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-1074420</wp:posOffset>
            </wp:positionV>
            <wp:extent cx="7927975" cy="10930255"/>
            <wp:effectExtent l="0" t="0" r="22225" b="17145"/>
            <wp:wrapNone/>
            <wp:docPr id="1" name="图片 1" descr="6.乡村振兴文件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乡村振兴文件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7975" cy="1093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Autospacing="0" w:afterAutospacing="0" w:line="240" w:lineRule="auto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-1009015</wp:posOffset>
            </wp:positionV>
            <wp:extent cx="8004175" cy="10857865"/>
            <wp:effectExtent l="0" t="0" r="22225" b="13335"/>
            <wp:wrapNone/>
            <wp:docPr id="2" name="图片 2" descr="6.乡村振兴文件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.乡村振兴文件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4175" cy="108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240" w:lineRule="auto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snapToGrid w:val="0"/>
        <w:spacing w:beforeAutospacing="0" w:afterAutospacing="0" w:line="600" w:lineRule="exact"/>
        <w:rPr>
          <w:rFonts w:ascii="Times New Roman" w:hAnsi="Times New Roman" w:eastAsia="仿宋_GB2312"/>
          <w:spacing w:val="8"/>
          <w:sz w:val="30"/>
          <w:szCs w:val="30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snapToGrid w:val="0"/>
        <w:spacing w:beforeAutospacing="0" w:afterAutospacing="0"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附件1</w:t>
      </w:r>
    </w:p>
    <w:p>
      <w:pPr>
        <w:snapToGrid w:val="0"/>
        <w:spacing w:beforeAutospacing="0" w:afterAutospacing="0" w:line="600" w:lineRule="exact"/>
        <w:jc w:val="center"/>
        <w:rPr>
          <w:rFonts w:ascii="宋体" w:hAnsi="宋体" w:eastAsia="宋体" w:cs="宋体"/>
          <w:b/>
          <w:bCs w:val="0"/>
          <w:sz w:val="44"/>
          <w:szCs w:val="44"/>
        </w:rPr>
      </w:pPr>
      <w:r>
        <w:rPr>
          <w:rFonts w:ascii="宋体" w:hAnsi="宋体" w:eastAsia="宋体" w:cs="宋体"/>
          <w:b/>
          <w:bCs w:val="0"/>
          <w:sz w:val="44"/>
          <w:szCs w:val="44"/>
        </w:rPr>
        <w:t>招生简章</w:t>
      </w:r>
    </w:p>
    <w:p>
      <w:pPr>
        <w:snapToGrid w:val="0"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一、组织机构</w:t>
      </w:r>
    </w:p>
    <w:p>
      <w:pPr>
        <w:snapToGrid w:val="0"/>
        <w:spacing w:beforeAutospacing="0" w:afterAutospacing="0"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snapToGrid w:val="0"/>
        <w:spacing w:beforeAutospacing="0" w:afterAutospacing="0"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二、培训内容（详细内容见附件2）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1.中央农村工作会议重点解读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2.乡村振兴人才培养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3.乡村振兴人才综合素养能力提升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4.乡村振兴规划编制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5.乡村振兴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浙江特色与浙江经验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案例介绍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6.特色小镇产业培育与发展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三、培训对象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地方各级农业农村主管部门、乡村振兴主管部门；农业农村供销合作社、各村（涉农社区）主要负责人、农业农村规划、研究、科研机构、平台公司、农业产业相关企业负责人等。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四、授课专家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0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拟邀请国务院发展研究中心、农业农村部经济研究中心、中国社科院、中国人民大学等有关部门的专家学者家现场授课，结合经典实例分析，并进行现场答疑和互动交流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sz w:val="28"/>
          <w:szCs w:val="28"/>
        </w:rPr>
        <w:t>。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五、时间地点</w:t>
      </w:r>
    </w:p>
    <w:p>
      <w:pPr>
        <w:snapToGrid w:val="0"/>
        <w:spacing w:beforeAutospacing="0" w:afterAutospacing="0" w:line="600" w:lineRule="exact"/>
        <w:ind w:firstLine="632" w:firstLineChars="200"/>
        <w:rPr>
          <w:rFonts w:hint="eastAsia" w:ascii="Times New Roman" w:hAnsi="Times New Roman" w:eastAsia="仿宋_GB2312" w:cs="Times New Roman"/>
          <w:spacing w:val="8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03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日—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03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 xml:space="preserve">日 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苏州市（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日全天报到）</w:t>
      </w:r>
    </w:p>
    <w:p>
      <w:pPr>
        <w:snapToGrid w:val="0"/>
        <w:spacing w:beforeAutospacing="0" w:afterAutospacing="0" w:line="600" w:lineRule="exact"/>
        <w:ind w:firstLine="632" w:firstLineChars="200"/>
        <w:rPr>
          <w:rFonts w:hint="eastAsia" w:ascii="Times New Roman" w:hAnsi="Times New Roman" w:eastAsia="仿宋_GB2312" w:cs="Times New Roman"/>
          <w:spacing w:val="8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04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日—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04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 xml:space="preserve">日 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长沙市（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日全天报到）</w:t>
      </w:r>
    </w:p>
    <w:p>
      <w:pPr>
        <w:snapToGrid w:val="0"/>
        <w:spacing w:beforeAutospacing="0" w:afterAutospacing="0" w:line="600" w:lineRule="exact"/>
        <w:ind w:firstLine="632" w:firstLineChars="200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日—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 xml:space="preserve">日 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郑州市（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日全天报到）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六、证书申报</w:t>
      </w:r>
    </w:p>
    <w:p>
      <w:pPr>
        <w:snapToGrid w:val="0"/>
        <w:spacing w:beforeAutospacing="0" w:afterAutospacing="0" w:line="600" w:lineRule="exact"/>
        <w:ind w:firstLine="632" w:firstLineChars="200"/>
        <w:jc w:val="lef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学员参加全部课程，经学习考试合格，由职业经理研究中心颁发《企业</w:t>
      </w:r>
      <w:r>
        <w:rPr>
          <w:rFonts w:ascii="Times New Roman" w:hAnsi="Times New Roman" w:eastAsia="仿宋_GB2312"/>
          <w:spacing w:val="8"/>
          <w:sz w:val="30"/>
          <w:szCs w:val="30"/>
        </w:rPr>
        <w:t>改革与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管理创新培训班（专题班）——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  <w:t>乡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村振兴人才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>培养与农业强国建设专题培训班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结业证书》。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七</w:t>
      </w:r>
      <w:r>
        <w:rPr>
          <w:rFonts w:ascii="黑体" w:hAnsi="黑体" w:eastAsia="黑体" w:cs="仿宋_GB2312"/>
          <w:b/>
          <w:bCs/>
          <w:sz w:val="30"/>
          <w:szCs w:val="30"/>
        </w:rPr>
        <w:t>、培训费用</w:t>
      </w:r>
    </w:p>
    <w:p>
      <w:pPr>
        <w:adjustRightInd w:val="0"/>
        <w:snapToGrid w:val="0"/>
        <w:spacing w:beforeAutospacing="0" w:afterAutospacing="0"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A. 3600元/人（含培训、资料、电子课件、场地及培训期间午餐），住宿统一安排，费用自理。</w:t>
      </w:r>
    </w:p>
    <w:p>
      <w:pPr>
        <w:spacing w:beforeAutospacing="0" w:afterAutospacing="0" w:line="46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B. 5600元/人（含培训、资料、电子课件、场地、证书申报及培训期间午餐），住宿统一安排，费用自理。需提供申报表、二寸蓝底免冠彩色照片、身份证复印件、学历证书复印件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等电子版材料</w:t>
      </w:r>
      <w:r>
        <w:rPr>
          <w:rFonts w:ascii="Times New Roman" w:hAnsi="Times New Roman" w:eastAsia="仿宋_GB2312"/>
          <w:spacing w:val="8"/>
          <w:sz w:val="30"/>
          <w:szCs w:val="30"/>
        </w:rPr>
        <w:t>。</w:t>
      </w:r>
    </w:p>
    <w:p>
      <w:pPr>
        <w:snapToGrid w:val="0"/>
        <w:spacing w:beforeAutospacing="0" w:afterAutospacing="0" w:line="600" w:lineRule="exact"/>
        <w:ind w:firstLine="645"/>
        <w:rPr>
          <w:rFonts w:hint="eastAsia"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  <w:lang w:eastAsia="zh-CN"/>
        </w:rPr>
        <w:t>八、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课程权益</w:t>
      </w:r>
    </w:p>
    <w:p>
      <w:pPr>
        <w:spacing w:beforeAutospacing="0" w:afterAutospacing="0"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spacing w:beforeAutospacing="0" w:afterAutospacing="0"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2.推送各类行业政策新闻及专家解读相关资讯信息。 </w:t>
      </w:r>
    </w:p>
    <w:p>
      <w:pPr>
        <w:snapToGrid w:val="0"/>
        <w:spacing w:beforeAutospacing="0" w:afterAutospacing="0"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  <w:lang w:eastAsia="zh-CN"/>
        </w:rPr>
        <w:t>九</w:t>
      </w:r>
      <w:r>
        <w:rPr>
          <w:rFonts w:ascii="黑体" w:hAnsi="黑体" w:eastAsia="黑体" w:cs="仿宋_GB2312"/>
          <w:b/>
          <w:bCs/>
          <w:sz w:val="30"/>
          <w:szCs w:val="30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Times New Roman" w:hAnsi="Times New Roman" w:eastAsia="仿宋_GB2312"/>
          <w:spacing w:val="8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联系人：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  <w:t>郭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  <w:t>磊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 xml:space="preserve"> 18701646027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报名邮箱：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>2952107154@qq.com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pStyle w:val="20"/>
        <w:adjustRightInd w:val="0"/>
        <w:snapToGrid w:val="0"/>
        <w:spacing w:beforeAutospacing="0" w:afterAutospacing="0"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beforeAutospacing="0" w:afterAutospacing="0" w:line="60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beforeAutospacing="0" w:afterAutospacing="0"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附件2</w:t>
      </w:r>
    </w:p>
    <w:p>
      <w:pPr>
        <w:snapToGrid w:val="0"/>
        <w:spacing w:beforeAutospacing="0" w:afterAutospacing="0"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（一）中央农村工作会议重点解读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1.社会主义现代化强国的根基——加快建设农业强国；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2.建设农业强国的头等大事——保障粮食和重要农产品稳定安全供给；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3.建设农业强国的重要任务——全面推进乡村振兴；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4.双轮驱动加快建设农业强国——依靠科技和改革；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5.建设农业强国的内在要求和必要条件——大力推进农村现代化建设；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6.建设农业强国的坚强保证——坚持党领导“三农”工作原则不动摇。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00" w:lineRule="exact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（二）乡村振兴人才培养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1.如何培养和造就一支农村致富带头人及新型职业农民队伍，实现乡村人才振兴；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2.农村人居环境整治与“美丽屋场”创建规划与建设；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3.从美丽乡村、美丽县城到特色小镇；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4.乡村文化打造与乡村规划建设；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5.农村人居环境整治与“美丽屋场”创建规划与建设；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6.乡村旅游与生态休闲农业；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7.乡村治理中的群众路线与群众工作方法；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8.新常态下镇村主导产业和特色产业的培育与发展；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9.乡村融合产业规划、投资与运营；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10.实施乡村振兴战略，打造独具特色乡村风貌；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11.乡村治理中的群众路线与群众工作方法；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12.农村电商产业链的内在逻辑及支撑体系。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（三）乡村振兴人才综合素养能力提升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1.村干部的管理沟通智慧——有效信息沟通之策；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2.移动互联网时代的创新思维；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3.乡村旅游景区服务与礼仪接待；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4.新媒体环境下突发事件处理与网络舆情处理；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5.乡村治理及村干部作用发挥；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6.健全自治、法治、德治相结合的乡村治理体系。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（四）乡村振兴规划编制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现代农业产业规划编制的理论、方法与案例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现代农业产业园区规划编制的理论、方法与案例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县域国土空间规划编制的原则、要点、方法与案例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村庄规划编制的原则、要点、方法与案例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（五）乡村振兴</w:t>
      </w:r>
      <w:r>
        <w:rPr>
          <w:rFonts w:hint="default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浙江特色与浙江经验</w:t>
      </w:r>
      <w:r>
        <w:rPr>
          <w:rFonts w:hint="eastAsia" w:ascii="仿宋" w:hAnsi="仿宋" w:eastAsia="仿宋" w:cs="仿宋"/>
          <w:b/>
          <w:bCs/>
          <w:i w:val="0"/>
          <w:iC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案例介绍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习近平生态文明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思想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的理论与浙江实践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浙江“千万工程”之美丽乡村建设经验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“两山”理论、全域旅游与制度供给：浙江省大花园建设的道与术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浙江“一村一品一镇一业”发展模式及案例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休闲农业、乡村旅游、美丽乡村建设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：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桐庐美丽乡村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建设；</w:t>
      </w:r>
    </w:p>
    <w:p>
      <w:pPr>
        <w:snapToGrid w:val="0"/>
        <w:spacing w:beforeAutospacing="0" w:afterAutospacing="0" w:line="600" w:lineRule="exact"/>
        <w:ind w:firstLine="600" w:firstLineChars="200"/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现代农业和新农村建设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：</w:t>
      </w:r>
      <w:r>
        <w:rPr>
          <w:rFonts w:hint="default" w:ascii="Times New Roman" w:hAnsi="Times New Roman" w:eastAsia="仿宋_GB2312"/>
          <w:bCs/>
          <w:sz w:val="30"/>
          <w:szCs w:val="30"/>
          <w:lang w:val="en-US" w:eastAsia="zh-CN"/>
        </w:rPr>
        <w:t>宁波奉化滕头村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。</w:t>
      </w:r>
    </w:p>
    <w:p>
      <w:pPr>
        <w:snapToGrid w:val="0"/>
        <w:spacing w:beforeAutospacing="0" w:afterAutospacing="0" w:line="62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beforeAutospacing="0" w:afterAutospacing="0" w:line="6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附件3</w:t>
      </w:r>
    </w:p>
    <w:p>
      <w:pPr>
        <w:adjustRightInd w:val="0"/>
        <w:snapToGrid w:val="0"/>
        <w:spacing w:beforeAutospacing="0" w:afterAutospacing="0" w:line="560" w:lineRule="exact"/>
        <w:ind w:firstLine="601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乡村振兴人才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培养与农业强国建设专题培训班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报名回执表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《企业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改革与管理创新培训班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（专题班）——乡村振兴项目策划包装、专项债申请及乡村振兴项目模式实务操作高端研修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结业证书》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开户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名称： 北京中建科信管理咨询集团有限公司 </w:t>
            </w:r>
          </w:p>
          <w:p>
            <w:pPr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本课程可根据单位实际需求，提供内部培训。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ind w:firstLine="720" w:firstLineChars="3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参加单位（盖章）</w:t>
            </w:r>
          </w:p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ind w:firstLine="720" w:firstLineChars="3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beforeAutospacing="0" w:afterAutospacing="0" w:line="300" w:lineRule="exact"/>
              <w:ind w:firstLine="720" w:firstLineChars="3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联系人</w:t>
      </w:r>
      <w:r>
        <w:rPr>
          <w:rFonts w:hint="eastAsia"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郭磊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18701646027</w:t>
      </w:r>
      <w:r>
        <w:rPr>
          <w:rFonts w:hint="eastAsia" w:ascii="Times New Roman" w:hAnsi="Times New Roman" w:eastAsia="仿宋_GB2312"/>
          <w:bCs/>
          <w:sz w:val="28"/>
          <w:szCs w:val="28"/>
        </w:rPr>
        <w:t>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报名邮箱：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2952107154@qq.com</w:t>
      </w: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1NjlmYjIyOTZkMGIzOGIzOWJkZmY2NjM4N2YyNWYifQ=="/>
    <w:docVar w:name="KSO_WPS_MARK_KEY" w:val="f667a685-c038-4e5e-af81-026e729d9f24"/>
  </w:docVars>
  <w:rsids>
    <w:rsidRoot w:val="006D1C8A"/>
    <w:rsid w:val="00010B7A"/>
    <w:rsid w:val="00017A1C"/>
    <w:rsid w:val="00025403"/>
    <w:rsid w:val="000663C7"/>
    <w:rsid w:val="0008460D"/>
    <w:rsid w:val="00087608"/>
    <w:rsid w:val="00100AA1"/>
    <w:rsid w:val="00141F38"/>
    <w:rsid w:val="0014450A"/>
    <w:rsid w:val="001A72FF"/>
    <w:rsid w:val="001B7D0E"/>
    <w:rsid w:val="001D2526"/>
    <w:rsid w:val="001E3134"/>
    <w:rsid w:val="001E39EC"/>
    <w:rsid w:val="00225E14"/>
    <w:rsid w:val="00287F5F"/>
    <w:rsid w:val="002A0D8B"/>
    <w:rsid w:val="002B55AC"/>
    <w:rsid w:val="002D2394"/>
    <w:rsid w:val="002E1018"/>
    <w:rsid w:val="0039387F"/>
    <w:rsid w:val="00461FE7"/>
    <w:rsid w:val="005122DE"/>
    <w:rsid w:val="0059325C"/>
    <w:rsid w:val="005A7BE1"/>
    <w:rsid w:val="0062190D"/>
    <w:rsid w:val="00637EFA"/>
    <w:rsid w:val="0064024B"/>
    <w:rsid w:val="00680E8B"/>
    <w:rsid w:val="006D1C8A"/>
    <w:rsid w:val="00747C8E"/>
    <w:rsid w:val="008A7639"/>
    <w:rsid w:val="008B12DF"/>
    <w:rsid w:val="008B4F91"/>
    <w:rsid w:val="00934145"/>
    <w:rsid w:val="009A1929"/>
    <w:rsid w:val="00A353C7"/>
    <w:rsid w:val="00A43CA5"/>
    <w:rsid w:val="00AD797A"/>
    <w:rsid w:val="00B33028"/>
    <w:rsid w:val="00B53B64"/>
    <w:rsid w:val="00B56D6F"/>
    <w:rsid w:val="00C90D15"/>
    <w:rsid w:val="00D41138"/>
    <w:rsid w:val="00E22615"/>
    <w:rsid w:val="00E478C5"/>
    <w:rsid w:val="00E729F3"/>
    <w:rsid w:val="00EE3B81"/>
    <w:rsid w:val="00F10924"/>
    <w:rsid w:val="00F45F82"/>
    <w:rsid w:val="06B833B6"/>
    <w:rsid w:val="0AC85780"/>
    <w:rsid w:val="0CE3751C"/>
    <w:rsid w:val="12D50CE9"/>
    <w:rsid w:val="15C777D1"/>
    <w:rsid w:val="17987CEA"/>
    <w:rsid w:val="18125F3A"/>
    <w:rsid w:val="19AF1D66"/>
    <w:rsid w:val="1C5A4354"/>
    <w:rsid w:val="202F0FED"/>
    <w:rsid w:val="2D89444E"/>
    <w:rsid w:val="2F7A15F1"/>
    <w:rsid w:val="32706B40"/>
    <w:rsid w:val="3A2B4A9A"/>
    <w:rsid w:val="41CC05FD"/>
    <w:rsid w:val="43073C2B"/>
    <w:rsid w:val="4319201B"/>
    <w:rsid w:val="44670FE9"/>
    <w:rsid w:val="44B44948"/>
    <w:rsid w:val="458D6601"/>
    <w:rsid w:val="484066CD"/>
    <w:rsid w:val="555C454F"/>
    <w:rsid w:val="55CD3329"/>
    <w:rsid w:val="56FDBDD1"/>
    <w:rsid w:val="5B840669"/>
    <w:rsid w:val="5C0C1388"/>
    <w:rsid w:val="5DF36EED"/>
    <w:rsid w:val="60306ABA"/>
    <w:rsid w:val="63EE78AA"/>
    <w:rsid w:val="656261BC"/>
    <w:rsid w:val="65DE4487"/>
    <w:rsid w:val="67124BB9"/>
    <w:rsid w:val="6F023478"/>
    <w:rsid w:val="70495453"/>
    <w:rsid w:val="71896C6A"/>
    <w:rsid w:val="73205BB9"/>
    <w:rsid w:val="736236E7"/>
    <w:rsid w:val="79010557"/>
    <w:rsid w:val="7D894726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spacing w:before="340" w:beforeAutospacing="0" w:after="330" w:afterAutospacing="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qFormat/>
    <w:uiPriority w:val="9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qFormat/>
    <w:uiPriority w:val="99"/>
    <w:pPr>
      <w:tabs>
        <w:tab w:val="left" w:pos="-1440"/>
      </w:tabs>
      <w:autoSpaceDE w:val="0"/>
      <w:autoSpaceDN w:val="0"/>
      <w:adjustRightInd w:val="0"/>
      <w:spacing w:beforeAutospacing="0" w:after="0" w:afterAutospacing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paragraph" w:styleId="3">
    <w:name w:val="Body Text Indent"/>
    <w:basedOn w:val="1"/>
    <w:link w:val="18"/>
    <w:semiHidden/>
    <w:unhideWhenUsed/>
    <w:qFormat/>
    <w:uiPriority w:val="99"/>
    <w:pPr>
      <w:spacing w:beforeAutospacing="0" w:after="120" w:afterAutospacing="0"/>
      <w:ind w:left="420" w:leftChars="200"/>
    </w:pPr>
  </w:style>
  <w:style w:type="paragraph" w:styleId="6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1 字符"/>
    <w:basedOn w:val="10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7">
    <w:name w:val="defaul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正文文本缩进 字符"/>
    <w:basedOn w:val="10"/>
    <w:link w:val="3"/>
    <w:semiHidden/>
    <w:qFormat/>
    <w:uiPriority w:val="99"/>
  </w:style>
  <w:style w:type="character" w:customStyle="1" w:styleId="19">
    <w:name w:val="正文文本首行缩进 2 字符"/>
    <w:basedOn w:val="18"/>
    <w:link w:val="2"/>
    <w:qFormat/>
    <w:uiPriority w:val="99"/>
    <w:rPr>
      <w:rFonts w:ascii="仿宋" w:hAnsi="Times New Roman" w:eastAsia="仿宋" w:cs="Times New Roman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7</Pages>
  <Words>1793</Words>
  <Characters>1988</Characters>
  <Lines>24</Lines>
  <Paragraphs>6</Paragraphs>
  <TotalTime>0</TotalTime>
  <ScaleCrop>false</ScaleCrop>
  <LinksUpToDate>false</LinksUpToDate>
  <CharactersWithSpaces>2147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2022-05-30T23:32:00Z</dcterms:created>
  <dc:creator>王 瑞军</dc:creator>
  <cp:lastModifiedBy>WPS_1665626516</cp:lastModifiedBy>
  <dcterms:modified xsi:type="dcterms:W3CDTF">2023-01-30T06:02:52Z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2313CA95ED2CDE19290EC2637C23622C</vt:lpwstr>
  </property>
</Properties>
</file>