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jc w:val="center"/>
        <w:rPr>
          <w:rFonts w:ascii="微软雅黑" w:hAnsi="微软雅黑" w:eastAsia="微软雅黑" w:cs="Arial"/>
          <w:b/>
          <w:bCs/>
          <w:color w:val="000000"/>
          <w:sz w:val="44"/>
          <w:szCs w:val="44"/>
        </w:rPr>
      </w:pPr>
      <w:r>
        <w:rPr>
          <w:rFonts w:hint="eastAsia" w:ascii="微软雅黑" w:hAnsi="微软雅黑" w:eastAsia="微软雅黑" w:cs="Arial"/>
          <w:b/>
          <w:bCs/>
          <w:color w:val="000000"/>
          <w:sz w:val="44"/>
          <w:szCs w:val="44"/>
        </w:rPr>
        <w:t>《任职资格体系建设与人才培养》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1"/>
          <w:szCs w:val="21"/>
          <w:lang w:eastAsia="zh-Hans"/>
        </w:rPr>
        <w:t>【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1"/>
          <w:szCs w:val="21"/>
          <w:lang w:val="en-US" w:eastAsia="zh-Hans"/>
        </w:rPr>
        <w:t>报名详情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1"/>
          <w:szCs w:val="21"/>
          <w:lang w:eastAsia="zh-Hans"/>
        </w:rPr>
        <w:t>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textAlignment w:val="auto"/>
        <w:outlineLvl w:val="9"/>
        <w:rPr>
          <w:rFonts w:hint="default" w:ascii="微软雅黑" w:hAnsi="微软雅黑" w:eastAsia="微软雅黑" w:cs="微软雅黑"/>
          <w:b/>
          <w:bCs w:val="0"/>
          <w:color w:val="000000"/>
          <w:kern w:val="0"/>
          <w:sz w:val="21"/>
          <w:szCs w:val="21"/>
          <w:u w:val="singl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000000"/>
          <w:sz w:val="21"/>
          <w:szCs w:val="21"/>
          <w:u w:val="single"/>
        </w:rPr>
        <w:t>场次：</w:t>
      </w:r>
      <w:r>
        <w:rPr>
          <w:rFonts w:hint="eastAsia" w:ascii="微软雅黑" w:hAnsi="微软雅黑" w:eastAsia="微软雅黑" w:cs="微软雅黑"/>
          <w:b/>
          <w:bCs w:val="0"/>
          <w:color w:val="000000"/>
          <w:kern w:val="0"/>
          <w:sz w:val="21"/>
          <w:szCs w:val="21"/>
          <w:u w:val="single"/>
          <w:lang w:val="en-US" w:eastAsia="zh-CN"/>
        </w:rPr>
        <w:t>5月26-27日北京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630" w:firstLineChars="300"/>
        <w:textAlignment w:val="auto"/>
        <w:outlineLvl w:val="9"/>
        <w:rPr>
          <w:rFonts w:hint="default" w:ascii="微软雅黑" w:hAnsi="微软雅黑" w:eastAsia="微软雅黑" w:cs="微软雅黑"/>
          <w:b/>
          <w:bCs w:val="0"/>
          <w:color w:val="000000"/>
          <w:kern w:val="0"/>
          <w:sz w:val="21"/>
          <w:szCs w:val="21"/>
          <w:u w:val="singl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color w:val="000000"/>
          <w:kern w:val="0"/>
          <w:sz w:val="21"/>
          <w:szCs w:val="21"/>
          <w:u w:val="single"/>
          <w:lang w:val="en-US" w:eastAsia="zh-CN"/>
        </w:rPr>
        <w:t>7月21-22日深圳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630" w:firstLineChars="300"/>
        <w:textAlignment w:val="auto"/>
        <w:outlineLvl w:val="9"/>
        <w:rPr>
          <w:rFonts w:hint="eastAsia" w:ascii="微软雅黑" w:hAnsi="微软雅黑" w:eastAsia="微软雅黑" w:cs="微软雅黑"/>
          <w:b/>
          <w:bCs w:val="0"/>
          <w:color w:val="000000"/>
          <w:kern w:val="0"/>
          <w:sz w:val="21"/>
          <w:szCs w:val="21"/>
          <w:u w:val="singl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color w:val="000000"/>
          <w:kern w:val="0"/>
          <w:sz w:val="21"/>
          <w:szCs w:val="21"/>
          <w:u w:val="single"/>
          <w:lang w:val="en-US" w:eastAsia="zh-CN"/>
        </w:rPr>
        <w:t>9月22-23日上海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630" w:firstLineChars="300"/>
        <w:textAlignment w:val="auto"/>
        <w:outlineLvl w:val="9"/>
        <w:rPr>
          <w:rFonts w:hint="default" w:ascii="微软雅黑" w:hAnsi="微软雅黑" w:eastAsia="微软雅黑" w:cs="微软雅黑"/>
          <w:b/>
          <w:bCs w:val="0"/>
          <w:color w:val="000000"/>
          <w:kern w:val="0"/>
          <w:sz w:val="21"/>
          <w:szCs w:val="21"/>
          <w:u w:val="singl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color w:val="000000"/>
          <w:kern w:val="0"/>
          <w:sz w:val="21"/>
          <w:szCs w:val="21"/>
          <w:u w:val="single"/>
          <w:lang w:val="en-US" w:eastAsia="zh-CN"/>
        </w:rPr>
        <w:t>12月22-23日北京</w:t>
      </w:r>
    </w:p>
    <w:p>
      <w:pPr>
        <w:spacing w:line="0" w:lineRule="atLeast"/>
        <w:jc w:val="both"/>
        <w:rPr>
          <w:rFonts w:hint="eastAsia" w:ascii="微软雅黑" w:hAnsi="微软雅黑" w:eastAsia="微软雅黑" w:cs="Arial"/>
          <w:b/>
          <w:bCs/>
          <w:color w:val="000000"/>
          <w:sz w:val="36"/>
          <w:szCs w:val="36"/>
        </w:rPr>
      </w:pPr>
      <w:r>
        <w:rPr>
          <w:rFonts w:hint="eastAsia" w:ascii="微软雅黑" w:hAnsi="微软雅黑" w:eastAsia="微软雅黑" w:cs="微软雅黑"/>
          <w:b w:val="0"/>
          <w:bCs/>
          <w:color w:val="000000"/>
          <w:kern w:val="0"/>
          <w:sz w:val="21"/>
          <w:szCs w:val="21"/>
          <w:u w:val="single"/>
        </w:rPr>
        <w:t>费用：</w:t>
      </w:r>
      <w:r>
        <w:rPr>
          <w:rFonts w:hint="eastAsia" w:ascii="微软雅黑" w:hAnsi="微软雅黑" w:eastAsia="微软雅黑" w:cs="微软雅黑"/>
          <w:b w:val="0"/>
          <w:bCs/>
          <w:color w:val="000000"/>
          <w:kern w:val="0"/>
          <w:sz w:val="21"/>
          <w:szCs w:val="21"/>
          <w:u w:val="single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b w:val="0"/>
          <w:bCs/>
          <w:color w:val="000000"/>
          <w:kern w:val="0"/>
          <w:sz w:val="21"/>
          <w:szCs w:val="21"/>
          <w:u w:val="single"/>
        </w:rPr>
        <w:t>980/元人（差旅费用请自理）</w:t>
      </w:r>
    </w:p>
    <w:p>
      <w:pPr>
        <w:tabs>
          <w:tab w:val="left" w:pos="0"/>
          <w:tab w:val="left" w:pos="360"/>
        </w:tabs>
        <w:spacing w:line="276" w:lineRule="auto"/>
        <w:jc w:val="center"/>
        <w:rPr>
          <w:rFonts w:ascii="微软雅黑" w:hAnsi="微软雅黑" w:eastAsia="微软雅黑" w:cs="Arial"/>
          <w:color w:val="000000"/>
          <w:szCs w:val="21"/>
        </w:rPr>
      </w:pPr>
    </w:p>
    <w:p>
      <w:pPr>
        <w:tabs>
          <w:tab w:val="left" w:pos="0"/>
          <w:tab w:val="left" w:pos="360"/>
        </w:tabs>
        <w:spacing w:line="276" w:lineRule="auto"/>
        <w:rPr>
          <w:rFonts w:ascii="微软雅黑" w:hAnsi="微软雅黑" w:eastAsia="微软雅黑" w:cs="Arial"/>
          <w:b/>
          <w:bCs/>
          <w:color w:val="000000"/>
          <w:szCs w:val="21"/>
        </w:rPr>
      </w:pPr>
      <w:r>
        <w:rPr>
          <w:rFonts w:ascii="微软雅黑" w:hAnsi="微软雅黑" w:eastAsia="微软雅黑" w:cs="Arial"/>
          <w:b/>
          <w:bCs/>
          <w:color w:val="000000"/>
          <w:szCs w:val="21"/>
        </w:rPr>
        <w:t>【引言】</w:t>
      </w:r>
    </w:p>
    <w:p>
      <w:pPr>
        <w:pStyle w:val="4"/>
        <w:spacing w:line="360" w:lineRule="auto"/>
        <w:ind w:firstLine="560"/>
        <w:rPr>
          <w:rFonts w:ascii="微软雅黑" w:hAnsi="微软雅黑" w:eastAsia="微软雅黑" w:cs="Times New Roman"/>
          <w:color w:val="000000"/>
          <w:sz w:val="21"/>
          <w:szCs w:val="24"/>
        </w:rPr>
      </w:pPr>
      <w:r>
        <w:rPr>
          <w:rFonts w:hint="eastAsia" w:ascii="微软雅黑" w:hAnsi="微软雅黑" w:eastAsia="微软雅黑" w:cs="Times New Roman"/>
          <w:color w:val="000000"/>
          <w:sz w:val="21"/>
          <w:szCs w:val="24"/>
        </w:rPr>
        <w:t>华为的人力资源管理一直被业界津津乐道，大家都好奇华为的员工为什么那么敬业？为什么成长速度惊人？华为的干部为什么都那么拼、都充满了狼性？这些特质都是企业家们和HR专业人员所期待的。然而，我们今天所看到的也只是经过痛苦历练后的成果。回顾过往，今天很多企业人才培养面临的问题也是华为过去所经历的，比如业务部门领导不重视人才培养怎么办？如何提升新员工成长速度？如何培养一批核心的骨干及专家队伍？等等等等。这些问题，在华为多年的管理实践中，都得到了逐步的解决。本课程内容主要是聚焦任职资格体系建设与人才培养，提供一系列的理念和做法，值得快速发展中的民营企业借鉴学习。</w:t>
      </w:r>
    </w:p>
    <w:p>
      <w:pPr>
        <w:tabs>
          <w:tab w:val="left" w:pos="0"/>
          <w:tab w:val="left" w:pos="360"/>
        </w:tabs>
        <w:spacing w:line="276" w:lineRule="auto"/>
        <w:rPr>
          <w:rFonts w:ascii="微软雅黑" w:hAnsi="微软雅黑" w:eastAsia="微软雅黑" w:cs="Arial"/>
          <w:b/>
          <w:bCs/>
          <w:color w:val="000000"/>
          <w:szCs w:val="21"/>
        </w:rPr>
      </w:pPr>
      <w:r>
        <w:rPr>
          <w:rFonts w:ascii="微软雅黑" w:hAnsi="微软雅黑" w:eastAsia="微软雅黑" w:cs="Arial"/>
          <w:b/>
          <w:bCs/>
          <w:color w:val="000000"/>
          <w:szCs w:val="21"/>
        </w:rPr>
        <w:t>【培训收益】</w:t>
      </w:r>
    </w:p>
    <w:p>
      <w:pPr>
        <w:numPr>
          <w:ilvl w:val="0"/>
          <w:numId w:val="1"/>
        </w:numPr>
        <w:tabs>
          <w:tab w:val="left" w:pos="0"/>
          <w:tab w:val="left" w:pos="360"/>
        </w:tabs>
        <w:spacing w:line="276" w:lineRule="auto"/>
        <w:rPr>
          <w:rFonts w:ascii="微软雅黑" w:hAnsi="微软雅黑" w:eastAsia="微软雅黑"/>
          <w:color w:val="000000"/>
          <w:szCs w:val="21"/>
        </w:rPr>
      </w:pPr>
      <w:r>
        <w:rPr>
          <w:rFonts w:hint="eastAsia" w:ascii="微软雅黑" w:hAnsi="微软雅黑" w:eastAsia="微软雅黑"/>
          <w:color w:val="000000"/>
          <w:szCs w:val="21"/>
        </w:rPr>
        <w:t>深入理解人才资源开发工作在企业经营中的战略意义</w:t>
      </w:r>
    </w:p>
    <w:p>
      <w:pPr>
        <w:numPr>
          <w:ilvl w:val="0"/>
          <w:numId w:val="1"/>
        </w:numPr>
        <w:tabs>
          <w:tab w:val="left" w:pos="0"/>
          <w:tab w:val="left" w:pos="360"/>
        </w:tabs>
        <w:spacing w:line="276" w:lineRule="auto"/>
        <w:rPr>
          <w:rFonts w:ascii="微软雅黑" w:hAnsi="微软雅黑" w:eastAsia="微软雅黑"/>
          <w:color w:val="000000"/>
          <w:szCs w:val="21"/>
        </w:rPr>
      </w:pPr>
      <w:r>
        <w:rPr>
          <w:rFonts w:hint="eastAsia" w:ascii="微软雅黑" w:hAnsi="微软雅黑" w:eastAsia="微软雅黑"/>
          <w:color w:val="000000"/>
          <w:szCs w:val="21"/>
        </w:rPr>
        <w:t>系统掌握任职资格标准体系建设和理念和方法</w:t>
      </w:r>
    </w:p>
    <w:p>
      <w:pPr>
        <w:numPr>
          <w:ilvl w:val="0"/>
          <w:numId w:val="1"/>
        </w:numPr>
        <w:tabs>
          <w:tab w:val="left" w:pos="0"/>
          <w:tab w:val="left" w:pos="360"/>
          <w:tab w:val="left" w:pos="720"/>
        </w:tabs>
        <w:spacing w:line="276" w:lineRule="auto"/>
        <w:rPr>
          <w:rFonts w:ascii="微软雅黑" w:hAnsi="微软雅黑" w:eastAsia="微软雅黑"/>
          <w:color w:val="000000"/>
          <w:szCs w:val="21"/>
        </w:rPr>
      </w:pPr>
      <w:r>
        <w:rPr>
          <w:rFonts w:hint="eastAsia" w:ascii="微软雅黑" w:hAnsi="微软雅黑" w:eastAsia="微软雅黑"/>
          <w:color w:val="000000"/>
          <w:szCs w:val="21"/>
        </w:rPr>
        <w:t>全面学习标杆企业关于人才培养的理念和具体做法</w:t>
      </w:r>
    </w:p>
    <w:p>
      <w:pPr>
        <w:tabs>
          <w:tab w:val="left" w:pos="0"/>
          <w:tab w:val="left" w:pos="360"/>
        </w:tabs>
        <w:spacing w:line="276" w:lineRule="auto"/>
        <w:rPr>
          <w:rFonts w:ascii="微软雅黑" w:hAnsi="微软雅黑" w:eastAsia="微软雅黑" w:cs="Arial"/>
          <w:b/>
          <w:bCs/>
          <w:color w:val="000000"/>
          <w:szCs w:val="21"/>
        </w:rPr>
      </w:pPr>
      <w:r>
        <w:rPr>
          <w:rFonts w:ascii="微软雅黑" w:hAnsi="微软雅黑" w:eastAsia="微软雅黑" w:cs="Arial"/>
          <w:b/>
          <w:bCs/>
          <w:color w:val="000000"/>
          <w:szCs w:val="21"/>
        </w:rPr>
        <w:t>【课程特色】</w:t>
      </w:r>
    </w:p>
    <w:p>
      <w:pPr>
        <w:numPr>
          <w:ilvl w:val="0"/>
          <w:numId w:val="1"/>
        </w:numPr>
        <w:tabs>
          <w:tab w:val="left" w:pos="0"/>
          <w:tab w:val="left" w:pos="360"/>
        </w:tabs>
        <w:spacing w:line="276" w:lineRule="auto"/>
        <w:rPr>
          <w:rFonts w:ascii="微软雅黑" w:hAnsi="微软雅黑" w:eastAsia="微软雅黑"/>
          <w:color w:val="000000"/>
          <w:szCs w:val="21"/>
        </w:rPr>
      </w:pPr>
      <w:r>
        <w:rPr>
          <w:rFonts w:hint="eastAsia" w:ascii="微软雅黑" w:hAnsi="微软雅黑" w:eastAsia="微软雅黑"/>
          <w:color w:val="000000"/>
          <w:szCs w:val="21"/>
        </w:rPr>
        <w:t>世界500强标杆企业实践案例，华为人才培养的成功案例</w:t>
      </w:r>
    </w:p>
    <w:p>
      <w:pPr>
        <w:numPr>
          <w:ilvl w:val="0"/>
          <w:numId w:val="1"/>
        </w:numPr>
        <w:tabs>
          <w:tab w:val="left" w:pos="0"/>
          <w:tab w:val="left" w:pos="360"/>
        </w:tabs>
        <w:spacing w:line="276" w:lineRule="auto"/>
        <w:rPr>
          <w:rFonts w:ascii="微软雅黑" w:hAnsi="微软雅黑" w:eastAsia="微软雅黑"/>
          <w:color w:val="000000"/>
          <w:szCs w:val="21"/>
        </w:rPr>
      </w:pPr>
      <w:r>
        <w:rPr>
          <w:rFonts w:hint="eastAsia" w:ascii="微软雅黑" w:hAnsi="微软雅黑" w:eastAsia="微软雅黑"/>
          <w:color w:val="000000"/>
          <w:szCs w:val="21"/>
        </w:rPr>
        <w:t>从理念到方法到案例，系统性和实操性强</w:t>
      </w:r>
    </w:p>
    <w:p>
      <w:pPr>
        <w:tabs>
          <w:tab w:val="left" w:pos="0"/>
          <w:tab w:val="left" w:pos="360"/>
        </w:tabs>
        <w:spacing w:line="276" w:lineRule="auto"/>
        <w:rPr>
          <w:rFonts w:ascii="微软雅黑" w:hAnsi="微软雅黑" w:eastAsia="微软雅黑" w:cs="Arial"/>
          <w:b/>
          <w:bCs/>
          <w:color w:val="000000"/>
          <w:szCs w:val="21"/>
        </w:rPr>
      </w:pPr>
      <w:r>
        <w:rPr>
          <w:rFonts w:ascii="微软雅黑" w:hAnsi="微软雅黑" w:eastAsia="微软雅黑" w:cs="Arial"/>
          <w:b/>
          <w:bCs/>
          <w:color w:val="000000"/>
          <w:szCs w:val="21"/>
        </w:rPr>
        <w:t>【课程长度】</w:t>
      </w:r>
    </w:p>
    <w:p>
      <w:pPr>
        <w:tabs>
          <w:tab w:val="left" w:pos="0"/>
          <w:tab w:val="left" w:pos="360"/>
        </w:tabs>
        <w:spacing w:line="276" w:lineRule="auto"/>
        <w:ind w:firstLine="210" w:firstLineChars="100"/>
        <w:rPr>
          <w:rFonts w:ascii="微软雅黑" w:hAnsi="微软雅黑" w:eastAsia="微软雅黑" w:cs="Arial"/>
          <w:color w:val="000000"/>
          <w:szCs w:val="21"/>
        </w:rPr>
      </w:pPr>
      <w:r>
        <w:rPr>
          <w:rFonts w:hint="eastAsia" w:ascii="微软雅黑" w:hAnsi="微软雅黑" w:eastAsia="微软雅黑" w:cs="Arial"/>
          <w:color w:val="000000"/>
          <w:szCs w:val="21"/>
        </w:rPr>
        <w:t>2</w:t>
      </w:r>
      <w:r>
        <w:rPr>
          <w:rFonts w:ascii="微软雅黑" w:hAnsi="微软雅黑" w:eastAsia="微软雅黑" w:cs="Arial"/>
          <w:color w:val="000000"/>
          <w:szCs w:val="21"/>
        </w:rPr>
        <w:t>天，计12</w:t>
      </w:r>
      <w:r>
        <w:rPr>
          <w:rFonts w:hint="eastAsia" w:ascii="微软雅黑" w:hAnsi="微软雅黑" w:eastAsia="微软雅黑" w:cs="Arial"/>
          <w:color w:val="000000"/>
          <w:szCs w:val="21"/>
        </w:rPr>
        <w:t>小</w:t>
      </w:r>
      <w:r>
        <w:rPr>
          <w:rFonts w:ascii="微软雅黑" w:hAnsi="微软雅黑" w:eastAsia="微软雅黑" w:cs="Arial"/>
          <w:color w:val="000000"/>
          <w:szCs w:val="21"/>
        </w:rPr>
        <w:t>时</w:t>
      </w:r>
      <w:r>
        <w:rPr>
          <w:rFonts w:hint="eastAsia" w:ascii="微软雅黑" w:hAnsi="微软雅黑" w:eastAsia="微软雅黑" w:cs="Arial"/>
          <w:color w:val="000000"/>
          <w:szCs w:val="21"/>
        </w:rPr>
        <w:t xml:space="preserve">    </w:t>
      </w:r>
      <w:r>
        <w:rPr>
          <w:rFonts w:ascii="微软雅黑" w:hAnsi="微软雅黑" w:eastAsia="微软雅黑" w:cs="Arial"/>
          <w:color w:val="000000"/>
          <w:szCs w:val="21"/>
        </w:rPr>
        <w:t>上课时间：</w:t>
      </w:r>
      <w:r>
        <w:rPr>
          <w:rFonts w:hint="eastAsia" w:ascii="微软雅黑" w:hAnsi="微软雅黑" w:eastAsia="微软雅黑" w:cs="Arial"/>
          <w:color w:val="000000"/>
          <w:szCs w:val="21"/>
        </w:rPr>
        <w:t>上午</w:t>
      </w:r>
      <w:r>
        <w:rPr>
          <w:rFonts w:ascii="微软雅黑" w:hAnsi="微软雅黑" w:eastAsia="微软雅黑" w:cs="Arial"/>
          <w:color w:val="000000"/>
          <w:szCs w:val="21"/>
        </w:rPr>
        <w:t>9:00-12:00</w:t>
      </w:r>
      <w:r>
        <w:rPr>
          <w:rFonts w:hint="eastAsia" w:ascii="微软雅黑" w:hAnsi="微软雅黑" w:eastAsia="微软雅黑" w:cs="Arial"/>
          <w:color w:val="000000"/>
          <w:szCs w:val="21"/>
        </w:rPr>
        <w:t xml:space="preserve">   下午</w:t>
      </w:r>
      <w:r>
        <w:rPr>
          <w:rFonts w:ascii="微软雅黑" w:hAnsi="微软雅黑" w:eastAsia="微软雅黑" w:cs="Arial"/>
          <w:color w:val="000000"/>
          <w:szCs w:val="21"/>
        </w:rPr>
        <w:t>13:30-16:30</w:t>
      </w:r>
    </w:p>
    <w:p>
      <w:pPr>
        <w:pStyle w:val="4"/>
        <w:spacing w:line="360" w:lineRule="auto"/>
        <w:rPr>
          <w:rFonts w:ascii="微软雅黑" w:hAnsi="微软雅黑" w:eastAsia="微软雅黑" w:cs="Arial"/>
          <w:color w:val="000000"/>
          <w:sz w:val="21"/>
          <w:szCs w:val="21"/>
        </w:rPr>
      </w:pPr>
      <w:r>
        <w:rPr>
          <w:rFonts w:hint="eastAsia" w:ascii="微软雅黑" w:hAnsi="微软雅黑" w:eastAsia="微软雅黑" w:cs="Arial"/>
          <w:b/>
          <w:color w:val="000000"/>
          <w:sz w:val="21"/>
          <w:szCs w:val="21"/>
        </w:rPr>
        <w:t>【适合对象】</w:t>
      </w:r>
    </w:p>
    <w:p>
      <w:r>
        <w:rPr>
          <w:rFonts w:hint="eastAsia"/>
        </w:rPr>
        <w:t>HR管理人员、HRD</w:t>
      </w:r>
    </w:p>
    <w:p>
      <w:pPr>
        <w:tabs>
          <w:tab w:val="left" w:pos="0"/>
          <w:tab w:val="left" w:pos="360"/>
        </w:tabs>
        <w:spacing w:line="276" w:lineRule="auto"/>
        <w:rPr>
          <w:rFonts w:ascii="微软雅黑" w:hAnsi="微软雅黑" w:eastAsia="微软雅黑" w:cs="Arial"/>
          <w:b/>
          <w:bCs/>
          <w:color w:val="000000"/>
          <w:szCs w:val="21"/>
        </w:rPr>
      </w:pPr>
      <w:r>
        <w:rPr>
          <w:rFonts w:ascii="微软雅黑" w:hAnsi="微软雅黑" w:eastAsia="微软雅黑" w:cs="Arial"/>
          <w:b/>
          <w:bCs/>
          <w:color w:val="000000"/>
          <w:szCs w:val="21"/>
        </w:rPr>
        <w:t>【课程大纲】</w:t>
      </w:r>
    </w:p>
    <w:p>
      <w:pPr>
        <w:tabs>
          <w:tab w:val="left" w:pos="540"/>
        </w:tabs>
        <w:spacing w:line="276" w:lineRule="auto"/>
        <w:rPr>
          <w:rFonts w:ascii="微软雅黑" w:hAnsi="微软雅黑" w:eastAsia="微软雅黑"/>
          <w:b/>
          <w:color w:val="000000"/>
        </w:rPr>
      </w:pPr>
      <w:r>
        <w:rPr>
          <w:rFonts w:hint="eastAsia" w:ascii="微软雅黑" w:hAnsi="微软雅黑" w:eastAsia="微软雅黑"/>
          <w:b/>
          <w:color w:val="000000"/>
        </w:rPr>
        <w:t>第一部分：任职资格标准建设与实践要点</w:t>
      </w:r>
    </w:p>
    <w:p>
      <w:pPr>
        <w:pStyle w:val="15"/>
        <w:numPr>
          <w:ilvl w:val="2"/>
          <w:numId w:val="2"/>
        </w:numPr>
        <w:ind w:firstLineChars="0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人力资源管理的问题和方向</w:t>
      </w:r>
    </w:p>
    <w:p>
      <w:pPr>
        <w:pStyle w:val="15"/>
        <w:numPr>
          <w:ilvl w:val="3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案例一：到底是职级称呼还是职位称呼？</w:t>
      </w:r>
    </w:p>
    <w:p>
      <w:pPr>
        <w:pStyle w:val="15"/>
        <w:numPr>
          <w:ilvl w:val="3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案例二：为什么员工想把事情做好，但就是无法做好？</w:t>
      </w:r>
    </w:p>
    <w:p>
      <w:pPr>
        <w:pStyle w:val="15"/>
        <w:numPr>
          <w:ilvl w:val="3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案例三：员工制造产品缺陷背后的原因</w:t>
      </w:r>
    </w:p>
    <w:p>
      <w:pPr>
        <w:pStyle w:val="15"/>
        <w:numPr>
          <w:ilvl w:val="2"/>
          <w:numId w:val="2"/>
        </w:numPr>
        <w:ind w:firstLineChars="0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任职资格管理的概念和理念</w:t>
      </w:r>
    </w:p>
    <w:p>
      <w:pPr>
        <w:pStyle w:val="15"/>
        <w:numPr>
          <w:ilvl w:val="3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任职资格是什么，不是什么</w:t>
      </w:r>
    </w:p>
    <w:p>
      <w:pPr>
        <w:pStyle w:val="15"/>
        <w:numPr>
          <w:ilvl w:val="3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任职资格管理的核心理念</w:t>
      </w:r>
    </w:p>
    <w:p>
      <w:pPr>
        <w:pStyle w:val="15"/>
        <w:numPr>
          <w:ilvl w:val="3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任职资格管理的核心概念</w:t>
      </w:r>
    </w:p>
    <w:p>
      <w:pPr>
        <w:pStyle w:val="15"/>
        <w:numPr>
          <w:ilvl w:val="2"/>
          <w:numId w:val="2"/>
        </w:numPr>
        <w:ind w:firstLineChars="0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任职资格管理体系建设要领</w:t>
      </w:r>
    </w:p>
    <w:p>
      <w:pPr>
        <w:pStyle w:val="15"/>
        <w:numPr>
          <w:ilvl w:val="3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任职资格体系建设的原则</w:t>
      </w:r>
    </w:p>
    <w:p>
      <w:pPr>
        <w:pStyle w:val="15"/>
        <w:numPr>
          <w:ilvl w:val="3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任职资格体系架构概况</w:t>
      </w:r>
      <w:bookmarkStart w:id="0" w:name="_GoBack"/>
      <w:bookmarkEnd w:id="0"/>
    </w:p>
    <w:p>
      <w:pPr>
        <w:pStyle w:val="15"/>
        <w:numPr>
          <w:ilvl w:val="3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企业任职资格体系建设的流程</w:t>
      </w:r>
    </w:p>
    <w:p>
      <w:pPr>
        <w:pStyle w:val="15"/>
        <w:numPr>
          <w:ilvl w:val="3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企业任职资格管理的常见问题</w:t>
      </w:r>
    </w:p>
    <w:p>
      <w:pPr>
        <w:pStyle w:val="15"/>
        <w:numPr>
          <w:ilvl w:val="3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企业任职资格管理的关键要领</w:t>
      </w:r>
    </w:p>
    <w:p>
      <w:pPr>
        <w:pStyle w:val="15"/>
        <w:numPr>
          <w:ilvl w:val="2"/>
          <w:numId w:val="2"/>
        </w:numPr>
        <w:ind w:firstLineChars="0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任职资格标准制定</w:t>
      </w:r>
    </w:p>
    <w:p>
      <w:pPr>
        <w:pStyle w:val="15"/>
        <w:numPr>
          <w:ilvl w:val="3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案例分析：如此标准，如何识人选人？</w:t>
      </w:r>
    </w:p>
    <w:p>
      <w:pPr>
        <w:pStyle w:val="15"/>
        <w:numPr>
          <w:ilvl w:val="3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知识分享：冰山模型与任职资格标准框架</w:t>
      </w:r>
    </w:p>
    <w:p>
      <w:pPr>
        <w:pStyle w:val="15"/>
        <w:numPr>
          <w:ilvl w:val="3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问题澄清：不同发展阶段的企业如何构建“高效、实用”的任职资格标准</w:t>
      </w:r>
    </w:p>
    <w:p>
      <w:pPr>
        <w:pStyle w:val="15"/>
        <w:numPr>
          <w:ilvl w:val="3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标准制定：行为要素分析与关键知识经验萃取</w:t>
      </w:r>
    </w:p>
    <w:p>
      <w:pPr>
        <w:pStyle w:val="15"/>
        <w:numPr>
          <w:ilvl w:val="3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小组PK练习：能力标准区分矩阵</w:t>
      </w:r>
    </w:p>
    <w:p>
      <w:pPr>
        <w:pStyle w:val="15"/>
        <w:ind w:left="1620" w:firstLine="0" w:firstLineChars="0"/>
        <w:rPr>
          <w:rFonts w:ascii="微软雅黑" w:hAnsi="微软雅黑" w:eastAsia="微软雅黑"/>
        </w:rPr>
      </w:pPr>
    </w:p>
    <w:p>
      <w:pPr>
        <w:tabs>
          <w:tab w:val="left" w:pos="540"/>
        </w:tabs>
        <w:spacing w:line="276" w:lineRule="auto"/>
        <w:rPr>
          <w:rFonts w:hint="eastAsia" w:ascii="微软雅黑" w:hAnsi="微软雅黑" w:eastAsia="微软雅黑"/>
          <w:b/>
          <w:color w:val="000000"/>
        </w:rPr>
      </w:pPr>
      <w:r>
        <w:rPr>
          <w:rFonts w:hint="eastAsia" w:ascii="微软雅黑" w:hAnsi="微软雅黑" w:eastAsia="微软雅黑"/>
          <w:b/>
          <w:color w:val="000000"/>
        </w:rPr>
        <w:t>第二部分：人才培养与人才发展实践</w:t>
      </w:r>
    </w:p>
    <w:p>
      <w:pPr>
        <w:pStyle w:val="15"/>
        <w:numPr>
          <w:ilvl w:val="0"/>
          <w:numId w:val="3"/>
        </w:numPr>
        <w:ind w:firstLineChars="0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如何快速、高效培养新员工？</w:t>
      </w:r>
    </w:p>
    <w:p>
      <w:pPr>
        <w:pStyle w:val="15"/>
        <w:numPr>
          <w:ilvl w:val="0"/>
          <w:numId w:val="4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案例分析：业务快速扩张，组织能力如何跟上业务？</w:t>
      </w:r>
    </w:p>
    <w:p>
      <w:pPr>
        <w:pStyle w:val="15"/>
        <w:numPr>
          <w:ilvl w:val="0"/>
          <w:numId w:val="4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应对策略：新员工发展与融入解决方案</w:t>
      </w:r>
    </w:p>
    <w:p>
      <w:pPr>
        <w:pStyle w:val="15"/>
        <w:numPr>
          <w:ilvl w:val="0"/>
          <w:numId w:val="4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人才复制：标准化、批量化的新人培养流程</w:t>
      </w:r>
    </w:p>
    <w:p>
      <w:pPr>
        <w:pStyle w:val="15"/>
        <w:numPr>
          <w:ilvl w:val="0"/>
          <w:numId w:val="4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关键要领：新人培养的成功经验-思想导师制</w:t>
      </w:r>
    </w:p>
    <w:p>
      <w:pPr>
        <w:pStyle w:val="15"/>
        <w:numPr>
          <w:ilvl w:val="0"/>
          <w:numId w:val="3"/>
        </w:numPr>
        <w:ind w:firstLineChars="0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如何基于业务需求培养基层骨干？</w:t>
      </w:r>
    </w:p>
    <w:p>
      <w:pPr>
        <w:pStyle w:val="15"/>
        <w:numPr>
          <w:ilvl w:val="0"/>
          <w:numId w:val="5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案例分析：基层员工成长和发展的根本机会从何而来？</w:t>
      </w:r>
    </w:p>
    <w:p>
      <w:pPr>
        <w:pStyle w:val="15"/>
        <w:numPr>
          <w:ilvl w:val="0"/>
          <w:numId w:val="5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方法论：“</w:t>
      </w:r>
      <w:r>
        <w:rPr>
          <w:rFonts w:ascii="微软雅黑" w:hAnsi="微软雅黑" w:eastAsia="微软雅黑"/>
        </w:rPr>
        <w:t>3</w:t>
      </w:r>
      <w:r>
        <w:rPr>
          <w:rFonts w:hint="eastAsia" w:ascii="微软雅黑" w:hAnsi="微软雅黑" w:eastAsia="微软雅黑"/>
        </w:rPr>
        <w:t>E”模型和721原则</w:t>
      </w:r>
    </w:p>
    <w:p>
      <w:pPr>
        <w:pStyle w:val="15"/>
        <w:numPr>
          <w:ilvl w:val="0"/>
          <w:numId w:val="5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最佳实践1：训战结合、循环赋能</w:t>
      </w:r>
    </w:p>
    <w:p>
      <w:pPr>
        <w:pStyle w:val="15"/>
        <w:numPr>
          <w:ilvl w:val="0"/>
          <w:numId w:val="5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最佳实践2：选拔制和淘汰制</w:t>
      </w:r>
    </w:p>
    <w:p>
      <w:pPr>
        <w:pStyle w:val="15"/>
        <w:numPr>
          <w:ilvl w:val="0"/>
          <w:numId w:val="5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案例分析1：国家代表角色转变培训项目</w:t>
      </w:r>
    </w:p>
    <w:p>
      <w:pPr>
        <w:pStyle w:val="15"/>
        <w:numPr>
          <w:ilvl w:val="0"/>
          <w:numId w:val="5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案例分析2：HRBP转型培训项目</w:t>
      </w:r>
    </w:p>
    <w:p>
      <w:pPr>
        <w:pStyle w:val="15"/>
        <w:numPr>
          <w:ilvl w:val="0"/>
          <w:numId w:val="3"/>
        </w:numPr>
        <w:ind w:firstLineChars="0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如何培养高潜力专业人才？</w:t>
      </w:r>
    </w:p>
    <w:p>
      <w:pPr>
        <w:pStyle w:val="15"/>
        <w:numPr>
          <w:ilvl w:val="0"/>
          <w:numId w:val="6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案例分析：准备退休，却无后备人选</w:t>
      </w:r>
    </w:p>
    <w:p>
      <w:pPr>
        <w:pStyle w:val="15"/>
        <w:numPr>
          <w:ilvl w:val="0"/>
          <w:numId w:val="6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方法论：培养专业人才的利器-TSP计划</w:t>
      </w:r>
    </w:p>
    <w:p>
      <w:pPr>
        <w:pStyle w:val="15"/>
        <w:numPr>
          <w:ilvl w:val="0"/>
          <w:numId w:val="6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关键点：TSP计划的核心-四点一线</w:t>
      </w:r>
    </w:p>
    <w:p>
      <w:pPr>
        <w:pStyle w:val="15"/>
        <w:numPr>
          <w:ilvl w:val="0"/>
          <w:numId w:val="6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工具表单：如何实施TSP计划？</w:t>
      </w:r>
    </w:p>
    <w:p>
      <w:pPr>
        <w:pStyle w:val="15"/>
        <w:numPr>
          <w:ilvl w:val="0"/>
          <w:numId w:val="6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最佳实践：专业/高潜人才能力开发实战（轮岗、行动学习、导师制）</w:t>
      </w:r>
    </w:p>
    <w:p>
      <w:pPr>
        <w:pStyle w:val="15"/>
        <w:numPr>
          <w:ilvl w:val="0"/>
          <w:numId w:val="6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举例1：业务专家轮岗</w:t>
      </w:r>
    </w:p>
    <w:p>
      <w:pPr>
        <w:pStyle w:val="15"/>
        <w:numPr>
          <w:ilvl w:val="0"/>
          <w:numId w:val="6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举例2：领域首席导师制</w:t>
      </w:r>
    </w:p>
    <w:p>
      <w:pPr>
        <w:pStyle w:val="15"/>
        <w:numPr>
          <w:ilvl w:val="0"/>
          <w:numId w:val="3"/>
        </w:numPr>
        <w:ind w:firstLineChars="0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如何开发中高层干部领导力？</w:t>
      </w:r>
    </w:p>
    <w:p>
      <w:pPr>
        <w:pStyle w:val="15"/>
        <w:numPr>
          <w:ilvl w:val="0"/>
          <w:numId w:val="7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核心理念：将军是打出来的</w:t>
      </w:r>
    </w:p>
    <w:p>
      <w:pPr>
        <w:pStyle w:val="15"/>
        <w:numPr>
          <w:ilvl w:val="0"/>
          <w:numId w:val="7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关键原则：教精神、教方法重于教知识</w:t>
      </w:r>
    </w:p>
    <w:p>
      <w:pPr>
        <w:pStyle w:val="15"/>
        <w:numPr>
          <w:ilvl w:val="0"/>
          <w:numId w:val="7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活力机制：干部能上能下，每年10%淘汰</w:t>
      </w:r>
    </w:p>
    <w:p>
      <w:pPr>
        <w:pStyle w:val="15"/>
        <w:numPr>
          <w:ilvl w:val="0"/>
          <w:numId w:val="7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任职标准：干部选拔任用的标准</w:t>
      </w:r>
    </w:p>
    <w:p>
      <w:pPr>
        <w:pStyle w:val="15"/>
        <w:numPr>
          <w:ilvl w:val="0"/>
          <w:numId w:val="7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案例分享1：华为干部能力建设架构</w:t>
      </w:r>
    </w:p>
    <w:p>
      <w:pPr>
        <w:pStyle w:val="15"/>
        <w:numPr>
          <w:ilvl w:val="0"/>
          <w:numId w:val="7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案例分享2：华为领导力开发的核心工具</w:t>
      </w:r>
    </w:p>
    <w:p>
      <w:pPr>
        <w:tabs>
          <w:tab w:val="left" w:pos="0"/>
          <w:tab w:val="left" w:pos="360"/>
        </w:tabs>
        <w:spacing w:line="0" w:lineRule="atLeast"/>
      </w:pPr>
    </w:p>
    <w:p>
      <w:pPr>
        <w:tabs>
          <w:tab w:val="left" w:pos="0"/>
          <w:tab w:val="left" w:pos="360"/>
        </w:tabs>
        <w:spacing w:line="0" w:lineRule="atLeast"/>
      </w:pPr>
    </w:p>
    <w:p>
      <w:pPr>
        <w:tabs>
          <w:tab w:val="left" w:pos="0"/>
          <w:tab w:val="left" w:pos="360"/>
        </w:tabs>
        <w:spacing w:line="0" w:lineRule="atLeast"/>
      </w:pPr>
    </w:p>
    <w:p>
      <w:pPr>
        <w:tabs>
          <w:tab w:val="left" w:pos="900"/>
        </w:tabs>
        <w:spacing w:line="360" w:lineRule="auto"/>
        <w:rPr>
          <w:rFonts w:ascii="微软雅黑" w:hAnsi="微软雅黑" w:eastAsia="微软雅黑"/>
          <w:color w:val="000000"/>
        </w:rPr>
      </w:pPr>
    </w:p>
    <w:p>
      <w:pPr>
        <w:tabs>
          <w:tab w:val="left" w:pos="0"/>
          <w:tab w:val="left" w:pos="360"/>
        </w:tabs>
        <w:spacing w:line="276" w:lineRule="auto"/>
        <w:ind w:left="360"/>
        <w:rPr>
          <w:rFonts w:hint="eastAsia" w:ascii="微软雅黑" w:hAnsi="微软雅黑" w:eastAsia="微软雅黑" w:cs="Arial"/>
          <w:b/>
          <w:color w:val="000000"/>
          <w:sz w:val="24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71120</wp:posOffset>
            </wp:positionV>
            <wp:extent cx="2260600" cy="2565400"/>
            <wp:effectExtent l="0" t="0" r="6350" b="635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00" t="3149" r="17928" b="50650"/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000000"/>
          <w:sz w:val="24"/>
        </w:rPr>
        <w:t>讲师介绍：</w:t>
      </w:r>
      <w:r>
        <w:rPr>
          <w:rFonts w:hint="eastAsia" w:ascii="微软雅黑" w:hAnsi="微软雅黑" w:eastAsia="微软雅黑" w:cs="Arial"/>
          <w:b/>
          <w:color w:val="000000"/>
          <w:sz w:val="24"/>
          <w:lang w:val="en-US" w:eastAsia="zh-CN"/>
        </w:rPr>
        <w:t>许老师</w:t>
      </w:r>
    </w:p>
    <w:p>
      <w:pPr>
        <w:tabs>
          <w:tab w:val="left" w:pos="0"/>
          <w:tab w:val="left" w:pos="360"/>
        </w:tabs>
        <w:spacing w:line="276" w:lineRule="auto"/>
        <w:ind w:left="360"/>
        <w:rPr>
          <w:rFonts w:ascii="微软雅黑" w:hAnsi="微软雅黑" w:eastAsia="微软雅黑" w:cs="Arial"/>
          <w:color w:val="000000"/>
          <w:sz w:val="24"/>
        </w:rPr>
      </w:pPr>
      <w:r>
        <w:rPr>
          <w:rFonts w:ascii="微软雅黑" w:hAnsi="微软雅黑" w:eastAsia="微软雅黑" w:cs="Arial"/>
          <w:color w:val="000000"/>
          <w:sz w:val="24"/>
        </w:rPr>
        <w:t>20</w:t>
      </w:r>
      <w:r>
        <w:rPr>
          <w:rFonts w:hint="eastAsia" w:ascii="微软雅黑" w:hAnsi="微软雅黑" w:eastAsia="微软雅黑" w:cs="Arial"/>
          <w:color w:val="000000"/>
          <w:sz w:val="24"/>
        </w:rPr>
        <w:t>年组织与人才发展工作经历和实践经验，Hay Group, IBM组织变革项目经验。多次荣获中国企业大学最佳实践奖，最佳创新奖，在推动组织变革方面和知识管理方面有卓越贡献。曾全程参与华为大学的建设和运营，深谙国际化企业人才开发的先进理念和典型做法。牵头筹建牧羊控股集团商学院并负责全面运营和管理，树立了农牧行业企业大学的标杆。人才发展理论功底深厚，实战经验丰富，非常注重企业战略到执行落地的全过程研究和实践。</w:t>
      </w:r>
    </w:p>
    <w:p>
      <w:pPr>
        <w:tabs>
          <w:tab w:val="left" w:pos="0"/>
          <w:tab w:val="left" w:pos="360"/>
        </w:tabs>
        <w:spacing w:line="276" w:lineRule="auto"/>
        <w:ind w:firstLine="360" w:firstLineChars="150"/>
        <w:rPr>
          <w:rFonts w:ascii="微软雅黑" w:hAnsi="微软雅黑" w:eastAsia="微软雅黑" w:cs="Arial"/>
          <w:b/>
          <w:color w:val="000000"/>
          <w:sz w:val="24"/>
        </w:rPr>
      </w:pPr>
      <w:r>
        <w:rPr>
          <w:rFonts w:hint="eastAsia" w:ascii="微软雅黑" w:hAnsi="微软雅黑" w:eastAsia="微软雅黑" w:cs="Arial"/>
          <w:b/>
          <w:color w:val="000000"/>
          <w:sz w:val="24"/>
        </w:rPr>
        <w:t>服务过的企业：</w:t>
      </w:r>
    </w:p>
    <w:p>
      <w:pPr>
        <w:tabs>
          <w:tab w:val="left" w:pos="360"/>
        </w:tabs>
        <w:spacing w:line="276" w:lineRule="auto"/>
        <w:ind w:firstLine="360" w:firstLineChars="150"/>
        <w:rPr>
          <w:rFonts w:ascii="微软雅黑" w:hAnsi="微软雅黑" w:eastAsia="微软雅黑" w:cs="Arial"/>
          <w:color w:val="000000"/>
          <w:sz w:val="24"/>
        </w:rPr>
      </w:pPr>
      <w:r>
        <w:rPr>
          <w:rFonts w:hint="eastAsia" w:ascii="微软雅黑" w:hAnsi="微软雅黑" w:eastAsia="微软雅黑" w:cs="Arial"/>
          <w:color w:val="000000"/>
          <w:sz w:val="24"/>
        </w:rPr>
        <w:t>吉利汽车、传化集团、中南机车、中梁集团、成飞集团、雷允上、俊发地产、斯蒂尔青岛、波司登、传化集团、舜宇集团、国显广电、京博控股、苏宁云商、正邦集团、安讯科技、华勤通讯、公牛集团、中国电科10所、久吾高科、中企物业、龙川管业、全信股份、垠坤集团、三和四美、扬杰科技、亚威机床、联博药业、郑州日彤大数据等。</w:t>
      </w:r>
    </w:p>
    <w:p>
      <w:pPr>
        <w:tabs>
          <w:tab w:val="left" w:pos="0"/>
          <w:tab w:val="left" w:pos="360"/>
        </w:tabs>
        <w:spacing w:line="276" w:lineRule="auto"/>
        <w:rPr>
          <w:rFonts w:ascii="微软雅黑" w:hAnsi="微软雅黑" w:eastAsia="微软雅黑"/>
          <w:color w:val="000000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2693670</wp:posOffset>
            </wp:positionV>
            <wp:extent cx="1497965" cy="1113790"/>
            <wp:effectExtent l="0" t="0" r="6985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1740535</wp:posOffset>
            </wp:positionH>
            <wp:positionV relativeFrom="paragraph">
              <wp:posOffset>2693670</wp:posOffset>
            </wp:positionV>
            <wp:extent cx="1686560" cy="1113790"/>
            <wp:effectExtent l="0" t="0" r="889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6560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1747520</wp:posOffset>
            </wp:positionH>
            <wp:positionV relativeFrom="paragraph">
              <wp:posOffset>1378585</wp:posOffset>
            </wp:positionV>
            <wp:extent cx="1708150" cy="1167130"/>
            <wp:effectExtent l="0" t="0" r="635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1747520</wp:posOffset>
            </wp:positionH>
            <wp:positionV relativeFrom="paragraph">
              <wp:posOffset>41910</wp:posOffset>
            </wp:positionV>
            <wp:extent cx="1680210" cy="1153160"/>
            <wp:effectExtent l="0" t="0" r="0" b="889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55880</wp:posOffset>
            </wp:positionV>
            <wp:extent cx="1771650" cy="1097280"/>
            <wp:effectExtent l="0" t="0" r="0" b="762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1385570</wp:posOffset>
            </wp:positionV>
            <wp:extent cx="1490980" cy="1139190"/>
            <wp:effectExtent l="0" t="0" r="0" b="381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0980" cy="11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3569335</wp:posOffset>
            </wp:positionH>
            <wp:positionV relativeFrom="paragraph">
              <wp:posOffset>2679700</wp:posOffset>
            </wp:positionV>
            <wp:extent cx="1786255" cy="1113155"/>
            <wp:effectExtent l="0" t="0" r="4445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3569970</wp:posOffset>
            </wp:positionH>
            <wp:positionV relativeFrom="paragraph">
              <wp:posOffset>1385570</wp:posOffset>
            </wp:positionV>
            <wp:extent cx="1786890" cy="1191260"/>
            <wp:effectExtent l="0" t="0" r="3810" b="889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6890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41910</wp:posOffset>
            </wp:positionV>
            <wp:extent cx="1511935" cy="1134110"/>
            <wp:effectExtent l="0" t="0" r="0" b="889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0"/>
          <w:tab w:val="left" w:pos="360"/>
        </w:tabs>
        <w:spacing w:line="0" w:lineRule="atLeast"/>
      </w:pPr>
    </w:p>
    <w:p>
      <w:pPr>
        <w:tabs>
          <w:tab w:val="left" w:pos="0"/>
          <w:tab w:val="left" w:pos="360"/>
        </w:tabs>
        <w:spacing w:line="0" w:lineRule="atLeast"/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-752475</wp:posOffset>
              </wp:positionH>
              <wp:positionV relativeFrom="paragraph">
                <wp:posOffset>266065</wp:posOffset>
              </wp:positionV>
              <wp:extent cx="7169150" cy="494665"/>
              <wp:effectExtent l="0" t="0" r="6350" b="635"/>
              <wp:wrapNone/>
              <wp:docPr id="12" name="矩形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69150" cy="494665"/>
                      </a:xfrm>
                      <a:prstGeom prst="rect">
                        <a:avLst/>
                      </a:prstGeom>
                      <a:solidFill>
                        <a:srgbClr val="CD1423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>
                          <w:pPr>
                            <w:jc w:val="left"/>
                            <w:rPr>
                              <w:rFonts w:ascii="宋体" w:hAnsi="宋体"/>
                              <w:sz w:val="24"/>
                              <w:szCs w:val="32"/>
                            </w:rPr>
                          </w:pPr>
                          <w:r>
                            <w:rPr>
                              <w:rFonts w:hint="eastAsia" w:ascii="宋体" w:hAnsi="宋体"/>
                              <w:sz w:val="24"/>
                              <w:szCs w:val="32"/>
                            </w:rPr>
                            <w:t>公司地址：中国上海市长宁区中山西路1065号中山SOHO B座7</w:t>
                          </w:r>
                          <w:r>
                            <w:rPr>
                              <w:rFonts w:hint="eastAsia" w:ascii="宋体" w:hAnsi="宋体"/>
                              <w:sz w:val="24"/>
                              <w:szCs w:val="32"/>
                              <w:lang w:val="en-US" w:eastAsia="zh-Hans"/>
                            </w:rPr>
                            <w:t>楼</w:t>
                          </w:r>
                          <w:r>
                            <w:rPr>
                              <w:rFonts w:hint="eastAsia" w:ascii="宋体" w:hAnsi="宋体"/>
                              <w:sz w:val="24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宋体" w:hAnsi="宋体"/>
                              <w:sz w:val="24"/>
                              <w:szCs w:val="32"/>
                            </w:rPr>
                            <w:t xml:space="preserve">    </w:t>
                          </w:r>
                          <w:r>
                            <w:rPr>
                              <w:rFonts w:hint="eastAsia" w:ascii="宋体" w:hAnsi="宋体"/>
                              <w:sz w:val="24"/>
                              <w:szCs w:val="32"/>
                            </w:rPr>
                            <w:t xml:space="preserve">免费服务热线:400-696-2298 </w:t>
                          </w:r>
                          <w:r>
                            <w:rPr>
                              <w:rFonts w:ascii="宋体" w:hAnsi="宋体"/>
                              <w:sz w:val="24"/>
                              <w:szCs w:val="32"/>
                            </w:rPr>
                            <w:t xml:space="preserve">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-59.25pt;margin-top:20.95pt;height:38.95pt;width:564.5pt;z-index:251661312;v-text-anchor:middle;mso-width-relative:page;mso-height-relative:page;" fillcolor="#CD1423" filled="t" stroked="f" coordsize="21600,21600" o:gfxdata="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M4Fgt2gAAAAwBAAAPAAAAAAAAAAEAIAAAACIAAABkcnMvZG93bnJl&#10;di54bWxQSwECFAAUAAAACACHTuJAOiNvzm0CAADPBAAADgAAAAAAAAABACAAAAApAQAAZHJzL2Uy&#10;b0RvYy54bWxQSwUGAAAAAAYABgBZAQAACAYAAAAA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left"/>
                      <w:rPr>
                        <w:rFonts w:ascii="宋体" w:hAnsi="宋体"/>
                        <w:sz w:val="24"/>
                        <w:szCs w:val="32"/>
                      </w:rPr>
                    </w:pPr>
                    <w:r>
                      <w:rPr>
                        <w:rFonts w:hint="eastAsia" w:ascii="宋体" w:hAnsi="宋体"/>
                        <w:sz w:val="24"/>
                        <w:szCs w:val="32"/>
                      </w:rPr>
                      <w:t>公司地址：中国上海市长宁区中山西路1065号中山SOHO B座7</w:t>
                    </w:r>
                    <w:r>
                      <w:rPr>
                        <w:rFonts w:hint="eastAsia" w:ascii="宋体" w:hAnsi="宋体"/>
                        <w:sz w:val="24"/>
                        <w:szCs w:val="32"/>
                        <w:lang w:val="en-US" w:eastAsia="zh-Hans"/>
                      </w:rPr>
                      <w:t>楼</w:t>
                    </w:r>
                    <w:r>
                      <w:rPr>
                        <w:rFonts w:hint="eastAsia" w:ascii="宋体" w:hAnsi="宋体"/>
                        <w:sz w:val="24"/>
                        <w:szCs w:val="32"/>
                      </w:rPr>
                      <w:t xml:space="preserve"> </w:t>
                    </w:r>
                    <w:r>
                      <w:rPr>
                        <w:rFonts w:ascii="宋体" w:hAnsi="宋体"/>
                        <w:sz w:val="24"/>
                        <w:szCs w:val="32"/>
                      </w:rPr>
                      <w:t xml:space="preserve">    </w:t>
                    </w:r>
                    <w:r>
                      <w:rPr>
                        <w:rFonts w:hint="eastAsia" w:ascii="宋体" w:hAnsi="宋体"/>
                        <w:sz w:val="24"/>
                        <w:szCs w:val="32"/>
                      </w:rPr>
                      <w:t xml:space="preserve">免费服务热线:400-696-2298 </w:t>
                    </w:r>
                    <w:r>
                      <w:rPr>
                        <w:rFonts w:ascii="宋体" w:hAnsi="宋体"/>
                        <w:sz w:val="24"/>
                        <w:szCs w:val="32"/>
                      </w:rPr>
                      <w:t xml:space="preserve">   </w:t>
                    </w:r>
                  </w:p>
                </w:txbxContent>
              </v:textbox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left"/>
    </w:pPr>
    <w:r>
      <w:rPr>
        <w:color w:val="4F81BD"/>
        <w:spacing w:val="20"/>
        <w:sz w:val="28"/>
      </w:rPr>
      <w:drawing>
        <wp:inline distT="0" distB="0" distL="114300" distR="114300">
          <wp:extent cx="944880" cy="441325"/>
          <wp:effectExtent l="0" t="0" r="7620" b="3175"/>
          <wp:docPr id="6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4880" cy="441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A1F13A3"/>
    <w:multiLevelType w:val="multilevel"/>
    <w:tmpl w:val="2A1F13A3"/>
    <w:lvl w:ilvl="0" w:tentative="0">
      <w:start w:val="1"/>
      <w:numFmt w:val="decimal"/>
      <w:lvlText w:val="%1）"/>
      <w:lvlJc w:val="left"/>
      <w:pPr>
        <w:tabs>
          <w:tab w:val="left" w:pos="1620"/>
        </w:tabs>
        <w:ind w:left="162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">
    <w:nsid w:val="31D16B68"/>
    <w:multiLevelType w:val="multilevel"/>
    <w:tmpl w:val="31D16B68"/>
    <w:lvl w:ilvl="0" w:tentative="0">
      <w:start w:val="1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hint="eastAsia"/>
      </w:rPr>
    </w:lvl>
    <w:lvl w:ilvl="1" w:tentative="0">
      <w:start w:val="1"/>
      <w:numFmt w:val="japaneseCounting"/>
      <w:lvlText w:val="第%2篇，"/>
      <w:lvlJc w:val="left"/>
      <w:pPr>
        <w:tabs>
          <w:tab w:val="left" w:pos="1500"/>
        </w:tabs>
        <w:ind w:left="1500" w:hanging="1080"/>
      </w:pPr>
      <w:rPr>
        <w:rFonts w:hint="eastAsia"/>
      </w:rPr>
    </w:lvl>
    <w:lvl w:ilvl="2" w:tentative="0">
      <w:start w:val="1"/>
      <w:numFmt w:val="japaneseCounting"/>
      <w:lvlText w:val="%3、"/>
      <w:lvlJc w:val="left"/>
      <w:pPr>
        <w:tabs>
          <w:tab w:val="left" w:pos="1260"/>
        </w:tabs>
        <w:ind w:left="1260" w:hanging="420"/>
      </w:pPr>
      <w:rPr>
        <w:rFonts w:hint="eastAsia"/>
      </w:rPr>
    </w:lvl>
    <w:lvl w:ilvl="3" w:tentative="0">
      <w:start w:val="1"/>
      <w:numFmt w:val="decimal"/>
      <w:lvlText w:val="%4）"/>
      <w:lvlJc w:val="left"/>
      <w:pPr>
        <w:tabs>
          <w:tab w:val="left" w:pos="1620"/>
        </w:tabs>
        <w:ind w:left="1620" w:hanging="36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>
    <w:nsid w:val="3BDA4C1E"/>
    <w:multiLevelType w:val="multilevel"/>
    <w:tmpl w:val="3BDA4C1E"/>
    <w:lvl w:ilvl="0" w:tentative="0">
      <w:start w:val="1"/>
      <w:numFmt w:val="japaneseCounting"/>
      <w:lvlText w:val="%1、"/>
      <w:lvlJc w:val="left"/>
      <w:pPr>
        <w:tabs>
          <w:tab w:val="left" w:pos="1260"/>
        </w:tabs>
        <w:ind w:left="126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3">
    <w:nsid w:val="3D064D1A"/>
    <w:multiLevelType w:val="multilevel"/>
    <w:tmpl w:val="3D064D1A"/>
    <w:lvl w:ilvl="0" w:tentative="0">
      <w:start w:val="1"/>
      <w:numFmt w:val="decimal"/>
      <w:lvlText w:val="%1）"/>
      <w:lvlJc w:val="left"/>
      <w:pPr>
        <w:tabs>
          <w:tab w:val="left" w:pos="1620"/>
        </w:tabs>
        <w:ind w:left="162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4">
    <w:nsid w:val="4A1B2FC3"/>
    <w:multiLevelType w:val="multilevel"/>
    <w:tmpl w:val="4A1B2FC3"/>
    <w:lvl w:ilvl="0" w:tentative="0">
      <w:start w:val="1"/>
      <w:numFmt w:val="decimal"/>
      <w:lvlText w:val="%1）"/>
      <w:lvlJc w:val="left"/>
      <w:pPr>
        <w:tabs>
          <w:tab w:val="left" w:pos="1620"/>
        </w:tabs>
        <w:ind w:left="162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5">
    <w:nsid w:val="6A9C25DD"/>
    <w:multiLevelType w:val="multilevel"/>
    <w:tmpl w:val="6A9C25DD"/>
    <w:lvl w:ilvl="0" w:tentative="0">
      <w:start w:val="1"/>
      <w:numFmt w:val="decimal"/>
      <w:lvlText w:val="%1）"/>
      <w:lvlJc w:val="left"/>
      <w:pPr>
        <w:tabs>
          <w:tab w:val="left" w:pos="1620"/>
        </w:tabs>
        <w:ind w:left="162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6">
    <w:nsid w:val="6B6A1277"/>
    <w:multiLevelType w:val="multilevel"/>
    <w:tmpl w:val="6B6A1277"/>
    <w:lvl w:ilvl="0" w:tentative="0">
      <w:start w:val="1"/>
      <w:numFmt w:val="bullet"/>
      <w:lvlText w:val=""/>
      <w:lvlJc w:val="left"/>
      <w:pPr>
        <w:ind w:left="420" w:hanging="420"/>
      </w:pPr>
      <w:rPr>
        <w:rFonts w:hint="default" w:ascii="Symbol" w:hAnsi="Symbol"/>
        <w:color w:val="auto"/>
      </w:rPr>
    </w:lvl>
    <w:lvl w:ilvl="1" w:tentative="0">
      <w:start w:val="0"/>
      <w:numFmt w:val="bullet"/>
      <w:lvlText w:val="◆"/>
      <w:lvlJc w:val="left"/>
      <w:pPr>
        <w:ind w:left="780" w:hanging="360"/>
      </w:pPr>
      <w:rPr>
        <w:rFonts w:hint="eastAsia" w:ascii="微软雅黑" w:hAnsi="微软雅黑" w:eastAsia="微软雅黑" w:cs="Arial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I1NmY5MDFiZDBhNDc4ZmU3Y2Y2YWRkMzM5NjNiOGMifQ=="/>
    <w:docVar w:name="KSO_WPS_MARK_KEY" w:val="90ed7a20-be82-449b-ab41-a925ec715ba4"/>
  </w:docVars>
  <w:rsids>
    <w:rsidRoot w:val="00433013"/>
    <w:rsid w:val="00002664"/>
    <w:rsid w:val="0008573C"/>
    <w:rsid w:val="000B4DA3"/>
    <w:rsid w:val="000D00C5"/>
    <w:rsid w:val="00112321"/>
    <w:rsid w:val="001B09C1"/>
    <w:rsid w:val="0020331E"/>
    <w:rsid w:val="0020714B"/>
    <w:rsid w:val="002303CE"/>
    <w:rsid w:val="002631A1"/>
    <w:rsid w:val="00277F73"/>
    <w:rsid w:val="002B4E31"/>
    <w:rsid w:val="002B608B"/>
    <w:rsid w:val="002E2984"/>
    <w:rsid w:val="00306B6B"/>
    <w:rsid w:val="00316BAC"/>
    <w:rsid w:val="00324518"/>
    <w:rsid w:val="00340D65"/>
    <w:rsid w:val="00350117"/>
    <w:rsid w:val="00352ECB"/>
    <w:rsid w:val="0037187E"/>
    <w:rsid w:val="00373101"/>
    <w:rsid w:val="00383A17"/>
    <w:rsid w:val="00422237"/>
    <w:rsid w:val="00433013"/>
    <w:rsid w:val="00433568"/>
    <w:rsid w:val="00465AE1"/>
    <w:rsid w:val="004B1551"/>
    <w:rsid w:val="004B60F1"/>
    <w:rsid w:val="004D397C"/>
    <w:rsid w:val="004F4BB0"/>
    <w:rsid w:val="00501AC7"/>
    <w:rsid w:val="005317CD"/>
    <w:rsid w:val="0054681F"/>
    <w:rsid w:val="005474F1"/>
    <w:rsid w:val="005853CB"/>
    <w:rsid w:val="005E5074"/>
    <w:rsid w:val="00646875"/>
    <w:rsid w:val="00673B16"/>
    <w:rsid w:val="00675E79"/>
    <w:rsid w:val="00690CCA"/>
    <w:rsid w:val="006E3FF4"/>
    <w:rsid w:val="00706B1C"/>
    <w:rsid w:val="00741065"/>
    <w:rsid w:val="00775AC2"/>
    <w:rsid w:val="00775C14"/>
    <w:rsid w:val="0079706F"/>
    <w:rsid w:val="007D52DC"/>
    <w:rsid w:val="008367DC"/>
    <w:rsid w:val="00873383"/>
    <w:rsid w:val="00885E36"/>
    <w:rsid w:val="00937B2D"/>
    <w:rsid w:val="00942DF5"/>
    <w:rsid w:val="00983694"/>
    <w:rsid w:val="009C0A97"/>
    <w:rsid w:val="00A17E24"/>
    <w:rsid w:val="00A37CAE"/>
    <w:rsid w:val="00A43D5D"/>
    <w:rsid w:val="00A82DF9"/>
    <w:rsid w:val="00AB64CC"/>
    <w:rsid w:val="00B30800"/>
    <w:rsid w:val="00B32A83"/>
    <w:rsid w:val="00B32C76"/>
    <w:rsid w:val="00B63118"/>
    <w:rsid w:val="00BB7E97"/>
    <w:rsid w:val="00BC1622"/>
    <w:rsid w:val="00C45401"/>
    <w:rsid w:val="00C67C4D"/>
    <w:rsid w:val="00C72741"/>
    <w:rsid w:val="00C77962"/>
    <w:rsid w:val="00C86DD4"/>
    <w:rsid w:val="00CD1534"/>
    <w:rsid w:val="00D061F4"/>
    <w:rsid w:val="00D449BF"/>
    <w:rsid w:val="00D70F7E"/>
    <w:rsid w:val="00E34428"/>
    <w:rsid w:val="00E402E6"/>
    <w:rsid w:val="00E6027F"/>
    <w:rsid w:val="00EA6476"/>
    <w:rsid w:val="00EC0EAB"/>
    <w:rsid w:val="00EC6BBF"/>
    <w:rsid w:val="00EC773C"/>
    <w:rsid w:val="00F5145B"/>
    <w:rsid w:val="00F83E33"/>
    <w:rsid w:val="00FB2128"/>
    <w:rsid w:val="2C3F6287"/>
    <w:rsid w:val="3C5D1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link w:val="12"/>
    <w:uiPriority w:val="0"/>
    <w:rPr>
      <w:rFonts w:asciiTheme="minorHAnsi" w:hAnsiTheme="minorHAnsi" w:eastAsiaTheme="minorEastAsia" w:cstheme="minorBidi"/>
      <w:sz w:val="24"/>
      <w:szCs w:val="22"/>
    </w:rPr>
  </w:style>
  <w:style w:type="paragraph" w:styleId="5">
    <w:name w:val="Balloon Text"/>
    <w:basedOn w:val="1"/>
    <w:link w:val="14"/>
    <w:semiHidden/>
    <w:unhideWhenUsed/>
    <w:uiPriority w:val="99"/>
    <w:rPr>
      <w:sz w:val="18"/>
      <w:szCs w:val="18"/>
    </w:rPr>
  </w:style>
  <w:style w:type="paragraph" w:styleId="6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0">
    <w:name w:val="页眉 字符"/>
    <w:basedOn w:val="9"/>
    <w:link w:val="7"/>
    <w:uiPriority w:val="99"/>
    <w:rPr>
      <w:sz w:val="18"/>
      <w:szCs w:val="18"/>
    </w:rPr>
  </w:style>
  <w:style w:type="character" w:customStyle="1" w:styleId="11">
    <w:name w:val="页脚 字符"/>
    <w:basedOn w:val="9"/>
    <w:link w:val="6"/>
    <w:uiPriority w:val="99"/>
    <w:rPr>
      <w:sz w:val="18"/>
      <w:szCs w:val="18"/>
    </w:rPr>
  </w:style>
  <w:style w:type="character" w:customStyle="1" w:styleId="12">
    <w:name w:val="正文文本 字符"/>
    <w:link w:val="4"/>
    <w:uiPriority w:val="0"/>
    <w:rPr>
      <w:sz w:val="24"/>
    </w:rPr>
  </w:style>
  <w:style w:type="character" w:customStyle="1" w:styleId="13">
    <w:name w:val="正文文本 Char1"/>
    <w:basedOn w:val="9"/>
    <w:semiHidden/>
    <w:uiPriority w:val="99"/>
    <w:rPr>
      <w:rFonts w:ascii="Times New Roman" w:hAnsi="Times New Roman" w:eastAsia="宋体" w:cs="Times New Roman"/>
      <w:szCs w:val="24"/>
    </w:rPr>
  </w:style>
  <w:style w:type="character" w:customStyle="1" w:styleId="14">
    <w:name w:val="批注框文本 字符"/>
    <w:basedOn w:val="9"/>
    <w:link w:val="5"/>
    <w:semiHidden/>
    <w:uiPriority w:val="99"/>
    <w:rPr>
      <w:rFonts w:ascii="Times New Roman" w:hAnsi="Times New Roman" w:eastAsia="宋体" w:cs="Times New Roman"/>
      <w:sz w:val="18"/>
      <w:szCs w:val="18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标题 1 字符"/>
    <w:basedOn w:val="9"/>
    <w:link w:val="2"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17">
    <w:name w:val="标题 2 字符"/>
    <w:basedOn w:val="9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1630</Words>
  <Characters>1704</Characters>
  <Lines>12</Lines>
  <Paragraphs>3</Paragraphs>
  <TotalTime>0</TotalTime>
  <ScaleCrop>false</ScaleCrop>
  <LinksUpToDate>false</LinksUpToDate>
  <CharactersWithSpaces>1713</CharactersWithSpaces>
  <Application>WPS Office_11.1.0.12970_F1E327BC-269C-435d-A152-05C5408002CA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2017-10-26T02:55:00Z</dcterms:created>
  <dc:creator>samsung-</dc:creator>
  <cp:lastModifiedBy>GHR-VV</cp:lastModifiedBy>
  <dcterms:modified xsi:type="dcterms:W3CDTF">2023-04-03T05:23:24Z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292DB860DC7E4B16B0FB631906C531D6</vt:lpwstr>
  </property>
</Properties>
</file>