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</w:rPr>
        <w:t>应收账款催收实战技巧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/>
          <w:sz w:val="22"/>
          <w:szCs w:val="22"/>
        </w:rPr>
        <w:t>课程费用：</w:t>
      </w:r>
      <w:r>
        <w:rPr>
          <w:rFonts w:hint="eastAsia" w:asciiTheme="minorEastAsia" w:hAnsiTheme="minorEastAsia" w:eastAsiaTheme="minorEastAsia" w:cstheme="minorEastAsia"/>
          <w:b/>
          <w:sz w:val="22"/>
          <w:szCs w:val="22"/>
          <w:lang w:val="en-US" w:eastAsia="zh-CN"/>
        </w:rPr>
        <w:t>4800</w:t>
      </w:r>
      <w:r>
        <w:rPr>
          <w:rFonts w:hint="eastAsia" w:asciiTheme="minorEastAsia" w:hAnsiTheme="minorEastAsia" w:eastAsiaTheme="minorEastAsia" w:cstheme="minorEastAsia"/>
          <w:b/>
          <w:sz w:val="22"/>
          <w:szCs w:val="22"/>
        </w:rPr>
        <w:t>元/人（包含课程资料、学习费、茶歇等，不含午餐及住宿）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/>
          <w:sz w:val="22"/>
          <w:szCs w:val="22"/>
        </w:rPr>
        <w:t>举办单位：深圳市中企智汇企业管理咨询有限公司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/>
          <w:sz w:val="22"/>
          <w:szCs w:val="22"/>
        </w:rPr>
        <w:t>课程地点：深圳</w:t>
      </w:r>
    </w:p>
    <w:p>
      <w:pPr>
        <w:spacing w:line="360" w:lineRule="auto"/>
        <w:rPr>
          <w:rFonts w:asciiTheme="minorEastAsia" w:hAnsiTheme="minorEastAsia" w:eastAsiaTheme="minorEastAsia" w:cstheme="minorEastAsia"/>
          <w:b/>
          <w:sz w:val="22"/>
          <w:szCs w:val="22"/>
        </w:rPr>
      </w:pPr>
      <w:r>
        <w:rPr>
          <w:rFonts w:hint="eastAsia" w:asciiTheme="minorEastAsia" w:hAnsiTheme="minorEastAsia" w:eastAsiaTheme="minorEastAsia" w:cstheme="minorEastAsia"/>
          <w:b/>
          <w:sz w:val="22"/>
          <w:szCs w:val="22"/>
        </w:rPr>
        <w:t>课程时间：6月16-17日</w:t>
      </w:r>
    </w:p>
    <w:p>
      <w:pPr>
        <w:spacing w:line="460" w:lineRule="exact"/>
        <w:jc w:val="left"/>
        <w:rPr>
          <w:rFonts w:hint="eastAsia" w:ascii="思源黑体 CN Heavy" w:hAnsi="思源黑体 CN Heavy" w:eastAsia="思源黑体 CN Heavy"/>
          <w:b/>
          <w:color w:val="244061"/>
          <w:sz w:val="24"/>
          <w:szCs w:val="24"/>
        </w:rPr>
      </w:pPr>
      <w:r>
        <w:rPr>
          <w:rFonts w:hint="eastAsia" w:ascii="思源黑体 CN Heavy" w:hAnsi="思源黑体 CN Heavy" w:eastAsia="思源黑体 CN Heavy"/>
          <w:b/>
          <w:color w:val="244061"/>
          <w:sz w:val="24"/>
          <w:szCs w:val="24"/>
        </w:rPr>
        <w:t>课程背景：</w:t>
      </w:r>
    </w:p>
    <w:p>
      <w:pPr>
        <w:ind w:left="420" w:firstLine="420"/>
      </w:pPr>
      <w:r>
        <w:rPr>
          <w:rFonts w:hint="eastAsia"/>
        </w:rPr>
        <w:t>在这个现实且残酷的社会，资金是一家企业能否长久运作的关键，所以销售风险控制与应收账款管理是最重要的，即便你再努力，没有回款的销售等于零，尤其对于资金紧张的企业，回款更是生死攸关的大事。应收账款催收是一项长期而艰苦的业务，不仅要有坚韧不拔的毅力，更要具备对应的素质和能力，掌握必备的技巧。技巧得当，回款就成功了一半。本课程从销售风险控制与应收账款管理的整个过程入手，告诉你如何精准定位客户营销，如何做好赊销管理，轻松地追回应收账款，同时还与对方保持良好的业务关系。</w:t>
      </w:r>
    </w:p>
    <w:p>
      <w:pPr>
        <w:spacing w:line="460" w:lineRule="exact"/>
        <w:jc w:val="left"/>
        <w:rPr>
          <w:rFonts w:hint="eastAsia" w:ascii="思源黑体 CN Heavy" w:hAnsi="思源黑体 CN Heavy" w:eastAsia="思源黑体 CN Heavy"/>
          <w:b/>
          <w:color w:val="244061"/>
          <w:sz w:val="24"/>
          <w:szCs w:val="24"/>
        </w:rPr>
      </w:pPr>
    </w:p>
    <w:p>
      <w:pPr>
        <w:spacing w:line="460" w:lineRule="exact"/>
        <w:jc w:val="left"/>
        <w:rPr>
          <w:rFonts w:hint="eastAsia" w:ascii="思源黑体 CN Heavy" w:hAnsi="思源黑体 CN Heavy" w:eastAsia="思源黑体 CN Heavy"/>
          <w:b/>
          <w:color w:val="244061"/>
          <w:sz w:val="24"/>
          <w:szCs w:val="24"/>
        </w:rPr>
      </w:pPr>
      <w:r>
        <w:rPr>
          <w:rFonts w:hint="eastAsia" w:ascii="思源黑体 CN Heavy" w:hAnsi="思源黑体 CN Heavy" w:eastAsia="思源黑体 CN Heavy"/>
          <w:b/>
          <w:color w:val="244061"/>
          <w:sz w:val="24"/>
          <w:szCs w:val="24"/>
        </w:rPr>
        <w:t>课程</w:t>
      </w:r>
      <w:r>
        <w:rPr>
          <w:rFonts w:hint="eastAsia" w:ascii="思源黑体 CN Heavy" w:hAnsi="思源黑体 CN Heavy" w:eastAsia="思源黑体 CN Heavy"/>
          <w:b/>
          <w:color w:val="244061"/>
          <w:sz w:val="24"/>
          <w:szCs w:val="24"/>
          <w:lang w:eastAsia="zh-CN"/>
        </w:rPr>
        <w:t>目标</w:t>
      </w:r>
      <w:r>
        <w:rPr>
          <w:rFonts w:hint="eastAsia" w:ascii="思源黑体 CN Heavy" w:hAnsi="思源黑体 CN Heavy" w:eastAsia="思源黑体 CN Heavy"/>
          <w:b/>
          <w:color w:val="244061"/>
          <w:sz w:val="24"/>
          <w:szCs w:val="24"/>
        </w:rPr>
        <w:t>：</w:t>
      </w:r>
    </w:p>
    <w:p>
      <w:pPr>
        <w:pStyle w:val="3"/>
        <w:ind w:left="1260"/>
      </w:pPr>
      <w:r>
        <w:rPr>
          <w:rFonts w:hint="eastAsia"/>
        </w:rPr>
        <w:t>帮助销售人员增加催收成功概率</w:t>
      </w:r>
    </w:p>
    <w:p>
      <w:pPr>
        <w:pStyle w:val="3"/>
        <w:ind w:left="1260"/>
      </w:pPr>
      <w:r>
        <w:rPr>
          <w:rFonts w:hint="eastAsia"/>
        </w:rPr>
        <w:t>做好客户管理，提高相关收款人员的实际沟通与操作技巧</w:t>
      </w:r>
    </w:p>
    <w:p>
      <w:pPr>
        <w:pStyle w:val="3"/>
        <w:ind w:left="1260"/>
        <w:rPr>
          <w:rFonts w:hint="eastAsia" w:ascii="思源黑体 CN Heavy" w:hAnsi="思源黑体 CN Heavy" w:eastAsia="思源黑体 CN Heavy"/>
          <w:b/>
          <w:color w:val="244061"/>
          <w:sz w:val="24"/>
          <w:szCs w:val="24"/>
        </w:rPr>
      </w:pPr>
      <w:r>
        <w:rPr>
          <w:rFonts w:hint="eastAsia"/>
        </w:rPr>
        <w:t>轻松收回应收账款，提升企业资金周转率</w:t>
      </w:r>
    </w:p>
    <w:p>
      <w:pPr>
        <w:rPr>
          <w:rFonts w:hint="eastAsia"/>
          <w:b/>
        </w:rPr>
      </w:pPr>
      <w:r>
        <w:rPr>
          <w:rFonts w:hint="eastAsia" w:ascii="思源黑体 CN Heavy" w:hAnsi="思源黑体 CN Heavy" w:eastAsia="思源黑体 CN Heavy"/>
          <w:b/>
          <w:color w:val="244061"/>
          <w:sz w:val="24"/>
          <w:szCs w:val="24"/>
        </w:rPr>
        <w:t>课程时间：</w:t>
      </w:r>
      <w:r>
        <w:rPr>
          <w:rFonts w:hint="eastAsia"/>
        </w:rPr>
        <w:t>2天</w:t>
      </w:r>
    </w:p>
    <w:p>
      <w:pPr>
        <w:pStyle w:val="8"/>
        <w:ind w:right="31" w:rightChars="15"/>
        <w:rPr>
          <w:rFonts w:hint="eastAsia" w:ascii="思源黑体 CN Heavy" w:hAnsi="思源黑体 CN Heavy" w:eastAsia="思源黑体 CN Heavy"/>
          <w:b/>
          <w:color w:val="244061"/>
          <w:sz w:val="24"/>
          <w:szCs w:val="24"/>
        </w:rPr>
      </w:pPr>
      <w:r>
        <w:rPr>
          <w:rFonts w:hint="eastAsia" w:ascii="思源黑体 CN Heavy" w:hAnsi="思源黑体 CN Heavy" w:eastAsia="思源黑体 CN Heavy"/>
          <w:b/>
          <w:color w:val="244061"/>
          <w:sz w:val="24"/>
          <w:szCs w:val="24"/>
        </w:rPr>
        <w:t>授课方式：</w:t>
      </w:r>
      <w:r>
        <w:rPr>
          <w:rFonts w:hint="eastAsia"/>
        </w:rPr>
        <w:t>授课40%（互动引导）+小组练习20%+现场模拟演练40%</w:t>
      </w:r>
    </w:p>
    <w:p>
      <w:pPr>
        <w:pStyle w:val="8"/>
        <w:ind w:right="31" w:rightChars="15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思源黑体 CN Heavy" w:hAnsi="思源黑体 CN Heavy" w:eastAsia="思源黑体 CN Heavy"/>
          <w:b/>
          <w:color w:val="244061"/>
          <w:sz w:val="24"/>
          <w:szCs w:val="24"/>
          <w:lang w:val="en-US" w:eastAsia="zh-CN"/>
        </w:rPr>
        <w:t>课程对象：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所有营销人员及营销管理人员</w:t>
      </w:r>
    </w:p>
    <w:p>
      <w:pPr>
        <w:spacing w:line="460" w:lineRule="exact"/>
        <w:jc w:val="left"/>
        <w:rPr>
          <w:rFonts w:ascii="思源黑体 CN Heavy" w:hAnsi="思源黑体 CN Heavy" w:eastAsia="思源黑体 CN Heavy"/>
          <w:color w:val="000000" w:themeColor="text1"/>
          <w:sz w:val="24"/>
          <w:szCs w:val="24"/>
        </w:rPr>
      </w:pPr>
    </w:p>
    <w:p>
      <w:pPr>
        <w:tabs>
          <w:tab w:val="left" w:pos="600"/>
        </w:tabs>
        <w:spacing w:line="460" w:lineRule="exact"/>
        <w:jc w:val="left"/>
        <w:rPr>
          <w:rFonts w:ascii="思源黑体 CN Heavy" w:hAnsi="思源黑体 CN Heavy" w:eastAsia="思源黑体 CN Heavy"/>
          <w:b/>
          <w:color w:val="244061"/>
          <w:sz w:val="24"/>
          <w:szCs w:val="24"/>
        </w:rPr>
      </w:pPr>
    </w:p>
    <w:p>
      <w:pPr>
        <w:spacing w:line="460" w:lineRule="exact"/>
        <w:jc w:val="center"/>
        <w:rPr>
          <w:rFonts w:ascii="思源黑体 CN Heavy" w:hAnsi="思源黑体 CN Heavy" w:eastAsia="思源黑体 CN Heavy"/>
          <w:b/>
          <w:color w:val="244061"/>
          <w:sz w:val="32"/>
          <w:szCs w:val="24"/>
        </w:rPr>
      </w:pPr>
      <w:r>
        <w:rPr>
          <w:rFonts w:hint="eastAsia" w:ascii="思源黑体 CN Heavy" w:hAnsi="思源黑体 CN Heavy" w:eastAsia="思源黑体 CN Heavy"/>
          <w:b/>
          <w:color w:val="244061"/>
          <w:sz w:val="32"/>
          <w:szCs w:val="24"/>
        </w:rPr>
        <w:t>课程大纲</w:t>
      </w:r>
    </w:p>
    <w:p>
      <w:pPr>
        <w:ind w:left="420" w:firstLine="420"/>
        <w:rPr>
          <w:bCs/>
        </w:rPr>
      </w:pPr>
      <w:r>
        <w:rPr>
          <w:rFonts w:hint="eastAsia"/>
          <w:bCs/>
        </w:rPr>
        <w:t>思考：企业为什么要赊销？</w:t>
      </w:r>
    </w:p>
    <w:p>
      <w:pPr>
        <w:ind w:left="420" w:firstLine="420"/>
        <w:rPr>
          <w:bCs/>
        </w:rPr>
      </w:pPr>
      <w:r>
        <w:rPr>
          <w:rFonts w:hint="eastAsia"/>
          <w:bCs/>
        </w:rPr>
        <w:t>思考：销售人员的工作责任是什么？</w:t>
      </w:r>
    </w:p>
    <w:p>
      <w:pPr>
        <w:pStyle w:val="2"/>
        <w:ind w:left="3240" w:hanging="2400"/>
      </w:pPr>
      <w:r>
        <w:rPr>
          <w:rFonts w:hint="eastAsia"/>
        </w:rPr>
        <w:t xml:space="preserve">第一章  </w:t>
      </w:r>
      <w:r>
        <w:rPr>
          <w:rFonts w:hint="eastAsia"/>
          <w:color w:val="0000FF"/>
        </w:rPr>
        <w:t>客户延迟付款对企业经营的影响</w:t>
      </w:r>
    </w:p>
    <w:p>
      <w:pPr>
        <w:ind w:left="420" w:firstLine="420"/>
        <w:rPr>
          <w:bCs/>
        </w:rPr>
      </w:pPr>
      <w:r>
        <w:rPr>
          <w:rFonts w:hint="eastAsia"/>
          <w:bCs/>
        </w:rPr>
        <w:t>思考：欠款形成的主要原因？</w:t>
      </w:r>
    </w:p>
    <w:p>
      <w:pPr>
        <w:pStyle w:val="2"/>
        <w:ind w:left="3240" w:hanging="2400"/>
      </w:pPr>
      <w:r>
        <w:rPr>
          <w:rFonts w:hint="eastAsia"/>
        </w:rPr>
        <w:t xml:space="preserve">第二章 </w:t>
      </w:r>
      <w:r>
        <w:rPr>
          <w:rFonts w:hint="eastAsia"/>
          <w:color w:val="0000FF"/>
        </w:rPr>
        <w:t>催收欠款的基本原则</w:t>
      </w:r>
    </w:p>
    <w:p>
      <w:pPr>
        <w:ind w:left="420" w:firstLine="420"/>
        <w:rPr>
          <w:bCs/>
        </w:rPr>
      </w:pPr>
      <w:r>
        <w:rPr>
          <w:rFonts w:hint="eastAsia"/>
          <w:bCs/>
        </w:rPr>
        <w:t>分享：应收账款的风险控制的六个重要环节</w:t>
      </w:r>
    </w:p>
    <w:p>
      <w:pPr>
        <w:pStyle w:val="2"/>
        <w:ind w:left="3240" w:hanging="2400"/>
      </w:pPr>
      <w:r>
        <w:rPr>
          <w:rFonts w:hint="eastAsia"/>
        </w:rPr>
        <w:t xml:space="preserve">第三章  </w:t>
      </w:r>
      <w:r>
        <w:rPr>
          <w:rFonts w:hint="eastAsia"/>
          <w:color w:val="0000FF"/>
        </w:rPr>
        <w:t>销售风险控制与应收账款管理</w:t>
      </w:r>
    </w:p>
    <w:p>
      <w:pPr>
        <w:pStyle w:val="3"/>
        <w:ind w:left="1260"/>
      </w:pPr>
      <w:r>
        <w:rPr>
          <w:rFonts w:hint="eastAsia"/>
        </w:rPr>
        <w:t>事前管理</w:t>
      </w:r>
    </w:p>
    <w:p>
      <w:pPr>
        <w:pStyle w:val="4"/>
        <w:ind w:left="1475"/>
        <w:rPr>
          <w:b/>
        </w:rPr>
      </w:pPr>
      <w:r>
        <w:rPr>
          <w:rFonts w:hint="eastAsia"/>
          <w:b/>
        </w:rPr>
        <w:t>客户的选择</w:t>
      </w:r>
    </w:p>
    <w:p>
      <w:pPr>
        <w:pStyle w:val="4"/>
        <w:numPr>
          <w:ilvl w:val="0"/>
          <w:numId w:val="0"/>
        </w:numPr>
        <w:ind w:left="1475" w:leftChars="500"/>
      </w:pPr>
      <w:r>
        <w:rPr>
          <w:rFonts w:hint="eastAsia"/>
        </w:rPr>
        <w:t>思考：客户选择时要考评什么指标？</w:t>
      </w:r>
    </w:p>
    <w:p>
      <w:pPr>
        <w:pStyle w:val="4"/>
        <w:ind w:left="1475"/>
        <w:rPr>
          <w:b/>
        </w:rPr>
      </w:pPr>
      <w:r>
        <w:rPr>
          <w:rFonts w:hint="eastAsia"/>
          <w:b/>
        </w:rPr>
        <w:t>客户资信的调查</w:t>
      </w:r>
    </w:p>
    <w:p>
      <w:pPr>
        <w:pStyle w:val="4"/>
        <w:numPr>
          <w:ilvl w:val="0"/>
          <w:numId w:val="0"/>
        </w:numPr>
        <w:ind w:left="1475" w:leftChars="500"/>
      </w:pPr>
      <w:r>
        <w:rPr>
          <w:rFonts w:hint="eastAsia"/>
        </w:rPr>
        <w:t>思考：通过什么渠道调查客户的资信？</w:t>
      </w:r>
    </w:p>
    <w:p>
      <w:pPr>
        <w:pStyle w:val="4"/>
        <w:ind w:left="1475"/>
        <w:rPr>
          <w:b/>
        </w:rPr>
      </w:pPr>
      <w:r>
        <w:rPr>
          <w:rFonts w:hint="eastAsia"/>
          <w:b/>
        </w:rPr>
        <w:t>客户信用等级的评定</w:t>
      </w:r>
    </w:p>
    <w:p>
      <w:pPr>
        <w:pStyle w:val="4"/>
        <w:numPr>
          <w:ilvl w:val="0"/>
          <w:numId w:val="0"/>
        </w:numPr>
        <w:ind w:left="1475" w:leftChars="500"/>
      </w:pPr>
      <w:r>
        <w:rPr>
          <w:rFonts w:hint="eastAsia"/>
        </w:rPr>
        <w:t>思考：赊销条件的设立</w:t>
      </w:r>
    </w:p>
    <w:p>
      <w:pPr>
        <w:pStyle w:val="3"/>
        <w:ind w:left="1260"/>
      </w:pPr>
      <w:r>
        <w:rPr>
          <w:rFonts w:hint="eastAsia"/>
        </w:rPr>
        <w:t>事中管理</w:t>
      </w:r>
    </w:p>
    <w:p>
      <w:pPr>
        <w:pStyle w:val="4"/>
        <w:ind w:left="1475"/>
        <w:rPr>
          <w:b/>
        </w:rPr>
      </w:pPr>
      <w:r>
        <w:rPr>
          <w:rFonts w:hint="eastAsia"/>
          <w:b/>
        </w:rPr>
        <w:t>建立合同评审机制</w:t>
      </w:r>
    </w:p>
    <w:p>
      <w:pPr>
        <w:pStyle w:val="4"/>
        <w:ind w:left="1475"/>
        <w:rPr>
          <w:b/>
        </w:rPr>
      </w:pPr>
      <w:r>
        <w:rPr>
          <w:rFonts w:hint="eastAsia"/>
          <w:b/>
        </w:rPr>
        <w:t>建立客户档案</w:t>
      </w:r>
    </w:p>
    <w:p>
      <w:pPr>
        <w:ind w:left="420" w:firstLine="420"/>
        <w:rPr>
          <w:bCs/>
        </w:rPr>
      </w:pPr>
      <w:r>
        <w:rPr>
          <w:rFonts w:hint="eastAsia"/>
          <w:bCs/>
        </w:rPr>
        <w:t>客户档案的具体内容 （例如客户付款的习惯和类型）</w:t>
      </w:r>
    </w:p>
    <w:p>
      <w:pPr>
        <w:ind w:left="420" w:firstLine="420"/>
        <w:rPr>
          <w:bCs/>
        </w:rPr>
      </w:pPr>
      <w:r>
        <w:rPr>
          <w:rFonts w:hint="eastAsia"/>
          <w:bCs/>
        </w:rPr>
        <w:t>性格测试：不同性格的人员区分及催收沟通技巧</w:t>
      </w:r>
    </w:p>
    <w:p>
      <w:pPr>
        <w:ind w:left="420" w:firstLine="420"/>
        <w:rPr>
          <w:bCs/>
        </w:rPr>
      </w:pPr>
      <w:r>
        <w:rPr>
          <w:rFonts w:hint="eastAsia"/>
          <w:bCs/>
        </w:rPr>
        <w:t>销售数据库（销售周期分析、销售趋势分析、销售结构分析、欠款周期分析）</w:t>
      </w:r>
    </w:p>
    <w:p>
      <w:pPr>
        <w:pStyle w:val="4"/>
        <w:ind w:left="1475"/>
        <w:rPr>
          <w:b/>
        </w:rPr>
      </w:pPr>
      <w:r>
        <w:rPr>
          <w:rFonts w:hint="eastAsia"/>
          <w:b/>
        </w:rPr>
        <w:t>客户分级——分级的指标</w:t>
      </w:r>
    </w:p>
    <w:p>
      <w:pPr>
        <w:ind w:left="420" w:firstLine="420"/>
        <w:rPr>
          <w:bCs/>
        </w:rPr>
      </w:pPr>
      <w:r>
        <w:rPr>
          <w:rFonts w:hint="eastAsia"/>
          <w:bCs/>
        </w:rPr>
        <w:t>单一指标分级</w:t>
      </w:r>
    </w:p>
    <w:p>
      <w:pPr>
        <w:ind w:left="420" w:firstLine="420"/>
        <w:rPr>
          <w:bCs/>
        </w:rPr>
      </w:pPr>
      <w:r>
        <w:rPr>
          <w:rFonts w:hint="eastAsia"/>
          <w:bCs/>
        </w:rPr>
        <w:t>多指标分级</w:t>
      </w:r>
    </w:p>
    <w:p>
      <w:pPr>
        <w:pStyle w:val="4"/>
        <w:ind w:left="1475"/>
        <w:rPr>
          <w:b/>
        </w:rPr>
      </w:pPr>
      <w:r>
        <w:rPr>
          <w:rFonts w:hint="eastAsia"/>
          <w:b/>
        </w:rPr>
        <w:t>建立内部协调机制监控管理体系</w:t>
      </w:r>
    </w:p>
    <w:p>
      <w:pPr>
        <w:pStyle w:val="4"/>
        <w:ind w:left="1475"/>
        <w:rPr>
          <w:b/>
        </w:rPr>
      </w:pPr>
      <w:r>
        <w:rPr>
          <w:rFonts w:hint="eastAsia"/>
          <w:b/>
        </w:rPr>
        <w:t xml:space="preserve">建立客户的人脉关系网 </w:t>
      </w:r>
    </w:p>
    <w:p>
      <w:pPr>
        <w:pStyle w:val="4"/>
        <w:ind w:left="1475"/>
        <w:rPr>
          <w:b/>
        </w:rPr>
      </w:pPr>
      <w:r>
        <w:rPr>
          <w:rFonts w:hint="eastAsia"/>
          <w:b/>
        </w:rPr>
        <w:t>搭建客户情感账户平台</w:t>
      </w:r>
    </w:p>
    <w:p>
      <w:pPr>
        <w:ind w:left="420" w:firstLine="420"/>
        <w:rPr>
          <w:bCs/>
        </w:rPr>
      </w:pPr>
      <w:r>
        <w:rPr>
          <w:rFonts w:hint="eastAsia"/>
          <w:bCs/>
        </w:rPr>
        <w:t>公司层面</w:t>
      </w:r>
    </w:p>
    <w:p>
      <w:pPr>
        <w:ind w:left="420" w:firstLine="420"/>
        <w:rPr>
          <w:bCs/>
        </w:rPr>
      </w:pPr>
      <w:r>
        <w:rPr>
          <w:rFonts w:hint="eastAsia"/>
          <w:bCs/>
        </w:rPr>
        <w:t>销售人员层面</w:t>
      </w:r>
    </w:p>
    <w:p>
      <w:pPr>
        <w:ind w:left="420" w:firstLine="420"/>
        <w:rPr>
          <w:bCs/>
        </w:rPr>
      </w:pPr>
      <w:r>
        <w:rPr>
          <w:rFonts w:hint="eastAsia"/>
          <w:bCs/>
        </w:rPr>
        <w:t>思考：如何针对客户付款关键决策人建立情感关系？</w:t>
      </w:r>
    </w:p>
    <w:p>
      <w:pPr>
        <w:ind w:left="420" w:firstLine="420"/>
        <w:rPr>
          <w:bCs/>
        </w:rPr>
      </w:pPr>
      <w:r>
        <w:rPr>
          <w:rFonts w:hint="eastAsia"/>
          <w:bCs/>
        </w:rPr>
        <w:t>思考：付款关键人关系评估？</w:t>
      </w:r>
    </w:p>
    <w:p>
      <w:pPr>
        <w:pStyle w:val="4"/>
        <w:ind w:left="1475"/>
        <w:rPr>
          <w:b/>
        </w:rPr>
      </w:pPr>
      <w:r>
        <w:rPr>
          <w:rFonts w:hint="eastAsia"/>
          <w:b/>
        </w:rPr>
        <w:t>做好让客户满意的售后服务</w:t>
      </w:r>
    </w:p>
    <w:p>
      <w:pPr>
        <w:ind w:left="420" w:firstLine="420"/>
        <w:rPr>
          <w:bCs/>
        </w:rPr>
      </w:pPr>
      <w:r>
        <w:rPr>
          <w:rFonts w:hint="eastAsia"/>
          <w:bCs/>
        </w:rPr>
        <w:t>思考：如何处理客户的投诉？</w:t>
      </w:r>
    </w:p>
    <w:p>
      <w:pPr>
        <w:pStyle w:val="3"/>
        <w:ind w:left="1260"/>
      </w:pPr>
      <w:r>
        <w:rPr>
          <w:rFonts w:hint="eastAsia"/>
        </w:rPr>
        <w:t>事后管理</w:t>
      </w:r>
    </w:p>
    <w:p>
      <w:pPr>
        <w:ind w:left="420" w:firstLine="420"/>
        <w:rPr>
          <w:bCs/>
        </w:rPr>
      </w:pPr>
      <w:r>
        <w:rPr>
          <w:rFonts w:hint="eastAsia"/>
          <w:bCs/>
        </w:rPr>
        <w:t>思考： 事后追讨乏力的原因？</w:t>
      </w:r>
    </w:p>
    <w:p>
      <w:pPr>
        <w:pStyle w:val="4"/>
        <w:ind w:left="1475"/>
        <w:rPr>
          <w:b/>
        </w:rPr>
      </w:pPr>
      <w:r>
        <w:rPr>
          <w:rFonts w:hint="eastAsia"/>
          <w:b/>
        </w:rPr>
        <w:t>关注客户风险的征兆</w:t>
      </w:r>
    </w:p>
    <w:p>
      <w:pPr>
        <w:ind w:left="420" w:firstLine="420"/>
        <w:rPr>
          <w:bCs/>
        </w:rPr>
      </w:pPr>
      <w:r>
        <w:rPr>
          <w:rFonts w:hint="eastAsia"/>
          <w:bCs/>
        </w:rPr>
        <w:t>思考：客户回款出现问题有哪些风险征兆？</w:t>
      </w:r>
    </w:p>
    <w:p>
      <w:pPr>
        <w:pStyle w:val="4"/>
        <w:ind w:left="1475"/>
        <w:rPr>
          <w:b/>
        </w:rPr>
      </w:pPr>
      <w:r>
        <w:rPr>
          <w:rFonts w:hint="eastAsia"/>
          <w:b/>
        </w:rPr>
        <w:t>调整客户的信用等级</w:t>
      </w:r>
    </w:p>
    <w:p>
      <w:pPr>
        <w:pStyle w:val="4"/>
        <w:ind w:left="1475"/>
        <w:rPr>
          <w:b/>
        </w:rPr>
      </w:pPr>
      <w:r>
        <w:rPr>
          <w:rFonts w:hint="eastAsia"/>
          <w:b/>
        </w:rPr>
        <w:t>选择催收欠款的方式</w:t>
      </w:r>
    </w:p>
    <w:p>
      <w:pPr>
        <w:ind w:left="420" w:firstLine="420"/>
        <w:rPr>
          <w:bCs/>
        </w:rPr>
      </w:pPr>
      <w:r>
        <w:rPr>
          <w:rFonts w:hint="eastAsia"/>
          <w:bCs/>
        </w:rPr>
        <w:t>电话催账</w:t>
      </w:r>
    </w:p>
    <w:p>
      <w:pPr>
        <w:ind w:left="420" w:firstLine="420"/>
        <w:rPr>
          <w:bCs/>
        </w:rPr>
      </w:pPr>
      <w:r>
        <w:rPr>
          <w:rFonts w:hint="eastAsia"/>
          <w:bCs/>
        </w:rPr>
        <w:t>思考：如何做好电话催收？</w:t>
      </w:r>
    </w:p>
    <w:p>
      <w:pPr>
        <w:ind w:left="420" w:firstLine="420"/>
        <w:rPr>
          <w:bCs/>
        </w:rPr>
      </w:pPr>
      <w:r>
        <w:rPr>
          <w:rFonts w:hint="eastAsia"/>
          <w:bCs/>
        </w:rPr>
        <w:t>面访催账</w:t>
      </w:r>
    </w:p>
    <w:p>
      <w:pPr>
        <w:ind w:left="420" w:firstLine="420"/>
        <w:rPr>
          <w:bCs/>
        </w:rPr>
      </w:pPr>
      <w:r>
        <w:rPr>
          <w:rFonts w:hint="eastAsia"/>
          <w:bCs/>
        </w:rPr>
        <w:t>信函催收</w:t>
      </w:r>
    </w:p>
    <w:p>
      <w:pPr>
        <w:pStyle w:val="4"/>
        <w:ind w:left="1475"/>
        <w:rPr>
          <w:b/>
        </w:rPr>
      </w:pPr>
      <w:r>
        <w:rPr>
          <w:rFonts w:hint="eastAsia"/>
          <w:b/>
        </w:rPr>
        <w:t>面访催收的沟通技巧</w:t>
      </w:r>
      <w:r>
        <w:rPr>
          <w:b/>
        </w:rPr>
        <w:t xml:space="preserve"> </w:t>
      </w:r>
    </w:p>
    <w:p>
      <w:pPr>
        <w:ind w:left="420" w:firstLine="420"/>
        <w:rPr>
          <w:bCs/>
        </w:rPr>
      </w:pPr>
      <w:r>
        <w:rPr>
          <w:rFonts w:hint="eastAsia"/>
          <w:bCs/>
        </w:rPr>
        <w:t>做好准备工作</w:t>
      </w:r>
    </w:p>
    <w:p>
      <w:pPr>
        <w:ind w:left="420" w:firstLine="420"/>
        <w:rPr>
          <w:bCs/>
        </w:rPr>
      </w:pPr>
      <w:r>
        <w:rPr>
          <w:rFonts w:hint="eastAsia"/>
          <w:bCs/>
        </w:rPr>
        <w:t>开场白</w:t>
      </w:r>
    </w:p>
    <w:p>
      <w:pPr>
        <w:ind w:left="420" w:firstLine="420"/>
        <w:rPr>
          <w:bCs/>
        </w:rPr>
      </w:pPr>
      <w:r>
        <w:rPr>
          <w:rFonts w:hint="eastAsia"/>
          <w:bCs/>
        </w:rPr>
        <w:t>充分的交流，确定还款时间</w:t>
      </w:r>
    </w:p>
    <w:p>
      <w:pPr>
        <w:ind w:left="420" w:firstLine="420"/>
        <w:rPr>
          <w:bCs/>
        </w:rPr>
      </w:pPr>
      <w:r>
        <w:rPr>
          <w:rFonts w:hint="eastAsia"/>
          <w:bCs/>
        </w:rPr>
        <w:t>应对欠款客户讨价还价的谈判策略</w:t>
      </w:r>
    </w:p>
    <w:p>
      <w:pPr>
        <w:ind w:left="420" w:firstLine="420"/>
        <w:rPr>
          <w:rFonts w:hint="eastAsia"/>
          <w:bCs/>
        </w:rPr>
      </w:pPr>
      <w:r>
        <w:rPr>
          <w:rFonts w:hint="eastAsia"/>
          <w:bCs/>
        </w:rPr>
        <w:t>练习：客户各种推迟付款借口的应对策略</w:t>
      </w:r>
    </w:p>
    <w:p>
      <w:pPr>
        <w:ind w:left="420" w:firstLine="420"/>
        <w:rPr>
          <w:bCs/>
        </w:rPr>
      </w:pPr>
      <w:r>
        <w:rPr>
          <w:rFonts w:hint="eastAsia"/>
          <w:bCs/>
        </w:rPr>
        <w:t>结束催款</w:t>
      </w:r>
    </w:p>
    <w:p>
      <w:pPr>
        <w:ind w:left="420" w:firstLine="420"/>
        <w:rPr>
          <w:bCs/>
        </w:rPr>
      </w:pPr>
      <w:r>
        <w:rPr>
          <w:rFonts w:hint="eastAsia"/>
          <w:bCs/>
        </w:rPr>
        <w:t>有效追踪</w:t>
      </w:r>
    </w:p>
    <w:p>
      <w:pPr>
        <w:ind w:left="420" w:firstLine="420"/>
        <w:rPr>
          <w:bCs/>
        </w:rPr>
      </w:pPr>
      <w:r>
        <w:rPr>
          <w:rFonts w:hint="eastAsia"/>
          <w:bCs/>
        </w:rPr>
        <w:t>催收后客户关系的维护</w:t>
      </w:r>
    </w:p>
    <w:p>
      <w:pPr>
        <w:pStyle w:val="4"/>
        <w:ind w:left="1475"/>
        <w:rPr>
          <w:b/>
        </w:rPr>
      </w:pPr>
      <w:r>
        <w:rPr>
          <w:rFonts w:hint="eastAsia"/>
          <w:b/>
        </w:rPr>
        <w:t>不同类型客户的催款策略</w:t>
      </w:r>
    </w:p>
    <w:p>
      <w:pPr>
        <w:ind w:left="420" w:firstLine="420"/>
      </w:pPr>
      <w:r>
        <w:rPr>
          <w:rFonts w:hint="eastAsia"/>
        </w:rPr>
        <w:t>（全文完）</w:t>
      </w:r>
    </w:p>
    <w:p/>
    <w:p>
      <w:pPr>
        <w:spacing w:line="460" w:lineRule="exact"/>
        <w:jc w:val="center"/>
        <w:rPr>
          <w:rFonts w:ascii="思源黑体 CN Heavy" w:hAnsi="思源黑体 CN Heavy" w:eastAsia="思源黑体 CN Heavy"/>
          <w:b/>
          <w:color w:val="244061"/>
          <w:sz w:val="24"/>
          <w:szCs w:val="24"/>
        </w:rPr>
      </w:pPr>
      <w:bookmarkStart w:id="0" w:name="_GoBack"/>
      <w:bookmarkEnd w:id="0"/>
    </w:p>
    <w:p>
      <w:pPr>
        <w:spacing w:line="360" w:lineRule="auto"/>
        <w:rPr>
          <w:rFonts w:asciiTheme="minorEastAsia" w:hAnsiTheme="minorEastAsia" w:eastAsiaTheme="minorEastAsia" w:cstheme="minorEastAsia"/>
          <w:bCs/>
          <w:sz w:val="22"/>
          <w:szCs w:val="22"/>
        </w:rPr>
      </w:pPr>
      <w:r>
        <w:rPr>
          <w:rFonts w:hint="eastAsia" w:cs="Arial" w:asciiTheme="minorEastAsia" w:hAnsiTheme="minorEastAsia" w:eastAsiaTheme="minorEastAsia"/>
          <w:bCs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3672840</wp:posOffset>
            </wp:positionH>
            <wp:positionV relativeFrom="margin">
              <wp:posOffset>6690360</wp:posOffset>
            </wp:positionV>
            <wp:extent cx="2292350" cy="2294255"/>
            <wp:effectExtent l="0" t="0" r="12700" b="10795"/>
            <wp:wrapSquare wrapText="bothSides"/>
            <wp:docPr id="23" name="图片 6" descr="23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6" descr="23_副本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229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440" w:lineRule="exact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</w:p>
    <w:p>
      <w:pPr>
        <w:spacing w:line="360" w:lineRule="auto"/>
        <w:jc w:val="both"/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  <w:lang w:val="en-US" w:eastAsia="zh-CN"/>
        </w:rPr>
        <w:t>李俊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</w:rPr>
        <w:t>老师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  <w:lang w:val="en-US" w:eastAsia="zh-CN"/>
        </w:rPr>
        <w:t xml:space="preserve">  销售人才复制专家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szCs w:val="24"/>
        </w:rPr>
      </w:pPr>
      <w:r>
        <w:rPr>
          <w:rFonts w:hint="eastAsia" w:cs="Arial" w:asciiTheme="minorEastAsia" w:hAnsiTheme="minorEastAsia" w:eastAsiaTheme="minorEastAsia"/>
          <w:bCs/>
          <w:sz w:val="28"/>
        </w:rPr>
        <w:t>澳洲南格斯大学（SCU）MBA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cs="Arial" w:asciiTheme="minorEastAsia" w:hAnsiTheme="minorEastAsia" w:eastAsiaTheme="minorEastAsia"/>
          <w:bCs/>
          <w:sz w:val="28"/>
          <w:szCs w:val="24"/>
        </w:rPr>
      </w:pPr>
      <w:r>
        <w:rPr>
          <w:rFonts w:hint="eastAsia" w:cs="Arial" w:asciiTheme="minorEastAsia" w:hAnsiTheme="minorEastAsia" w:eastAsiaTheme="minorEastAsia"/>
          <w:bCs/>
          <w:sz w:val="28"/>
          <w:szCs w:val="24"/>
        </w:rPr>
        <w:t>顾问式销售培训导师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cs="Arial" w:asciiTheme="minorEastAsia" w:hAnsiTheme="minorEastAsia" w:eastAsiaTheme="minorEastAsia"/>
          <w:bCs/>
          <w:sz w:val="28"/>
          <w:szCs w:val="24"/>
        </w:rPr>
      </w:pPr>
      <w:r>
        <w:rPr>
          <w:rFonts w:hint="eastAsia" w:cs="Arial" w:asciiTheme="minorEastAsia" w:hAnsiTheme="minorEastAsia" w:eastAsiaTheme="minorEastAsia"/>
          <w:bCs/>
          <w:sz w:val="28"/>
          <w:szCs w:val="24"/>
        </w:rPr>
        <w:t>国家认证企业培训师\高级采购师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cs="Arial" w:asciiTheme="minorEastAsia" w:hAnsiTheme="minorEastAsia" w:eastAsiaTheme="minorEastAsia"/>
          <w:bCs/>
          <w:sz w:val="28"/>
        </w:rPr>
      </w:pPr>
      <w:r>
        <w:rPr>
          <w:rFonts w:cs="Arial" w:asciiTheme="minorEastAsia" w:hAnsiTheme="minorEastAsia" w:eastAsiaTheme="minorEastAsia"/>
          <w:bCs/>
          <w:sz w:val="28"/>
          <w:szCs w:val="24"/>
        </w:rPr>
        <w:t>AACTP</w:t>
      </w:r>
      <w:r>
        <w:rPr>
          <w:rFonts w:hint="eastAsia" w:cs="Arial" w:asciiTheme="minorEastAsia" w:hAnsiTheme="minorEastAsia" w:eastAsiaTheme="minorEastAsia"/>
          <w:bCs/>
          <w:sz w:val="28"/>
          <w:szCs w:val="24"/>
        </w:rPr>
        <w:t>国际注册培训师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cs="Arial" w:asciiTheme="minorEastAsia" w:hAnsiTheme="minorEastAsia" w:eastAsiaTheme="minorEastAsia"/>
          <w:bCs/>
          <w:sz w:val="28"/>
          <w:szCs w:val="24"/>
        </w:rPr>
      </w:pPr>
      <w:r>
        <w:rPr>
          <w:rFonts w:cs="Arial" w:asciiTheme="minorEastAsia" w:hAnsiTheme="minorEastAsia" w:eastAsiaTheme="minorEastAsia"/>
          <w:bCs/>
          <w:sz w:val="28"/>
          <w:szCs w:val="24"/>
        </w:rPr>
        <w:t>C</w:t>
      </w:r>
      <w:r>
        <w:rPr>
          <w:rFonts w:hint="eastAsia" w:cs="Arial" w:asciiTheme="minorEastAsia" w:hAnsiTheme="minorEastAsia" w:eastAsiaTheme="minorEastAsia"/>
          <w:bCs/>
          <w:sz w:val="28"/>
          <w:szCs w:val="24"/>
        </w:rPr>
        <w:t>＆Ｇ英国伦敦城市行业协会国际培训师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cs="Arial" w:asciiTheme="minorEastAsia" w:hAnsiTheme="minorEastAsia" w:eastAsiaTheme="minorEastAsia"/>
          <w:bCs/>
          <w:sz w:val="28"/>
          <w:szCs w:val="24"/>
        </w:rPr>
      </w:pPr>
      <w:r>
        <w:rPr>
          <w:rFonts w:hint="eastAsia" w:cs="Arial" w:asciiTheme="minorEastAsia" w:hAnsiTheme="minorEastAsia" w:eastAsiaTheme="minorEastAsia"/>
          <w:bCs/>
          <w:sz w:val="28"/>
          <w:szCs w:val="24"/>
        </w:rPr>
        <w:t>浙江工业大学客座教授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cs="Arial" w:asciiTheme="minorEastAsia" w:hAnsiTheme="minorEastAsia" w:eastAsiaTheme="minorEastAsia"/>
          <w:bCs/>
          <w:sz w:val="28"/>
          <w:szCs w:val="24"/>
        </w:rPr>
      </w:pPr>
      <w:r>
        <w:rPr>
          <w:rFonts w:hint="eastAsia" w:cs="Arial" w:asciiTheme="minorEastAsia" w:hAnsiTheme="minorEastAsia" w:eastAsiaTheme="minorEastAsia"/>
          <w:bCs/>
          <w:sz w:val="28"/>
          <w:szCs w:val="24"/>
        </w:rPr>
        <w:t>浙江大学、香港财经大学总裁班讲师</w:t>
      </w:r>
    </w:p>
    <w:p>
      <w:pPr>
        <w:spacing w:line="360" w:lineRule="auto"/>
        <w:jc w:val="both"/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  <w:lang w:val="en-US" w:eastAsia="zh-CN"/>
        </w:rPr>
      </w:pPr>
    </w:p>
    <w:p>
      <w:pPr>
        <w:spacing w:line="360" w:lineRule="auto"/>
        <w:jc w:val="both"/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  <w:lang w:val="en-US" w:eastAsia="zh-CN"/>
        </w:rPr>
        <w:t>个人简介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  <w:lang w:val="en-US" w:eastAsia="zh-CN"/>
        </w:rPr>
        <w:t></w:t>
      </w:r>
      <w:r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  <w:t>曾从事消费品和工业品及服务业领域的销售，经历了从一线业务员到总监、从销售部到市场部、从管理者到培训师、咨询师的转变。工作期间，足迹遍及全国各地，在对企业培训发展有深入的研究。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</w:pPr>
      <w:r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  <w:t>10年企业培训及咨询经验，不但总结了大量的实战经验，还结合了西方先进的理论体系，经过千锤百炼，设计出“本土化”针对销售人员及销售管理人员的销售个人基础素质、销售管理、渠道管理、终端销售、营销团队管理等实战课程。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</w:pPr>
      <w:r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  <w:t>培训注重实战、实效、实用、实操，讲授时结合先进而有效的方式，能使学员学以致用、理顺思维并系统化、技能都有显著提高、从而提高了工作能力，也大大提高了短期培训的效能。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</w:pPr>
      <w:r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  <w:t>专注于企业销售人才复制，设计出基于销售人员及销售管理岗位胜任力课程体系（非单门或者几门课程），通过前期的有针对性调研，中期循序渐进的培训执行，后期的跟踪辅导，并参与企业培训管理制度完善，有效缩短销售人员及销售管理人员人才培养周期，降低人力资源成本，提高企业销售业绩，全面提升竞争力。</w:t>
      </w:r>
    </w:p>
    <w:p>
      <w:pPr>
        <w:spacing w:line="360" w:lineRule="auto"/>
        <w:jc w:val="both"/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  <w:lang w:val="en-US" w:eastAsia="zh-CN"/>
        </w:rPr>
        <w:t>近期服务品牌和培训记录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  <w:lang w:val="en-US" w:eastAsia="zh-CN"/>
        </w:rPr>
        <w:t></w:t>
      </w:r>
      <w:r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  <w:t>快消品行业：美国高露洁牙膏、韩国美即（面膜）化妆品、汤臣倍健、王老吉大健康、统一集团、天球电池、美晨集团、湖南华泽集团（金六福酒业）、肇庆鼎湖山泉、美国蓝带啤酒、UCI-FRAM集团、台湾统一集团、费列罗巧克力、好油米、丹姿化妆品、嘉豪食品、沃颜化妆品（微商）、华彬集团（红牛饮料）、尤妮佳、风行牛奶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</w:pPr>
      <w:r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  <w:t>通讯数码电器行业：广电集团、美的集团、TCL集团、美国甲骨文软件、韩国三星手机、松山集团、创维集团、飞歌汽车音响、天誉创高LED电子液晶屏、电子工业部第七研究所、惠民城电器、中国移动、中国联通、中国电信、深圳万兴科技、松山集团、惠民城电器、汕头邮政局、珠海邮政局、东芝电器、OPPO手机、志高空调、美的集团、骏丰频谱、宁波吉德冰箱、老板电器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</w:pPr>
      <w:r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  <w:t>建材房地产行业：广州钢铁企业集团、广州化工集团、雷士照明、晨辉照明、PIANO橱柜、月兔橱柜、顾家厨电、千丽照明、嘉美照明、箭牌卫浴、东鹏陶瓷、星冠涂料、华源轩家私、比恩五金、尚高卫浴、东鹏卫浴、华泰照明、本邦照明、顶固五金(衣柜)、思雅特照明、亿光照明、和成卫浴、金凯德门业、欧派吊顶、兴发铝材、光为照明、松下电材、松下门控、杭州亮晶晶灯饰、富力地产、保利地产、天河城物业集团、广州市农林物业公司、白马怡城物业、嘉裕地产、时代地产、台湾亿光照明、涛涛门业、锦绣明天集成吊顶、朗士照明、吉豪照明、松伟照明、冠雅照明、奥普电器、雄塑集团、钜豪照明、朗能电器、日丰管业、阳光照明、极美照明、欧特朗照明、北辰房地产、集盛建设、长大路桥工程公司、海韵地产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</w:pPr>
      <w:r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  <w:t>服装皮具行业：歌莉娅服装、迪桑娜皮具、卡尔丹顿服装、凡思诺服装、珠海百货商场、爵士丹尼服饰、登喜路皮具、ESPRIT床上用品、马天奴服饰、新视线服饰、湖南欧林雅服饰、安踏体育、群豪服饰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</w:pPr>
      <w:r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  <w:t>制药行业：强生集团西安杨森制药、美国赛诺菲制药、河北太阳石制药、杭州民生药业、永信药业、广药集团王老吉药业、华熙福瑞达生物制药、汤臣倍健、卓兴药业、千林健康药业、瑞华药业、华润三九药业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</w:pPr>
      <w:r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  <w:t>金融保险行业：中国人民财产保险、广东发展银行、建设银行、长城保险经纪有限公司、农业银行、中国银行、中国人寿、汇中公估、太平财险、中国邮政、新世纪保险代理、中信银行、PPMONEY(互联网金融)、深圳农商银行、招商银行、农银人寿、交通银行、力恒保险代理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</w:pPr>
      <w:r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  <w:t>耐用品(工业品)行业：穗宁汽配、欢乐岛康体设备、顺德银河摩托、东锐科技、广一泵业、泰晟安防科技、宁波天安电气集团、浙江开关厂、湖南天闻新华印务集团、施耐德电气、钱江电气、千江集团杭州鼎胜集团（五星铝业）、电子工业部第七研究所、杭州中南钢构、浙江清风环境制冷、誉维生物仪器、达路电路、明美显微镜、狄诺生物、力王集团、宇星科技、汉维科技、高铭电子、南方泵业、河北发凯能源开发、浙江桐昆集团、三聚科技、杭州前进齿轮箱、杭州胜达集团、杭州永利百合、中国能建扬州电力设备修造厂、雅达电子、森海环保、森六塑件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</w:pPr>
      <w:r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  <w:t>旅游行业：南方航空、海南航空、珠江国旅、招商票务、美瀛商旅、要出发旅游网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</w:pPr>
      <w:r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  <w:t>其他行业：大道汽车租赁、瑞卡连锁租车、华进联合专利商标代理有限公司、泰国易初（卜蜂）莲花超市、广州酒家利口福集团 、宜高高尔夫俱乐部、中国《家庭医生》杂志社、台湾华夏物流集团、INTERTEK天祥集团（第三方认证机构）、优地广告、湖北利时实业（珠宝）、乐润百货、广东南方电力科学研究院、清远步步高酒店、中国石油、泰莱健身、机场高速集团、骏伯人力资源、浙江物产化工集团、湖南磁悬浮、广州供电局、佛山供电局、南方人才网</w:t>
      </w:r>
    </w:p>
    <w:p>
      <w:pPr>
        <w:spacing w:line="360" w:lineRule="auto"/>
        <w:jc w:val="both"/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  <w:lang w:val="en-US" w:eastAsia="zh-CN"/>
        </w:rPr>
      </w:pPr>
    </w:p>
    <w:p>
      <w:pPr>
        <w:spacing w:line="360" w:lineRule="auto"/>
        <w:jc w:val="both"/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  <w:lang w:val="en-US" w:eastAsia="zh-CN"/>
        </w:rPr>
      </w:pPr>
    </w:p>
    <w:p>
      <w:pPr>
        <w:spacing w:line="360" w:lineRule="auto"/>
        <w:jc w:val="both"/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  <w:lang w:val="en-US" w:eastAsia="zh-CN"/>
        </w:rPr>
        <w:t>实施顾问咨询式培训项目的企业：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  <w:lang w:val="en-US" w:eastAsia="zh-CN"/>
        </w:rPr>
        <w:t></w:t>
      </w:r>
      <w:r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  <w:t>歌莉娅服装营销项目策划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</w:pPr>
      <w:r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  <w:t>华强本邦营销项目策划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</w:pPr>
      <w:r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  <w:t>晨辉照明营销项目策划及执行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</w:pPr>
      <w:r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  <w:t>星冠涂料营销项目策划及执行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</w:pPr>
      <w:r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  <w:t>中国联通（广东）营业厅培训体系策划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</w:pPr>
      <w:r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  <w:t>华源轩家私营销培训策划及执行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</w:pPr>
      <w:r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  <w:t>雷士照明营销培训体系策划及执行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</w:pPr>
      <w:r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  <w:t>高露洁促销人员培训体系策划及执行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</w:pPr>
      <w:r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  <w:t>美国赛诺菲制药销售人员培训体系执行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</w:pPr>
      <w:r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  <w:t>嘉美照明营销项目及培训体系策划及执行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</w:pPr>
      <w:r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  <w:t>创维集团营销系统销售团队后备干部培养体系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</w:pPr>
      <w:r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  <w:t>强生集团西安杨森制药销售人员培训体系执行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</w:pPr>
      <w:r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  <w:t>美的冰箱 终端主管训练营咨询式培养项目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</w:pPr>
      <w:r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  <w:t>卜蜂莲花超市店长级培训体系策划及执行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</w:pPr>
      <w:r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  <w:t>深圳移动社区经理、渠道经理销售谈判课程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</w:pPr>
      <w:r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  <w:t>中国联通（广东）集客部培训体系策划及执行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</w:pPr>
    </w:p>
    <w:p>
      <w:pPr>
        <w:spacing w:line="360" w:lineRule="auto"/>
        <w:jc w:val="both"/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  <w:lang w:val="en-US" w:eastAsia="zh-CN"/>
        </w:rPr>
        <w:t>培训风格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  <w:lang w:val="en-US" w:eastAsia="zh-CN"/>
        </w:rPr>
        <w:t></w:t>
      </w:r>
      <w:r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  <w:t>深入浅出、清晰有条理、课堂气氛轻松、活跃、实战性强。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</w:pPr>
      <w:r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  <w:t xml:space="preserve">在课堂上，注重与学员们的互动，引导学员进行深入的分析思考，并通过练习，活动等环节加深学员的理解，使学员获得更深刻的感悟，并推动学员在实际工作中学以致用。 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</w:pPr>
      <w:r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  <w:t>授课风格风趣幽默、寓教于乐，理论紧密结合工作实际、生动易懂，善于运用故事、游戏、角色扮演、研讨、互动等方法增强教学效果，具极强的感染力、亲和力、说服力。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</w:pP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</w:pPr>
    </w:p>
    <w:p>
      <w:pPr>
        <w:spacing w:line="360" w:lineRule="auto"/>
        <w:jc w:val="both"/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  <w:lang w:val="en-US" w:eastAsia="zh-CN"/>
        </w:rPr>
        <w:t>学员感言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</w:pPr>
      <w:r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  <w:t xml:space="preserve">“参加培训，提高了自己专业知识，对销售过程中遇到难题给予正确指导，希望能多参加此类的课程培训”                                       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</w:pPr>
      <w:r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  <w:t xml:space="preserve"> —摘自7月14日在南京培训的学员付燕的问卷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</w:pP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</w:pPr>
      <w:r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  <w:t xml:space="preserve">“我觉得老师讲得很棒，我对这次的课程很有兴趣，如果有机会，我想再听老师讲课”                                     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</w:pPr>
      <w:r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  <w:t>—摘自7月18日在新疆培训的学员张艳萍的问卷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</w:pPr>
      <w:r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  <w:t xml:space="preserve"> “这次荣幸地参加公司组织的此次培训，从而使自己更深地了解到灯饰界的一些观念，此次培训强化了自我对工作的基本概念，更深一层地知道一个导购员的标准”  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</w:pPr>
      <w:r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  <w:t xml:space="preserve">—摘自8月15日内蒙古张美青的评估问卷 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</w:pP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</w:pPr>
      <w:r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  <w:t xml:space="preserve">“我学会了不同于我以前的新的营销模式、方法和技巧，我觉得兴奋，用这种新方法成功率会更高”                                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</w:pPr>
      <w:r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  <w:t>—摘自8月20日合肥黄德化的评估问卷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</w:pPr>
      <w:r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  <w:t xml:space="preserve"> 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</w:pPr>
      <w:r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  <w:t>“实用。顾客购买时参与实际所用场合，我们能帮助顾客解决实际问题”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</w:pPr>
      <w:r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  <w:t xml:space="preserve">—摘自8月22日大连刘成斌的评估问卷 </w:t>
      </w: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</w:pPr>
    </w:p>
    <w:p>
      <w:pPr>
        <w:pStyle w:val="18"/>
        <w:numPr>
          <w:ilvl w:val="0"/>
          <w:numId w:val="0"/>
        </w:numPr>
        <w:adjustRightInd w:val="0"/>
        <w:snapToGrid w:val="0"/>
        <w:spacing w:before="0" w:after="0"/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</w:pPr>
      <w:r>
        <w:rPr>
          <w:rFonts w:hint="eastAsia" w:cs="Arial" w:asciiTheme="minorEastAsia" w:hAnsiTheme="minorEastAsia" w:eastAsiaTheme="minorEastAsia"/>
          <w:bCs/>
          <w:sz w:val="28"/>
          <w:lang w:val="en-US" w:eastAsia="zh-CN"/>
        </w:rPr>
        <w:t>“授课老师讲课栩栩如生，我们学员觉得受益非浅。如果培训的时间能再延长一些，有充分的时间把内容讲得更详细，那就相当完美了”                      —摘自12月7日在江苏常州培训的谢海云问卷</w:t>
      </w:r>
    </w:p>
    <w:sectPr>
      <w:headerReference r:id="rId3" w:type="default"/>
      <w:footerReference r:id="rId4" w:type="default"/>
      <w:pgSz w:w="11906" w:h="16838"/>
      <w:pgMar w:top="1276" w:right="991" w:bottom="1134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思源黑体 CN Heavy">
    <w:altName w:val="黑体"/>
    <w:panose1 w:val="020B0A00000000000000"/>
    <w:charset w:val="86"/>
    <w:family w:val="swiss"/>
    <w:pitch w:val="default"/>
    <w:sig w:usb0="00000000" w:usb1="00000000" w:usb2="00000016" w:usb3="00000000" w:csb0="00060107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  <w:p>
    <w:pPr>
      <w:pStyle w:val="6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tabs>
        <w:tab w:val="center" w:pos="4819"/>
        <w:tab w:val="left" w:pos="8610"/>
        <w:tab w:val="right" w:pos="9639"/>
        <w:tab w:val="clear" w:pos="4153"/>
        <w:tab w:val="clear" w:pos="8306"/>
      </w:tabs>
    </w:pPr>
    <w:r>
      <w:drawing>
        <wp:inline distT="0" distB="0" distL="114300" distR="114300">
          <wp:extent cx="3771900" cy="42862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719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4A0336"/>
    <w:multiLevelType w:val="singleLevel"/>
    <w:tmpl w:val="844A0336"/>
    <w:lvl w:ilvl="0" w:tentative="0">
      <w:start w:val="1"/>
      <w:numFmt w:val="bullet"/>
      <w:pStyle w:val="3"/>
      <w:lvlText w:val=""/>
      <w:lvlJc w:val="left"/>
      <w:pPr>
        <w:ind w:left="420" w:hanging="420"/>
      </w:pPr>
      <w:rPr>
        <w:rFonts w:hint="default" w:ascii="Wingdings" w:hAnsi="Wingdings"/>
        <w:color w:val="4F81BD" w:themeColor="accent1"/>
      </w:rPr>
    </w:lvl>
  </w:abstractNum>
  <w:abstractNum w:abstractNumId="1">
    <w:nsid w:val="E62D6877"/>
    <w:multiLevelType w:val="singleLevel"/>
    <w:tmpl w:val="E62D6877"/>
    <w:lvl w:ilvl="0" w:tentative="0">
      <w:start w:val="1"/>
      <w:numFmt w:val="bullet"/>
      <w:pStyle w:val="4"/>
      <w:lvlText w:val=""/>
      <w:lvlJc w:val="left"/>
      <w:pPr>
        <w:tabs>
          <w:tab w:val="left" w:pos="567"/>
        </w:tabs>
        <w:ind w:left="567" w:hanging="567"/>
      </w:pPr>
      <w:rPr>
        <w:rFonts w:hint="default" w:ascii="Wingdings" w:hAnsi="Wingdings"/>
        <w:color w:val="4F81BD" w:themeColor="accent1"/>
      </w:rPr>
    </w:lvl>
  </w:abstractNum>
  <w:abstractNum w:abstractNumId="2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18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Q3YWVlZTk3NjZkY2JmZDU1NTg4YWNhMDMyYjNhNTMifQ=="/>
  </w:docVars>
  <w:rsids>
    <w:rsidRoot w:val="00247DD7"/>
    <w:rsid w:val="000025DF"/>
    <w:rsid w:val="00010636"/>
    <w:rsid w:val="00042A2E"/>
    <w:rsid w:val="00042DAA"/>
    <w:rsid w:val="00075B72"/>
    <w:rsid w:val="00087C73"/>
    <w:rsid w:val="00097EFE"/>
    <w:rsid w:val="000A2046"/>
    <w:rsid w:val="000C187B"/>
    <w:rsid w:val="00114C27"/>
    <w:rsid w:val="00130D0A"/>
    <w:rsid w:val="001379A9"/>
    <w:rsid w:val="00180852"/>
    <w:rsid w:val="001A6848"/>
    <w:rsid w:val="001B66FF"/>
    <w:rsid w:val="001C5472"/>
    <w:rsid w:val="001D3182"/>
    <w:rsid w:val="001F42A4"/>
    <w:rsid w:val="002022C4"/>
    <w:rsid w:val="00206B5E"/>
    <w:rsid w:val="00211033"/>
    <w:rsid w:val="00213266"/>
    <w:rsid w:val="00221455"/>
    <w:rsid w:val="002251C1"/>
    <w:rsid w:val="00247DD7"/>
    <w:rsid w:val="00312841"/>
    <w:rsid w:val="003623FF"/>
    <w:rsid w:val="003710C6"/>
    <w:rsid w:val="003732B1"/>
    <w:rsid w:val="00376113"/>
    <w:rsid w:val="00383C72"/>
    <w:rsid w:val="00390697"/>
    <w:rsid w:val="003957C1"/>
    <w:rsid w:val="003C194F"/>
    <w:rsid w:val="003C1C12"/>
    <w:rsid w:val="003E6732"/>
    <w:rsid w:val="003F134B"/>
    <w:rsid w:val="004476E6"/>
    <w:rsid w:val="00456775"/>
    <w:rsid w:val="004F2BE1"/>
    <w:rsid w:val="004F72EA"/>
    <w:rsid w:val="00504BD6"/>
    <w:rsid w:val="00507A4B"/>
    <w:rsid w:val="00511A75"/>
    <w:rsid w:val="00525D29"/>
    <w:rsid w:val="005604B7"/>
    <w:rsid w:val="00592C4F"/>
    <w:rsid w:val="005B6BEB"/>
    <w:rsid w:val="005C0908"/>
    <w:rsid w:val="005D6995"/>
    <w:rsid w:val="006276C7"/>
    <w:rsid w:val="006362C8"/>
    <w:rsid w:val="00646BB6"/>
    <w:rsid w:val="00650885"/>
    <w:rsid w:val="00671872"/>
    <w:rsid w:val="0067345D"/>
    <w:rsid w:val="00676155"/>
    <w:rsid w:val="006B18D2"/>
    <w:rsid w:val="006E203B"/>
    <w:rsid w:val="006F4941"/>
    <w:rsid w:val="00722998"/>
    <w:rsid w:val="007B6840"/>
    <w:rsid w:val="007E3C13"/>
    <w:rsid w:val="007F5954"/>
    <w:rsid w:val="00805961"/>
    <w:rsid w:val="00897BC9"/>
    <w:rsid w:val="008A114B"/>
    <w:rsid w:val="008C7E37"/>
    <w:rsid w:val="008D0F81"/>
    <w:rsid w:val="008F73C8"/>
    <w:rsid w:val="00906562"/>
    <w:rsid w:val="00972941"/>
    <w:rsid w:val="009C46C2"/>
    <w:rsid w:val="009C4923"/>
    <w:rsid w:val="00A168F7"/>
    <w:rsid w:val="00A35600"/>
    <w:rsid w:val="00A35EAE"/>
    <w:rsid w:val="00A45CB2"/>
    <w:rsid w:val="00B10552"/>
    <w:rsid w:val="00B42388"/>
    <w:rsid w:val="00B53CCA"/>
    <w:rsid w:val="00B672F9"/>
    <w:rsid w:val="00B7627D"/>
    <w:rsid w:val="00BA1490"/>
    <w:rsid w:val="00BD7AA4"/>
    <w:rsid w:val="00C11004"/>
    <w:rsid w:val="00C222C7"/>
    <w:rsid w:val="00C648B8"/>
    <w:rsid w:val="00C70642"/>
    <w:rsid w:val="00C80D58"/>
    <w:rsid w:val="00CB1960"/>
    <w:rsid w:val="00CC2F12"/>
    <w:rsid w:val="00CD7575"/>
    <w:rsid w:val="00CE4728"/>
    <w:rsid w:val="00CF13E4"/>
    <w:rsid w:val="00D12090"/>
    <w:rsid w:val="00D63E68"/>
    <w:rsid w:val="00D812B5"/>
    <w:rsid w:val="00DC240A"/>
    <w:rsid w:val="00DC3E47"/>
    <w:rsid w:val="00EC1BAC"/>
    <w:rsid w:val="00EE0E50"/>
    <w:rsid w:val="00F2611B"/>
    <w:rsid w:val="00F268F4"/>
    <w:rsid w:val="00F53FED"/>
    <w:rsid w:val="00F62BBA"/>
    <w:rsid w:val="00F74A1E"/>
    <w:rsid w:val="00F86B2A"/>
    <w:rsid w:val="00F907EB"/>
    <w:rsid w:val="00FE246F"/>
    <w:rsid w:val="072559B2"/>
    <w:rsid w:val="09145E68"/>
    <w:rsid w:val="0B3F14D4"/>
    <w:rsid w:val="0CB3377E"/>
    <w:rsid w:val="0F006481"/>
    <w:rsid w:val="13E3765E"/>
    <w:rsid w:val="15D05BB5"/>
    <w:rsid w:val="17F81389"/>
    <w:rsid w:val="193500DD"/>
    <w:rsid w:val="19E62A14"/>
    <w:rsid w:val="1A150FEE"/>
    <w:rsid w:val="1DC15A77"/>
    <w:rsid w:val="222D2B49"/>
    <w:rsid w:val="25037E29"/>
    <w:rsid w:val="279B10D2"/>
    <w:rsid w:val="282E11F8"/>
    <w:rsid w:val="2C143C0B"/>
    <w:rsid w:val="2C7C5BE6"/>
    <w:rsid w:val="2E625356"/>
    <w:rsid w:val="2EBE3FFE"/>
    <w:rsid w:val="3C456262"/>
    <w:rsid w:val="3FA972EA"/>
    <w:rsid w:val="47E34E85"/>
    <w:rsid w:val="4E57715D"/>
    <w:rsid w:val="590D7AE9"/>
    <w:rsid w:val="668545BD"/>
    <w:rsid w:val="68DF711F"/>
    <w:rsid w:val="6A7B666D"/>
    <w:rsid w:val="6DBA48BD"/>
    <w:rsid w:val="6EF273D4"/>
    <w:rsid w:val="71A0574D"/>
    <w:rsid w:val="729055BB"/>
    <w:rsid w:val="747D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3"/>
    <w:qFormat/>
    <w:uiPriority w:val="0"/>
    <w:pPr>
      <w:spacing w:before="120" w:after="120"/>
      <w:ind w:left="4002" w:leftChars="400" w:hanging="4002" w:hangingChars="1000"/>
      <w:outlineLvl w:val="1"/>
    </w:pPr>
    <w:rPr>
      <w:rFonts w:ascii="Arial" w:hAnsi="Arial" w:eastAsia="微软雅黑" w:cs="Arial"/>
      <w:b/>
      <w:bCs/>
      <w:smallCaps/>
      <w:color w:val="292929"/>
      <w:sz w:val="24"/>
      <w:lang w:val="en-US" w:eastAsia="zh-CN" w:bidi="ar-SA"/>
    </w:rPr>
  </w:style>
  <w:style w:type="paragraph" w:styleId="3">
    <w:name w:val="heading 3"/>
    <w:next w:val="1"/>
    <w:qFormat/>
    <w:uiPriority w:val="0"/>
    <w:pPr>
      <w:numPr>
        <w:ilvl w:val="0"/>
        <w:numId w:val="1"/>
      </w:numPr>
      <w:spacing w:before="120" w:after="120"/>
      <w:ind w:left="400" w:leftChars="400"/>
      <w:outlineLvl w:val="2"/>
    </w:pPr>
    <w:rPr>
      <w:rFonts w:ascii="Arial" w:hAnsi="Arial" w:eastAsia="微软雅黑" w:cs="Times New Roman"/>
      <w:b/>
      <w:bCs/>
      <w:smallCaps/>
      <w:color w:val="4D4D4D"/>
      <w:sz w:val="21"/>
      <w:lang w:val="en-US" w:eastAsia="zh-CN" w:bidi="ar-SA"/>
    </w:rPr>
  </w:style>
  <w:style w:type="paragraph" w:styleId="4">
    <w:name w:val="heading 4"/>
    <w:basedOn w:val="1"/>
    <w:next w:val="1"/>
    <w:qFormat/>
    <w:uiPriority w:val="0"/>
    <w:pPr>
      <w:numPr>
        <w:ilvl w:val="0"/>
        <w:numId w:val="2"/>
      </w:numPr>
      <w:spacing w:before="60" w:after="60"/>
      <w:ind w:left="635" w:leftChars="500" w:right="210" w:rightChars="100" w:hanging="425"/>
      <w:outlineLvl w:val="3"/>
    </w:pPr>
    <w:rPr>
      <w:rFonts w:ascii="Arial" w:hAnsi="Arial" w:eastAsia="微软雅黑" w:cs="Arial"/>
      <w:bCs/>
      <w:iCs/>
      <w:smallCaps/>
      <w:color w:val="4D4D4D"/>
      <w:sz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uiPriority w:val="0"/>
    <w:pPr>
      <w:spacing w:after="120" w:line="480" w:lineRule="auto"/>
    </w:p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3">
    <w:name w:val="页脚 Char"/>
    <w:link w:val="6"/>
    <w:semiHidden/>
    <w:qFormat/>
    <w:uiPriority w:val="0"/>
    <w:rPr>
      <w:kern w:val="2"/>
      <w:sz w:val="18"/>
      <w:szCs w:val="18"/>
    </w:rPr>
  </w:style>
  <w:style w:type="character" w:customStyle="1" w:styleId="14">
    <w:name w:val="页眉 Char"/>
    <w:link w:val="7"/>
    <w:semiHidden/>
    <w:qFormat/>
    <w:uiPriority w:val="0"/>
    <w:rPr>
      <w:kern w:val="2"/>
      <w:sz w:val="18"/>
      <w:szCs w:val="18"/>
    </w:rPr>
  </w:style>
  <w:style w:type="paragraph" w:customStyle="1" w:styleId="15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333333"/>
      <w:kern w:val="0"/>
      <w:sz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批注框文本 Char"/>
    <w:basedOn w:val="11"/>
    <w:link w:val="5"/>
    <w:semiHidden/>
    <w:qFormat/>
    <w:uiPriority w:val="99"/>
    <w:rPr>
      <w:kern w:val="2"/>
      <w:sz w:val="18"/>
      <w:szCs w:val="18"/>
    </w:rPr>
  </w:style>
  <w:style w:type="paragraph" w:customStyle="1" w:styleId="18">
    <w:name w:val="Bullet Level 2"/>
    <w:qFormat/>
    <w:uiPriority w:val="99"/>
    <w:pPr>
      <w:numPr>
        <w:ilvl w:val="1"/>
        <w:numId w:val="3"/>
      </w:numPr>
      <w:spacing w:before="60" w:after="60"/>
    </w:pPr>
    <w:rPr>
      <w:rFonts w:ascii="Times New Roman" w:hAnsi="Times New Roman" w:eastAsia="楷体_GB2312" w:cs="Times New Roman"/>
      <w:sz w:val="24"/>
      <w:lang w:val="en-US" w:eastAsia="zh-CN" w:bidi="ar-SA"/>
    </w:rPr>
  </w:style>
  <w:style w:type="paragraph" w:customStyle="1" w:styleId="19">
    <w:name w:val="Bullet Level 1"/>
    <w:next w:val="1"/>
    <w:qFormat/>
    <w:uiPriority w:val="99"/>
    <w:pPr>
      <w:tabs>
        <w:tab w:val="left" w:pos="599"/>
      </w:tabs>
      <w:spacing w:before="60" w:after="60"/>
      <w:ind w:left="579" w:hanging="340"/>
    </w:pPr>
    <w:rPr>
      <w:rFonts w:ascii="Times New Roman" w:hAnsi="Times New Roman" w:eastAsia="楷体_GB2312" w:cs="Times New Roman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4064</Words>
  <Characters>4154</Characters>
  <Lines>34</Lines>
  <Paragraphs>9</Paragraphs>
  <TotalTime>0</TotalTime>
  <ScaleCrop>false</ScaleCrop>
  <LinksUpToDate>false</LinksUpToDate>
  <CharactersWithSpaces>4228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2021-01-07T05:36:00Z</dcterms:created>
  <dc:creator>Lenovo</dc:creator>
  <cp:lastModifiedBy>Administrator</cp:lastModifiedBy>
  <cp:lastPrinted>2411-12-30T00:00:00Z</cp:lastPrinted>
  <dcterms:modified xsi:type="dcterms:W3CDTF">2022-12-20T08:50:08Z</dcterms:modified>
  <dc:title>基于素质的人才甄选技术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(2)7o1YNuUI6UZVplZvZw1JhdFE97sCaqllg3Tnw07mWvgOnesNL80SDYGv8iclYkOkHREqlcEW
Kqp9eDmehW+2zEZ/dMYGCk6isPWwWa/nTeasfkUlK9uyWO3t77uxUleeOmMKHirACEXgYatK
6kXoBAynJVVHj2RKCBDHr2wMY5beyWM9SJqhfqv6uegXb6/BhbPTkbxwJvkUtjarMZtJNkc6
D4SxDJD38rYOAakiG04AQ</vt:lpwstr>
  </property>
  <property fmtid="{D5CDD505-2E9C-101B-9397-08002B2CF9AE}" pid="3" name="_ms_pID_7253431">
    <vt:lpwstr>L2UKe7VI26lJSkaw7uXa5C/UsfVObanErWf85FNYS/pbQgn1BnZ
gIvG/cTWffHhe3SCUYZzWNKgKxvnNRfHvhoOH003NfoUzY3QqmDaZaOhte+V6usJzfm/KNcB
KBFSG1vfxDynwUknoYSOaBQc9Q+ibJvLRPR58KMa/McgVw==</vt:lpwstr>
  </property>
  <property fmtid="{D5CDD505-2E9C-101B-9397-08002B2CF9AE}" pid="4" name="KSOProductBuildVer">
    <vt:lpwstr>2052-11.1.0.12980</vt:lpwstr>
  </property>
  <property fmtid="{D5CDD505-2E9C-101B-9397-08002B2CF9AE}" pid="5" name="sflag">
    <vt:lpwstr>1319598693</vt:lpwstr>
  </property>
  <property fmtid="{D5CDD505-2E9C-101B-9397-08002B2CF9AE}" pid="6" name="ICV">
    <vt:lpwstr>80AE279BE1C54E178E620958C82231B2</vt:lpwstr>
  </property>
</Properties>
</file>