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“人才驱动业务”—人才盘点与梯队建设</w:t>
      </w:r>
    </w:p>
    <w:p>
      <w:pPr>
        <w:spacing w:line="360" w:lineRule="auto"/>
        <w:rPr>
          <w:rFonts w:hint="eastAsia" w:ascii="宋体" w:hAnsi="宋体" w:eastAsia="宋体" w:cs="宋体"/>
          <w:sz w:val="21"/>
          <w:szCs w:val="21"/>
        </w:rPr>
      </w:pPr>
      <w:r>
        <w:rPr>
          <w:rFonts w:hint="eastAsia" w:ascii="宋体" w:hAnsi="宋体" w:eastAsia="宋体" w:cs="宋体"/>
          <w:sz w:val="21"/>
          <w:szCs w:val="21"/>
        </w:rPr>
        <w:t>课程费用：4200元/人</w:t>
      </w:r>
      <w:r>
        <w:rPr>
          <w:rFonts w:hint="eastAsia" w:ascii="宋体" w:hAnsi="宋体" w:eastAsia="宋体" w:cs="宋体"/>
          <w:sz w:val="21"/>
          <w:szCs w:val="21"/>
        </w:rPr>
        <w:t>（</w:t>
      </w:r>
      <w:r>
        <w:rPr>
          <w:rFonts w:hint="eastAsia" w:ascii="宋体" w:hAnsi="宋体" w:eastAsia="宋体" w:cs="宋体"/>
          <w:sz w:val="21"/>
          <w:szCs w:val="21"/>
          <w:lang w:eastAsia="zh-CN"/>
        </w:rPr>
        <w:t>包含</w:t>
      </w:r>
      <w:r>
        <w:rPr>
          <w:rFonts w:hint="eastAsia" w:ascii="宋体" w:hAnsi="宋体" w:eastAsia="宋体" w:cs="宋体"/>
          <w:sz w:val="21"/>
          <w:szCs w:val="21"/>
        </w:rPr>
        <w:t>课程资料、学习费、茶歇等</w:t>
      </w:r>
      <w:r>
        <w:rPr>
          <w:rFonts w:hint="eastAsia" w:ascii="宋体" w:hAnsi="宋体" w:eastAsia="宋体" w:cs="宋体"/>
          <w:sz w:val="21"/>
          <w:szCs w:val="21"/>
          <w:lang w:eastAsia="zh-CN"/>
        </w:rPr>
        <w:t>，不含午餐及住宿</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举办单位：深圳市中企智汇企业管理咨询有限公司</w:t>
      </w:r>
    </w:p>
    <w:p>
      <w:pPr>
        <w:spacing w:line="360" w:lineRule="auto"/>
        <w:rPr>
          <w:rFonts w:hint="eastAsia" w:ascii="宋体" w:hAnsi="宋体" w:eastAsia="宋体" w:cs="宋体"/>
          <w:sz w:val="21"/>
          <w:szCs w:val="21"/>
        </w:rPr>
      </w:pPr>
      <w:r>
        <w:rPr>
          <w:rFonts w:hint="eastAsia" w:ascii="宋体" w:hAnsi="宋体" w:eastAsia="宋体" w:cs="宋体"/>
          <w:sz w:val="21"/>
          <w:szCs w:val="21"/>
        </w:rPr>
        <w:t>课程地点：深圳</w:t>
      </w:r>
    </w:p>
    <w:p>
      <w:pPr>
        <w:spacing w:line="360" w:lineRule="auto"/>
        <w:rPr>
          <w:rFonts w:hint="eastAsia" w:ascii="宋体" w:hAnsi="宋体" w:eastAsia="宋体" w:cs="宋体"/>
          <w:sz w:val="21"/>
          <w:szCs w:val="21"/>
        </w:rPr>
      </w:pPr>
      <w:r>
        <w:rPr>
          <w:rFonts w:hint="eastAsia" w:ascii="宋体" w:hAnsi="宋体" w:eastAsia="宋体" w:cs="宋体"/>
          <w:sz w:val="21"/>
          <w:szCs w:val="21"/>
        </w:rPr>
        <w:t>课程时间：11月17-18日</w:t>
      </w:r>
    </w:p>
    <w:p>
      <w:pPr>
        <w:spacing w:line="360" w:lineRule="auto"/>
        <w:rPr>
          <w:rFonts w:asciiTheme="minorEastAsia" w:hAnsiTheme="minorEastAsia" w:eastAsiaTheme="minorEastAsia" w:cstheme="minorEastAsia"/>
          <w:b/>
          <w:sz w:val="22"/>
          <w:szCs w:val="22"/>
        </w:rPr>
      </w:pP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认证费用：</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中级证书1000元/人;高级证书1200元/人(参加认证考试的学员须交纳此费用，不参加认证考试的学员无须交纳)　</w:t>
      </w: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备　　注:</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1.高级证书申请须同时进行理论考试和提交论文考试，学员在报名参加培训和认证时请提前准备好论文并随理论考试试卷一同提交。</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希望参加认证考试之学员，在培训结束后参加认证考试并合格者，颁发与所参加培训课程专业领域相同之：“香港培训认证中心HKTCC国际职业资格认证中心《国际注册中/高级人力资源管理师》职业资格证书”。（国际认证／全球通行／雇主认可／联网查询）。</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3.课程结束后10日内将证书快递寄给学员；</w:t>
      </w:r>
    </w:p>
    <w:p>
      <w:pPr>
        <w:spacing w:line="360" w:lineRule="auto"/>
        <w:rPr>
          <w:rFonts w:hint="eastAsia" w:asciiTheme="minorEastAsia" w:hAnsiTheme="minorEastAsia" w:eastAsiaTheme="minorEastAsia" w:cstheme="minorEastAsia"/>
          <w:sz w:val="22"/>
          <w:szCs w:val="22"/>
        </w:rPr>
      </w:pP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【课程特色】</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针对性：</w:t>
      </w:r>
      <w:r>
        <w:rPr>
          <w:rFonts w:hint="eastAsia" w:asciiTheme="minorEastAsia" w:hAnsiTheme="minorEastAsia" w:eastAsiaTheme="minorEastAsia" w:cstheme="minorEastAsia"/>
          <w:sz w:val="22"/>
          <w:szCs w:val="22"/>
        </w:rPr>
        <w:t>针对性的课程开发，真正做到讲你想听的，给你所想要的</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科学性：</w:t>
      </w:r>
      <w:r>
        <w:rPr>
          <w:rFonts w:hint="eastAsia" w:asciiTheme="minorEastAsia" w:hAnsiTheme="minorEastAsia" w:eastAsiaTheme="minorEastAsia" w:cstheme="minorEastAsia"/>
          <w:sz w:val="22"/>
          <w:szCs w:val="22"/>
        </w:rPr>
        <w:t>对世界标杆企业案例研究深入，充分了解国际先进模式和资讯，避免课程内容掉进经验主义泥潭，确保课程的正确性和科学性</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实操性：</w:t>
      </w:r>
      <w:r>
        <w:rPr>
          <w:rFonts w:hint="eastAsia" w:asciiTheme="minorEastAsia" w:hAnsiTheme="minorEastAsia" w:eastAsiaTheme="minorEastAsia" w:cstheme="minorEastAsia"/>
          <w:sz w:val="22"/>
          <w:szCs w:val="22"/>
        </w:rPr>
        <w:t>精选了</w:t>
      </w:r>
      <w:r>
        <w:rPr>
          <w:rFonts w:hint="eastAsia" w:asciiTheme="minorEastAsia" w:hAnsiTheme="minorEastAsia" w:eastAsiaTheme="minorEastAsia" w:cstheme="minorEastAsia"/>
          <w:b/>
          <w:bCs/>
          <w:sz w:val="22"/>
          <w:szCs w:val="22"/>
        </w:rPr>
        <w:t>5</w:t>
      </w:r>
      <w:r>
        <w:rPr>
          <w:rFonts w:hint="eastAsia" w:asciiTheme="minorEastAsia" w:hAnsiTheme="minorEastAsia" w:eastAsiaTheme="minorEastAsia" w:cstheme="minorEastAsia"/>
          <w:sz w:val="22"/>
          <w:szCs w:val="22"/>
        </w:rPr>
        <w:t>个咨询案例在课程中深入讲解，</w:t>
      </w:r>
      <w:r>
        <w:rPr>
          <w:rFonts w:hint="eastAsia" w:asciiTheme="minorEastAsia" w:hAnsiTheme="minorEastAsia" w:eastAsiaTheme="minorEastAsia" w:cstheme="minorEastAsia"/>
          <w:b/>
          <w:bCs/>
          <w:sz w:val="22"/>
          <w:szCs w:val="22"/>
        </w:rPr>
        <w:t>5</w:t>
      </w:r>
      <w:r>
        <w:rPr>
          <w:rFonts w:hint="eastAsia" w:asciiTheme="minorEastAsia" w:hAnsiTheme="minorEastAsia" w:eastAsiaTheme="minorEastAsia" w:cstheme="minorEastAsia"/>
          <w:sz w:val="22"/>
          <w:szCs w:val="22"/>
        </w:rPr>
        <w:t>个咨询案例都是朱老师亲身经历的，极具参考性，可模仿或创造性地模仿</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工具性：</w:t>
      </w:r>
      <w:r>
        <w:rPr>
          <w:rFonts w:hint="eastAsia" w:asciiTheme="minorEastAsia" w:hAnsiTheme="minorEastAsia" w:eastAsiaTheme="minorEastAsia" w:cstheme="minorEastAsia"/>
          <w:sz w:val="22"/>
          <w:szCs w:val="22"/>
        </w:rPr>
        <w:t>课程提供</w:t>
      </w:r>
      <w:r>
        <w:rPr>
          <w:rFonts w:hint="eastAsia" w:asciiTheme="minorEastAsia" w:hAnsiTheme="minorEastAsia" w:eastAsiaTheme="minorEastAsia" w:cstheme="minorEastAsia"/>
          <w:b/>
          <w:bCs/>
          <w:sz w:val="22"/>
          <w:szCs w:val="22"/>
        </w:rPr>
        <w:t>5</w:t>
      </w:r>
      <w:r>
        <w:rPr>
          <w:rFonts w:hint="eastAsia" w:asciiTheme="minorEastAsia" w:hAnsiTheme="minorEastAsia" w:eastAsiaTheme="minorEastAsia" w:cstheme="minorEastAsia"/>
          <w:sz w:val="22"/>
          <w:szCs w:val="22"/>
        </w:rPr>
        <w:t xml:space="preserve">个只有咨询客户才能享用的实用管理工具，价值不菲，拿回去就能用。 </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bCs/>
          <w:sz w:val="22"/>
          <w:szCs w:val="22"/>
        </w:rPr>
        <w:t>实战性：</w:t>
      </w:r>
      <w:r>
        <w:rPr>
          <w:rFonts w:hint="eastAsia" w:asciiTheme="minorEastAsia" w:hAnsiTheme="minorEastAsia" w:eastAsiaTheme="minorEastAsia" w:cstheme="minorEastAsia"/>
          <w:sz w:val="22"/>
          <w:szCs w:val="22"/>
        </w:rPr>
        <w:t>针对性设计实战沙盘，消化课程知识，让学员把错误犯在课堂里，只把正确方法带回去。</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【课程大纲】</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A．我们现实中的困惑</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b/>
          <w:bCs/>
          <w:sz w:val="22"/>
          <w:szCs w:val="22"/>
        </w:rPr>
        <w:t>带着问题来课堂</w:t>
      </w:r>
      <w:r>
        <w:rPr>
          <w:rFonts w:hint="eastAsia" w:asciiTheme="minorEastAsia" w:hAnsiTheme="minorEastAsia" w:eastAsiaTheme="minorEastAsia" w:cstheme="minorEastAsia"/>
          <w:sz w:val="22"/>
          <w:szCs w:val="22"/>
        </w:rPr>
        <w:t>）</w:t>
      </w:r>
    </w:p>
    <w:p>
      <w:pPr>
        <w:numPr>
          <w:ilvl w:val="0"/>
          <w:numId w:val="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公司人才建设的速度，为何总是落后公司发展的速度？</w:t>
      </w:r>
    </w:p>
    <w:p>
      <w:pPr>
        <w:numPr>
          <w:ilvl w:val="0"/>
          <w:numId w:val="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什么样的企业或者说公司发展到什么阶段需要做好人才储备？</w:t>
      </w:r>
    </w:p>
    <w:p>
      <w:pPr>
        <w:numPr>
          <w:ilvl w:val="0"/>
          <w:numId w:val="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如何才能构建适合公司发展的人才梯队建设系统？</w:t>
      </w: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B．课程目标（我们的学习方向）</w:t>
      </w:r>
    </w:p>
    <w:p>
      <w:pPr>
        <w:numPr>
          <w:ilvl w:val="0"/>
          <w:numId w:val="2"/>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正确理解人才储备与人才梯队建设；</w:t>
      </w:r>
    </w:p>
    <w:p>
      <w:pPr>
        <w:numPr>
          <w:ilvl w:val="0"/>
          <w:numId w:val="2"/>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掌握科学实施人力资源规划的方法和技巧；</w:t>
      </w:r>
    </w:p>
    <w:p>
      <w:pPr>
        <w:numPr>
          <w:ilvl w:val="0"/>
          <w:numId w:val="2"/>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掌握人才储备岗位能力素质分析的方法和技巧；</w:t>
      </w:r>
    </w:p>
    <w:p>
      <w:pPr>
        <w:numPr>
          <w:ilvl w:val="0"/>
          <w:numId w:val="2"/>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掌握人才储备库人才甄选的方法和技巧；</w:t>
      </w:r>
    </w:p>
    <w:p>
      <w:pPr>
        <w:numPr>
          <w:ilvl w:val="0"/>
          <w:numId w:val="2"/>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掌握人才储备库人才培养的方法和技巧；</w:t>
      </w:r>
    </w:p>
    <w:p>
      <w:pPr>
        <w:numPr>
          <w:ilvl w:val="0"/>
          <w:numId w:val="2"/>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掌握人才储备与人才梯队建设相关制度设计的方法和技巧。</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C．课堂上能获取的重点收获</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b/>
          <w:bCs/>
          <w:sz w:val="22"/>
          <w:szCs w:val="22"/>
        </w:rPr>
        <w:t>行动计划的基础</w:t>
      </w:r>
      <w:r>
        <w:rPr>
          <w:rFonts w:hint="eastAsia" w:asciiTheme="minorEastAsia" w:hAnsiTheme="minorEastAsia" w:eastAsiaTheme="minorEastAsia" w:cstheme="minorEastAsia"/>
          <w:sz w:val="22"/>
          <w:szCs w:val="22"/>
        </w:rPr>
        <w:t>）</w:t>
      </w: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第一部分：人才储备与人才梯队建设认知</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咨询案例1：该客户为什么3年内新增6家分厂的目标没有实现？</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如何定义人才</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人才吸引战略VS人才投资战略</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企业为什么需要做人才储备与人才梯队建设</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什么企业需要做人才储备与人才梯队建设</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企业人才储备与人才梯队建设的关键性问题分析</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咨询案例2：该客户如何在3年内培养1500名项目经理？</w:t>
      </w:r>
    </w:p>
    <w:p>
      <w:pPr>
        <w:numPr>
          <w:ilvl w:val="0"/>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人才储备与人才梯队建设的主要内容</w:t>
      </w:r>
    </w:p>
    <w:p>
      <w:pPr>
        <w:numPr>
          <w:ilvl w:val="1"/>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人才储备与人才梯队建设的前提－人力资源规划</w:t>
      </w:r>
    </w:p>
    <w:p>
      <w:pPr>
        <w:numPr>
          <w:ilvl w:val="1"/>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人才储备与人才梯队建设的基础－能力素质分析</w:t>
      </w:r>
    </w:p>
    <w:p>
      <w:pPr>
        <w:numPr>
          <w:ilvl w:val="1"/>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人才储备与人才梯队建设的内容－人才选拔、培育、评估、晋升</w:t>
      </w:r>
    </w:p>
    <w:p>
      <w:pPr>
        <w:numPr>
          <w:ilvl w:val="1"/>
          <w:numId w:val="3"/>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人才储备与人才梯队建设的保障－人才梯队制度建设</w:t>
      </w: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第二部分：人力资源规划</w:t>
      </w:r>
    </w:p>
    <w:p>
      <w:pPr>
        <w:numPr>
          <w:ilvl w:val="0"/>
          <w:numId w:val="4"/>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咨询案例3：该客户是如何制定人力资源规划而实现每年增加100家连锁店这一战略目标的？</w:t>
      </w:r>
    </w:p>
    <w:p>
      <w:pPr>
        <w:numPr>
          <w:ilvl w:val="0"/>
          <w:numId w:val="4"/>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人力资源规划的主要原则</w:t>
      </w:r>
    </w:p>
    <w:p>
      <w:pPr>
        <w:numPr>
          <w:ilvl w:val="0"/>
          <w:numId w:val="4"/>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人力资源规划的主要内容</w:t>
      </w:r>
    </w:p>
    <w:p>
      <w:pPr>
        <w:numPr>
          <w:ilvl w:val="0"/>
          <w:numId w:val="4"/>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人力资源规划的主要方法</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第三部分：能力素质分析</w:t>
      </w:r>
    </w:p>
    <w:p>
      <w:pPr>
        <w:numPr>
          <w:ilvl w:val="0"/>
          <w:numId w:val="5"/>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企业人才战略定位</w:t>
      </w:r>
    </w:p>
    <w:p>
      <w:pPr>
        <w:numPr>
          <w:ilvl w:val="0"/>
          <w:numId w:val="5"/>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企业通用能力素质分析</w:t>
      </w:r>
    </w:p>
    <w:p>
      <w:pPr>
        <w:numPr>
          <w:ilvl w:val="0"/>
          <w:numId w:val="5"/>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营销类专业能力素质分析</w:t>
      </w:r>
    </w:p>
    <w:p>
      <w:pPr>
        <w:numPr>
          <w:ilvl w:val="0"/>
          <w:numId w:val="5"/>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技术类专业能力素质分析</w:t>
      </w:r>
    </w:p>
    <w:p>
      <w:pPr>
        <w:numPr>
          <w:ilvl w:val="0"/>
          <w:numId w:val="5"/>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管理类专业能力素质分析</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第四部分：储备人才选拔技巧</w:t>
      </w:r>
    </w:p>
    <w:p>
      <w:pPr>
        <w:numPr>
          <w:ilvl w:val="0"/>
          <w:numId w:val="6"/>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
          <w:bCs/>
          <w:sz w:val="22"/>
          <w:szCs w:val="22"/>
        </w:rPr>
        <w:t>咨询案例4：</w:t>
      </w:r>
      <w:r>
        <w:rPr>
          <w:rFonts w:hint="eastAsia" w:asciiTheme="minorEastAsia" w:hAnsiTheme="minorEastAsia" w:eastAsiaTheme="minorEastAsia" w:cstheme="minorEastAsia"/>
          <w:b/>
          <w:sz w:val="22"/>
          <w:szCs w:val="22"/>
        </w:rPr>
        <w:t>该客户是如何选拔储备人才的？</w:t>
      </w:r>
    </w:p>
    <w:p>
      <w:pPr>
        <w:numPr>
          <w:ilvl w:val="0"/>
          <w:numId w:val="6"/>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储备人才选拔的特点</w:t>
      </w:r>
    </w:p>
    <w:p>
      <w:pPr>
        <w:numPr>
          <w:ilvl w:val="0"/>
          <w:numId w:val="6"/>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储备人才选拔的原则</w:t>
      </w:r>
    </w:p>
    <w:p>
      <w:pPr>
        <w:numPr>
          <w:ilvl w:val="0"/>
          <w:numId w:val="6"/>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储备人才选拔的流程</w:t>
      </w:r>
    </w:p>
    <w:p>
      <w:pPr>
        <w:numPr>
          <w:ilvl w:val="0"/>
          <w:numId w:val="6"/>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储备人才选拔测评工具选择</w:t>
      </w:r>
    </w:p>
    <w:p>
      <w:pPr>
        <w:numPr>
          <w:ilvl w:val="0"/>
          <w:numId w:val="6"/>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储备人才行为面谈技巧</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第五部分：储备人才培育技巧</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咨询案例5：该客户如何使储备人才培养周期缩短一半？</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技术人才培育特点</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管理人才培育特点</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营销人才培育特点</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储备人才专项训练课程设计</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储备人才专项培训计划制定</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储备人才导师体系建设</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企业优秀案例库建设</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企业如何导入0JT管理机制</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企业如何通过岗位轮调培育人才</w:t>
      </w:r>
    </w:p>
    <w:p>
      <w:pPr>
        <w:numPr>
          <w:ilvl w:val="0"/>
          <w:numId w:val="7"/>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企业如何建立低成本培育人才的通道</w:t>
      </w: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第六部分：储备人才测评技巧</w:t>
      </w:r>
    </w:p>
    <w:p>
      <w:pPr>
        <w:numPr>
          <w:ilvl w:val="0"/>
          <w:numId w:val="8"/>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储备人才测评的主要内容</w:t>
      </w:r>
    </w:p>
    <w:p>
      <w:pPr>
        <w:numPr>
          <w:ilvl w:val="0"/>
          <w:numId w:val="8"/>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360°储备人才测评方法介绍</w:t>
      </w:r>
    </w:p>
    <w:p>
      <w:pPr>
        <w:numPr>
          <w:ilvl w:val="0"/>
          <w:numId w:val="8"/>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如何撰写储备人才撰写报告</w:t>
      </w:r>
    </w:p>
    <w:p>
      <w:pPr>
        <w:numPr>
          <w:ilvl w:val="0"/>
          <w:numId w:val="8"/>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储备人才测评的常见问题与对策分析</w:t>
      </w:r>
    </w:p>
    <w:p>
      <w:pPr>
        <w:spacing w:line="360" w:lineRule="auto"/>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第七部分：人才储备与人才梯队制度建设</w:t>
      </w:r>
    </w:p>
    <w:p>
      <w:pPr>
        <w:numPr>
          <w:ilvl w:val="0"/>
          <w:numId w:val="9"/>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储备人才选拔制度建设</w:t>
      </w:r>
    </w:p>
    <w:p>
      <w:pPr>
        <w:numPr>
          <w:ilvl w:val="0"/>
          <w:numId w:val="9"/>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储备人才培育制度建设</w:t>
      </w:r>
    </w:p>
    <w:p>
      <w:pPr>
        <w:numPr>
          <w:ilvl w:val="0"/>
          <w:numId w:val="9"/>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储备人才测评制度建设</w:t>
      </w:r>
    </w:p>
    <w:p>
      <w:pPr>
        <w:numPr>
          <w:ilvl w:val="0"/>
          <w:numId w:val="9"/>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储备人才激励制度建设</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D．现场实操（做过不会忘）</w:t>
      </w:r>
    </w:p>
    <w:p>
      <w:pPr>
        <w:numPr>
          <w:ilvl w:val="0"/>
          <w:numId w:val="10"/>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人力资源人员数量规划</w:t>
      </w:r>
    </w:p>
    <w:p>
      <w:pPr>
        <w:numPr>
          <w:ilvl w:val="0"/>
          <w:numId w:val="10"/>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营销类、管理类、技术类能力素质分析</w:t>
      </w:r>
    </w:p>
    <w:p>
      <w:pPr>
        <w:numPr>
          <w:ilvl w:val="0"/>
          <w:numId w:val="10"/>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储备人才选拔模拟</w:t>
      </w:r>
    </w:p>
    <w:p>
      <w:pPr>
        <w:numPr>
          <w:ilvl w:val="0"/>
          <w:numId w:val="10"/>
        </w:numPr>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储备人才测评模拟</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E．工具（回岗位后就可运用）</w:t>
      </w:r>
    </w:p>
    <w:p>
      <w:pPr>
        <w:numPr>
          <w:ilvl w:val="0"/>
          <w:numId w:val="1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人力资源规划7大量化方法</w:t>
      </w:r>
    </w:p>
    <w:p>
      <w:pPr>
        <w:numPr>
          <w:ilvl w:val="0"/>
          <w:numId w:val="1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专业能力素质构建模型</w:t>
      </w:r>
    </w:p>
    <w:p>
      <w:pPr>
        <w:numPr>
          <w:ilvl w:val="0"/>
          <w:numId w:val="1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储备人才选拔工具</w:t>
      </w:r>
    </w:p>
    <w:p>
      <w:pPr>
        <w:numPr>
          <w:ilvl w:val="0"/>
          <w:numId w:val="1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储备人才测评工具</w:t>
      </w:r>
    </w:p>
    <w:p>
      <w:pPr>
        <w:numPr>
          <w:ilvl w:val="0"/>
          <w:numId w:val="11"/>
        </w:num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人才梯队管理制度</w:t>
      </w:r>
    </w:p>
    <w:p>
      <w:pPr>
        <w:autoSpaceDE w:val="0"/>
        <w:autoSpaceDN w:val="0"/>
        <w:adjustRightInd w:val="0"/>
        <w:ind w:right="16"/>
        <w:jc w:val="center"/>
        <w:rPr>
          <w:rFonts w:asciiTheme="minorEastAsia" w:hAnsiTheme="minorEastAsia" w:eastAsiaTheme="minorEastAsia" w:cstheme="minorEastAsia"/>
          <w:b/>
          <w:spacing w:val="43"/>
          <w:kern w:val="0"/>
          <w:sz w:val="22"/>
          <w:szCs w:val="22"/>
        </w:rPr>
      </w:pPr>
      <w:r>
        <w:rPr>
          <w:rFonts w:hint="eastAsia" w:asciiTheme="minorEastAsia" w:hAnsiTheme="minorEastAsia" w:eastAsiaTheme="minorEastAsia" w:cstheme="minorEastAsia"/>
          <w:b/>
          <w:sz w:val="32"/>
          <w:szCs w:val="32"/>
        </w:rPr>
        <w:drawing>
          <wp:anchor distT="0" distB="0" distL="114300" distR="114300" simplePos="0" relativeHeight="251662336" behindDoc="0" locked="0" layoutInCell="1" allowOverlap="1">
            <wp:simplePos x="0" y="0"/>
            <wp:positionH relativeFrom="column">
              <wp:posOffset>4525010</wp:posOffset>
            </wp:positionH>
            <wp:positionV relativeFrom="paragraph">
              <wp:posOffset>100330</wp:posOffset>
            </wp:positionV>
            <wp:extent cx="1729105" cy="2595880"/>
            <wp:effectExtent l="0" t="0" r="4445" b="1397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cstate="print"/>
                    <a:stretch>
                      <a:fillRect/>
                    </a:stretch>
                  </pic:blipFill>
                  <pic:spPr>
                    <a:xfrm>
                      <a:off x="0" y="0"/>
                      <a:ext cx="1729105" cy="2595880"/>
                    </a:xfrm>
                    <a:prstGeom prst="rect">
                      <a:avLst/>
                    </a:prstGeom>
                    <a:noFill/>
                    <a:ln>
                      <a:noFill/>
                    </a:ln>
                  </pic:spPr>
                </pic:pic>
              </a:graphicData>
            </a:graphic>
          </wp:anchor>
        </w:drawing>
      </w:r>
    </w:p>
    <w:p>
      <w:pPr>
        <w:autoSpaceDE w:val="0"/>
        <w:autoSpaceDN w:val="0"/>
        <w:adjustRightInd w:val="0"/>
        <w:ind w:right="16"/>
        <w:jc w:val="center"/>
        <w:rPr>
          <w:rFonts w:asciiTheme="minorEastAsia" w:hAnsiTheme="minorEastAsia" w:eastAsiaTheme="minorEastAsia" w:cstheme="minorEastAsia"/>
          <w:b/>
          <w:spacing w:val="43"/>
          <w:kern w:val="0"/>
          <w:sz w:val="22"/>
          <w:szCs w:val="22"/>
        </w:rPr>
      </w:pPr>
    </w:p>
    <w:p>
      <w:pPr>
        <w:spacing w:line="360" w:lineRule="auto"/>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朱会友老师</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rPr>
        <w:t>人力资源价值管理专家</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北京大学、中山大学、西北工业大学特约讲师</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机制经营模式设计专家、人力资源体系建设操盘手、卓越绩效管理实战导师</w:t>
      </w:r>
      <w:bookmarkStart w:id="0" w:name="_GoBack"/>
      <w:bookmarkEnd w:id="0"/>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u w:val="single"/>
        </w:rPr>
        <w:t>1</w:t>
      </w:r>
      <w:r>
        <w:rPr>
          <w:rFonts w:hint="eastAsia" w:asciiTheme="minorEastAsia" w:hAnsiTheme="minorEastAsia" w:eastAsiaTheme="minorEastAsia" w:cstheme="minorEastAsia"/>
          <w:sz w:val="22"/>
          <w:szCs w:val="22"/>
        </w:rPr>
        <w:t>生只专注于做一件事情：</w:t>
      </w:r>
      <w:r>
        <w:rPr>
          <w:rFonts w:hint="eastAsia" w:asciiTheme="minorEastAsia" w:hAnsiTheme="minorEastAsia" w:eastAsiaTheme="minorEastAsia" w:cstheme="minorEastAsia"/>
          <w:b/>
          <w:bCs/>
          <w:sz w:val="22"/>
          <w:szCs w:val="22"/>
          <w:u w:val="single"/>
        </w:rPr>
        <w:t>12</w:t>
      </w:r>
      <w:r>
        <w:rPr>
          <w:rFonts w:hint="eastAsia" w:asciiTheme="minorEastAsia" w:hAnsiTheme="minorEastAsia" w:eastAsiaTheme="minorEastAsia" w:cstheme="minorEastAsia"/>
          <w:sz w:val="22"/>
          <w:szCs w:val="22"/>
        </w:rPr>
        <w:t>年致力于人力资源价值开发，</w:t>
      </w:r>
      <w:r>
        <w:rPr>
          <w:rFonts w:hint="eastAsia" w:asciiTheme="minorEastAsia" w:hAnsiTheme="minorEastAsia" w:eastAsiaTheme="minorEastAsia" w:cstheme="minorEastAsia"/>
          <w:b/>
          <w:bCs/>
          <w:sz w:val="22"/>
          <w:szCs w:val="22"/>
          <w:u w:val="single"/>
        </w:rPr>
        <w:t>21</w:t>
      </w:r>
      <w:r>
        <w:rPr>
          <w:rFonts w:hint="eastAsia" w:asciiTheme="minorEastAsia" w:hAnsiTheme="minorEastAsia" w:eastAsiaTheme="minorEastAsia" w:cstheme="minorEastAsia"/>
          <w:sz w:val="22"/>
          <w:szCs w:val="22"/>
        </w:rPr>
        <w:t>个行业</w:t>
      </w:r>
      <w:r>
        <w:rPr>
          <w:rFonts w:hint="eastAsia" w:asciiTheme="minorEastAsia" w:hAnsiTheme="minorEastAsia" w:eastAsiaTheme="minorEastAsia" w:cstheme="minorEastAsia"/>
          <w:b/>
          <w:bCs/>
          <w:sz w:val="22"/>
          <w:szCs w:val="22"/>
          <w:u w:val="single"/>
        </w:rPr>
        <w:t>62</w:t>
      </w:r>
      <w:r>
        <w:rPr>
          <w:rFonts w:hint="eastAsia" w:asciiTheme="minorEastAsia" w:hAnsiTheme="minorEastAsia" w:eastAsiaTheme="minorEastAsia" w:cstheme="minorEastAsia"/>
          <w:sz w:val="22"/>
          <w:szCs w:val="22"/>
        </w:rPr>
        <w:t>家企业人力资源价值体系设计顾问</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u w:val="single"/>
        </w:rPr>
        <w:t>2</w:t>
      </w:r>
      <w:r>
        <w:rPr>
          <w:rFonts w:hint="eastAsia" w:asciiTheme="minorEastAsia" w:hAnsiTheme="minorEastAsia" w:eastAsiaTheme="minorEastAsia" w:cstheme="minorEastAsia"/>
          <w:sz w:val="22"/>
          <w:szCs w:val="22"/>
        </w:rPr>
        <w:t>家企业辅导后成为细分市场</w:t>
      </w:r>
      <w:r>
        <w:rPr>
          <w:rFonts w:hint="eastAsia" w:asciiTheme="minorEastAsia" w:hAnsiTheme="minorEastAsia" w:eastAsiaTheme="minorEastAsia" w:cstheme="minorEastAsia"/>
          <w:b/>
          <w:bCs/>
          <w:sz w:val="22"/>
          <w:szCs w:val="22"/>
        </w:rPr>
        <w:t>第</w:t>
      </w:r>
      <w:r>
        <w:rPr>
          <w:rFonts w:hint="eastAsia" w:asciiTheme="minorEastAsia" w:hAnsiTheme="minorEastAsia" w:eastAsiaTheme="minorEastAsia" w:cstheme="minorEastAsia"/>
          <w:b/>
          <w:bCs/>
          <w:sz w:val="22"/>
          <w:szCs w:val="22"/>
          <w:u w:val="single"/>
        </w:rPr>
        <w:t>1</w:t>
      </w:r>
      <w:r>
        <w:rPr>
          <w:rFonts w:hint="eastAsia" w:asciiTheme="minorEastAsia" w:hAnsiTheme="minorEastAsia" w:eastAsiaTheme="minorEastAsia" w:cstheme="minorEastAsia"/>
          <w:b/>
          <w:bCs/>
          <w:sz w:val="22"/>
          <w:szCs w:val="22"/>
        </w:rPr>
        <w:t>名</w:t>
      </w:r>
      <w:r>
        <w:rPr>
          <w:rFonts w:hint="eastAsia" w:asciiTheme="minorEastAsia" w:hAnsiTheme="minorEastAsia" w:eastAsiaTheme="minorEastAsia" w:cstheme="minorEastAsia"/>
          <w:sz w:val="22"/>
          <w:szCs w:val="22"/>
        </w:rPr>
        <w:t>：凤铝铝业成为建筑铝型材行业第</w:t>
      </w:r>
      <w:r>
        <w:rPr>
          <w:rFonts w:hint="eastAsia" w:asciiTheme="minorEastAsia" w:hAnsiTheme="minorEastAsia" w:eastAsiaTheme="minorEastAsia" w:cstheme="minorEastAsia"/>
          <w:b/>
          <w:bCs/>
          <w:sz w:val="22"/>
          <w:szCs w:val="22"/>
          <w:u w:val="single"/>
        </w:rPr>
        <w:t>1</w:t>
      </w:r>
      <w:r>
        <w:rPr>
          <w:rFonts w:hint="eastAsia" w:asciiTheme="minorEastAsia" w:hAnsiTheme="minorEastAsia" w:eastAsiaTheme="minorEastAsia" w:cstheme="minorEastAsia"/>
          <w:sz w:val="22"/>
          <w:szCs w:val="22"/>
        </w:rPr>
        <w:t>名、真功夫成为中式快餐连锁第</w:t>
      </w:r>
      <w:r>
        <w:rPr>
          <w:rFonts w:hint="eastAsia" w:asciiTheme="minorEastAsia" w:hAnsiTheme="minorEastAsia" w:eastAsiaTheme="minorEastAsia" w:cstheme="minorEastAsia"/>
          <w:b/>
          <w:bCs/>
          <w:sz w:val="22"/>
          <w:szCs w:val="22"/>
          <w:u w:val="single"/>
        </w:rPr>
        <w:t>1</w:t>
      </w:r>
      <w:r>
        <w:rPr>
          <w:rFonts w:hint="eastAsia" w:asciiTheme="minorEastAsia" w:hAnsiTheme="minorEastAsia" w:eastAsiaTheme="minorEastAsia" w:cstheme="minorEastAsia"/>
          <w:sz w:val="22"/>
          <w:szCs w:val="22"/>
        </w:rPr>
        <w:t>名</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u w:val="single"/>
        </w:rPr>
        <w:t>3</w:t>
      </w:r>
      <w:r>
        <w:rPr>
          <w:rFonts w:hint="eastAsia" w:asciiTheme="minorEastAsia" w:hAnsiTheme="minorEastAsia" w:eastAsiaTheme="minorEastAsia" w:cstheme="minorEastAsia"/>
          <w:sz w:val="22"/>
          <w:szCs w:val="22"/>
        </w:rPr>
        <w:t>家企业辅导后实现业绩</w:t>
      </w:r>
      <w:r>
        <w:rPr>
          <w:rFonts w:hint="eastAsia" w:asciiTheme="minorEastAsia" w:hAnsiTheme="minorEastAsia" w:eastAsiaTheme="minorEastAsia" w:cstheme="minorEastAsia"/>
          <w:b/>
          <w:bCs/>
          <w:sz w:val="22"/>
          <w:szCs w:val="22"/>
        </w:rPr>
        <w:t>爆炸式</w:t>
      </w:r>
      <w:r>
        <w:rPr>
          <w:rFonts w:hint="eastAsia" w:asciiTheme="minorEastAsia" w:hAnsiTheme="minorEastAsia" w:eastAsiaTheme="minorEastAsia" w:cstheme="minorEastAsia"/>
          <w:sz w:val="22"/>
          <w:szCs w:val="22"/>
        </w:rPr>
        <w:t>增长：博敏电子</w:t>
      </w:r>
      <w:r>
        <w:rPr>
          <w:rFonts w:hint="eastAsia" w:asciiTheme="minorEastAsia" w:hAnsiTheme="minorEastAsia" w:eastAsiaTheme="minorEastAsia" w:cstheme="minorEastAsia"/>
          <w:b/>
          <w:bCs/>
          <w:sz w:val="22"/>
          <w:szCs w:val="22"/>
          <w:u w:val="single"/>
        </w:rPr>
        <w:t>10</w:t>
      </w:r>
      <w:r>
        <w:rPr>
          <w:rFonts w:hint="eastAsia" w:asciiTheme="minorEastAsia" w:hAnsiTheme="minorEastAsia" w:eastAsiaTheme="minorEastAsia" w:cstheme="minorEastAsia"/>
          <w:sz w:val="22"/>
          <w:szCs w:val="22"/>
        </w:rPr>
        <w:t>年销售额增长</w:t>
      </w:r>
      <w:r>
        <w:rPr>
          <w:rFonts w:hint="eastAsia" w:asciiTheme="minorEastAsia" w:hAnsiTheme="minorEastAsia" w:eastAsiaTheme="minorEastAsia" w:cstheme="minorEastAsia"/>
          <w:b/>
          <w:bCs/>
          <w:sz w:val="22"/>
          <w:szCs w:val="22"/>
          <w:u w:val="single"/>
        </w:rPr>
        <w:t>100</w:t>
      </w:r>
      <w:r>
        <w:rPr>
          <w:rFonts w:hint="eastAsia" w:asciiTheme="minorEastAsia" w:hAnsiTheme="minorEastAsia" w:eastAsiaTheme="minorEastAsia" w:cstheme="minorEastAsia"/>
          <w:sz w:val="22"/>
          <w:szCs w:val="22"/>
        </w:rPr>
        <w:t>倍、嘉利控股</w:t>
      </w:r>
      <w:r>
        <w:rPr>
          <w:rFonts w:hint="eastAsia" w:asciiTheme="minorEastAsia" w:hAnsiTheme="minorEastAsia" w:eastAsiaTheme="minorEastAsia" w:cstheme="minorEastAsia"/>
          <w:b/>
          <w:bCs/>
          <w:sz w:val="22"/>
          <w:szCs w:val="22"/>
          <w:u w:val="single"/>
        </w:rPr>
        <w:t>1</w:t>
      </w:r>
      <w:r>
        <w:rPr>
          <w:rFonts w:hint="eastAsia" w:asciiTheme="minorEastAsia" w:hAnsiTheme="minorEastAsia" w:eastAsiaTheme="minorEastAsia" w:cstheme="minorEastAsia"/>
          <w:sz w:val="22"/>
          <w:szCs w:val="22"/>
        </w:rPr>
        <w:t>年利润增长</w:t>
      </w:r>
      <w:r>
        <w:rPr>
          <w:rFonts w:hint="eastAsia" w:asciiTheme="minorEastAsia" w:hAnsiTheme="minorEastAsia" w:eastAsiaTheme="minorEastAsia" w:cstheme="minorEastAsia"/>
          <w:b/>
          <w:bCs/>
          <w:sz w:val="22"/>
          <w:szCs w:val="22"/>
          <w:u w:val="single"/>
        </w:rPr>
        <w:t>4</w:t>
      </w:r>
      <w:r>
        <w:rPr>
          <w:rFonts w:hint="eastAsia" w:asciiTheme="minorEastAsia" w:hAnsiTheme="minorEastAsia" w:eastAsiaTheme="minorEastAsia" w:cstheme="minorEastAsia"/>
          <w:sz w:val="22"/>
          <w:szCs w:val="22"/>
        </w:rPr>
        <w:t>倍、中铁三局广东公司</w:t>
      </w:r>
      <w:r>
        <w:rPr>
          <w:rFonts w:hint="eastAsia" w:asciiTheme="minorEastAsia" w:hAnsiTheme="minorEastAsia" w:eastAsiaTheme="minorEastAsia" w:cstheme="minorEastAsia"/>
          <w:b/>
          <w:bCs/>
          <w:sz w:val="22"/>
          <w:szCs w:val="22"/>
          <w:u w:val="single"/>
        </w:rPr>
        <w:t>1</w:t>
      </w:r>
      <w:r>
        <w:rPr>
          <w:rFonts w:hint="eastAsia" w:asciiTheme="minorEastAsia" w:hAnsiTheme="minorEastAsia" w:eastAsiaTheme="minorEastAsia" w:cstheme="minorEastAsia"/>
          <w:sz w:val="22"/>
          <w:szCs w:val="22"/>
        </w:rPr>
        <w:t>年产值</w:t>
      </w:r>
      <w:r>
        <w:rPr>
          <w:rFonts w:hint="eastAsia" w:asciiTheme="minorEastAsia" w:hAnsiTheme="minorEastAsia" w:eastAsiaTheme="minorEastAsia" w:cstheme="minorEastAsia"/>
          <w:b/>
          <w:bCs/>
          <w:sz w:val="22"/>
          <w:szCs w:val="22"/>
        </w:rPr>
        <w:t>翻一翻</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u w:val="single"/>
        </w:rPr>
        <w:t>4</w:t>
      </w:r>
      <w:r>
        <w:rPr>
          <w:rFonts w:hint="eastAsia" w:asciiTheme="minorEastAsia" w:hAnsiTheme="minorEastAsia" w:eastAsiaTheme="minorEastAsia" w:cstheme="minorEastAsia"/>
          <w:sz w:val="22"/>
          <w:szCs w:val="22"/>
        </w:rPr>
        <w:t>个年代给予赞誉：</w:t>
      </w:r>
      <w:r>
        <w:rPr>
          <w:rFonts w:hint="eastAsia" w:asciiTheme="minorEastAsia" w:hAnsiTheme="minorEastAsia" w:eastAsiaTheme="minorEastAsia" w:cstheme="minorEastAsia"/>
          <w:b/>
          <w:bCs/>
          <w:sz w:val="22"/>
          <w:szCs w:val="22"/>
          <w:u w:val="single"/>
        </w:rPr>
        <w:t>60</w:t>
      </w:r>
      <w:r>
        <w:rPr>
          <w:rFonts w:hint="eastAsia" w:asciiTheme="minorEastAsia" w:hAnsiTheme="minorEastAsia" w:eastAsiaTheme="minorEastAsia" w:cstheme="minorEastAsia"/>
          <w:sz w:val="22"/>
          <w:szCs w:val="22"/>
        </w:rPr>
        <w:t>的沉淀、</w:t>
      </w:r>
      <w:r>
        <w:rPr>
          <w:rFonts w:hint="eastAsia" w:asciiTheme="minorEastAsia" w:hAnsiTheme="minorEastAsia" w:eastAsiaTheme="minorEastAsia" w:cstheme="minorEastAsia"/>
          <w:b/>
          <w:bCs/>
          <w:sz w:val="22"/>
          <w:szCs w:val="22"/>
          <w:u w:val="single"/>
        </w:rPr>
        <w:t>70</w:t>
      </w:r>
      <w:r>
        <w:rPr>
          <w:rFonts w:hint="eastAsia" w:asciiTheme="minorEastAsia" w:hAnsiTheme="minorEastAsia" w:eastAsiaTheme="minorEastAsia" w:cstheme="minorEastAsia"/>
          <w:sz w:val="22"/>
          <w:szCs w:val="22"/>
        </w:rPr>
        <w:t>的心态、</w:t>
      </w:r>
      <w:r>
        <w:rPr>
          <w:rFonts w:hint="eastAsia" w:asciiTheme="minorEastAsia" w:hAnsiTheme="minorEastAsia" w:eastAsiaTheme="minorEastAsia" w:cstheme="minorEastAsia"/>
          <w:b/>
          <w:bCs/>
          <w:sz w:val="22"/>
          <w:szCs w:val="22"/>
          <w:u w:val="single"/>
        </w:rPr>
        <w:t>80</w:t>
      </w:r>
      <w:r>
        <w:rPr>
          <w:rFonts w:hint="eastAsia" w:asciiTheme="minorEastAsia" w:hAnsiTheme="minorEastAsia" w:eastAsiaTheme="minorEastAsia" w:cstheme="minorEastAsia"/>
          <w:sz w:val="22"/>
          <w:szCs w:val="22"/>
        </w:rPr>
        <w:t>的长相、</w:t>
      </w:r>
      <w:r>
        <w:rPr>
          <w:rFonts w:hint="eastAsia" w:asciiTheme="minorEastAsia" w:hAnsiTheme="minorEastAsia" w:eastAsiaTheme="minorEastAsia" w:cstheme="minorEastAsia"/>
          <w:b/>
          <w:bCs/>
          <w:sz w:val="22"/>
          <w:szCs w:val="22"/>
          <w:u w:val="single"/>
        </w:rPr>
        <w:t>90</w:t>
      </w:r>
      <w:r>
        <w:rPr>
          <w:rFonts w:hint="eastAsia" w:asciiTheme="minorEastAsia" w:hAnsiTheme="minorEastAsia" w:eastAsiaTheme="minorEastAsia" w:cstheme="minorEastAsia"/>
          <w:sz w:val="22"/>
          <w:szCs w:val="22"/>
        </w:rPr>
        <w:t>的幽默</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u w:val="single"/>
        </w:rPr>
        <w:t>30</w:t>
      </w:r>
      <w:r>
        <w:rPr>
          <w:rFonts w:hint="eastAsia" w:asciiTheme="minorEastAsia" w:hAnsiTheme="minorEastAsia" w:eastAsiaTheme="minorEastAsia" w:cstheme="minorEastAsia"/>
          <w:bCs/>
          <w:sz w:val="22"/>
          <w:szCs w:val="22"/>
        </w:rPr>
        <w:t>多</w:t>
      </w:r>
      <w:r>
        <w:rPr>
          <w:rFonts w:hint="eastAsia" w:asciiTheme="minorEastAsia" w:hAnsiTheme="minorEastAsia" w:eastAsiaTheme="minorEastAsia" w:cstheme="minorEastAsia"/>
          <w:sz w:val="22"/>
          <w:szCs w:val="22"/>
        </w:rPr>
        <w:t>家上市公司、</w:t>
      </w:r>
      <w:r>
        <w:rPr>
          <w:rFonts w:hint="eastAsia" w:asciiTheme="minorEastAsia" w:hAnsiTheme="minorEastAsia" w:eastAsiaTheme="minorEastAsia" w:cstheme="minorEastAsia"/>
          <w:b/>
          <w:bCs/>
          <w:sz w:val="22"/>
          <w:szCs w:val="22"/>
          <w:u w:val="single"/>
        </w:rPr>
        <w:t>200</w:t>
      </w:r>
      <w:r>
        <w:rPr>
          <w:rFonts w:hint="eastAsia" w:asciiTheme="minorEastAsia" w:hAnsiTheme="minorEastAsia" w:eastAsiaTheme="minorEastAsia" w:cstheme="minorEastAsia"/>
          <w:sz w:val="22"/>
          <w:szCs w:val="22"/>
        </w:rPr>
        <w:t>多家中外企业提供培训：中国电信、中国移动、中国联通、时代万恒、重庆百货、德美化工、东方精工、鸿特精密、大族激光、美的集团、广电运通、工商银行、建设银行、中国银行、神华集团、招商蛇口、江铃汽车、恒大高新、中国中铁、博敏电子、永辉超市、中粮屯河、伟明环保、广发证券、中捷股份、云天化、万年青、艾尔姆、华日钢材、爱默生等</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2015年7月出版个人专著：《职业经理人才选用实操手册》</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2014年度中国讲师网“中国讲师500强”</w:t>
      </w:r>
    </w:p>
    <w:p>
      <w:pPr>
        <w:pStyle w:val="13"/>
        <w:numPr>
          <w:ilvl w:val="1"/>
          <w:numId w:val="12"/>
        </w:numPr>
        <w:spacing w:line="360" w:lineRule="auto"/>
        <w:ind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2014年度中国讲师网“人力资源管理讲师10强”</w:t>
      </w:r>
    </w:p>
    <w:p>
      <w:pPr>
        <w:pStyle w:val="13"/>
        <w:numPr>
          <w:ilvl w:val="1"/>
          <w:numId w:val="12"/>
        </w:numPr>
        <w:spacing w:line="360" w:lineRule="auto"/>
        <w:ind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2008年5月出版光盘：《店面绩效考核》、《服务行业绩效考核》</w:t>
      </w:r>
    </w:p>
    <w:p>
      <w:pPr>
        <w:pStyle w:val="13"/>
        <w:spacing w:line="360" w:lineRule="auto"/>
        <w:ind w:left="840" w:firstLine="0" w:firstLineChars="0"/>
        <w:rPr>
          <w:rFonts w:asciiTheme="minorEastAsia" w:hAnsiTheme="minorEastAsia" w:eastAsiaTheme="minorEastAsia" w:cstheme="minorEastAsia"/>
          <w:sz w:val="22"/>
          <w:szCs w:val="22"/>
        </w:rPr>
      </w:pPr>
    </w:p>
    <w:p>
      <w:pPr>
        <w:pStyle w:val="2"/>
        <w:adjustRightInd w:val="0"/>
        <w:snapToGrid w:val="0"/>
        <w:spacing w:before="0" w:after="0"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课程特色</w:t>
      </w:r>
    </w:p>
    <w:p>
      <w:pPr>
        <w:numPr>
          <w:ilvl w:val="0"/>
          <w:numId w:val="13"/>
        </w:numPr>
        <w:adjustRightInd w:val="0"/>
        <w:snapToGrid w:val="0"/>
        <w:spacing w:line="360" w:lineRule="auto"/>
        <w:ind w:left="0" w:firstLine="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u w:val="single"/>
        </w:rPr>
        <w:t>课程设计具有创新性</w:t>
      </w:r>
      <w:r>
        <w:rPr>
          <w:rFonts w:hint="eastAsia" w:asciiTheme="minorEastAsia" w:hAnsiTheme="minorEastAsia" w:eastAsiaTheme="minorEastAsia" w:cstheme="minorEastAsia"/>
          <w:sz w:val="22"/>
          <w:szCs w:val="22"/>
        </w:rPr>
        <w:t>。课程设计突破了常规人力资源管理理论，从人力资源价值创造的角度设计课程，课程融合了NLP心理学、100多位国内外专家的经典理论、21个行业62家人力资源价值设计的操作经验，课程具有鲜明的创新性。</w:t>
      </w:r>
    </w:p>
    <w:p>
      <w:pPr>
        <w:numPr>
          <w:ilvl w:val="0"/>
          <w:numId w:val="13"/>
        </w:numPr>
        <w:adjustRightInd w:val="0"/>
        <w:snapToGrid w:val="0"/>
        <w:spacing w:line="360" w:lineRule="auto"/>
        <w:ind w:left="0" w:firstLine="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u w:val="single"/>
        </w:rPr>
        <w:t>授课方式深受学员喜欢</w:t>
      </w:r>
      <w:r>
        <w:rPr>
          <w:rFonts w:hint="eastAsia" w:asciiTheme="minorEastAsia" w:hAnsiTheme="minorEastAsia" w:eastAsiaTheme="minorEastAsia" w:cstheme="minorEastAsia"/>
          <w:sz w:val="22"/>
          <w:szCs w:val="22"/>
        </w:rPr>
        <w:t>。生动讲解与互动研讨相结合，气氛活跃，趣味性强；擅长运用通俗易懂的语言，阐述繁杂的管理理论，听课轻松不费劲；运用恰当的咨询案例，贴近学员实际，遵循学员的学习规律，穿针引线，引导学员找到答案。</w:t>
      </w:r>
    </w:p>
    <w:p>
      <w:pPr>
        <w:numPr>
          <w:ilvl w:val="0"/>
          <w:numId w:val="13"/>
        </w:numPr>
        <w:adjustRightInd w:val="0"/>
        <w:snapToGrid w:val="0"/>
        <w:spacing w:line="360" w:lineRule="auto"/>
        <w:ind w:left="0" w:firstLine="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u w:val="single"/>
        </w:rPr>
        <w:t>学了之后就可以落地运用</w:t>
      </w:r>
      <w:r>
        <w:rPr>
          <w:rFonts w:hint="eastAsia" w:asciiTheme="minorEastAsia" w:hAnsiTheme="minorEastAsia" w:eastAsiaTheme="minorEastAsia" w:cstheme="minorEastAsia"/>
          <w:sz w:val="22"/>
          <w:szCs w:val="22"/>
        </w:rPr>
        <w:t>。课程提供的操作工具，是导师咨询中用到的工具，学员可以快速掌握并在工作中有效运用；通过课堂现场实战演练，建立标杆模板，形成有形学习成果，拿回去就可以使用。</w:t>
      </w:r>
    </w:p>
    <w:p>
      <w:pPr>
        <w:pStyle w:val="2"/>
        <w:adjustRightInd w:val="0"/>
        <w:snapToGrid w:val="0"/>
        <w:spacing w:before="0" w:after="0"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主讲课程</w:t>
      </w:r>
    </w:p>
    <w:p>
      <w:pPr>
        <w:pStyle w:val="13"/>
        <w:numPr>
          <w:ilvl w:val="1"/>
          <w:numId w:val="12"/>
        </w:numPr>
        <w:adjustRightInd w:val="0"/>
        <w:snapToGrid w:val="0"/>
        <w:spacing w:line="360" w:lineRule="auto"/>
        <w:ind w:left="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总裁班系列课程：《人才经营36谋略》、《基于互联网转型的人力资源变革》、《基于互联网转型的组织架构设计》、《基于互联网转型的绩效管理创新》</w:t>
      </w:r>
    </w:p>
    <w:p>
      <w:pPr>
        <w:pStyle w:val="13"/>
        <w:numPr>
          <w:ilvl w:val="1"/>
          <w:numId w:val="12"/>
        </w:numPr>
        <w:adjustRightInd w:val="0"/>
        <w:snapToGrid w:val="0"/>
        <w:spacing w:line="360" w:lineRule="auto"/>
        <w:ind w:left="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EDP班系列课程：《非人力资源经理的人力资源管理》、《非人力资源经理的绩效管理》、《绩效辅导与面谈》、《辅导与激励》、《心理学在管理中的运用》、《结构化行为面试技巧》、《职业生涯规划管理》</w:t>
      </w:r>
    </w:p>
    <w:p>
      <w:pPr>
        <w:pStyle w:val="13"/>
        <w:numPr>
          <w:ilvl w:val="1"/>
          <w:numId w:val="12"/>
        </w:numPr>
        <w:adjustRightInd w:val="0"/>
        <w:snapToGrid w:val="0"/>
        <w:spacing w:line="360" w:lineRule="auto"/>
        <w:ind w:left="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人力资源专业课程：《战略性人力资源管理》、《基于互联网转型的人力资源变革》、《基于互联网转型的组织架构设计》、《基于互联网转型的绩效管理创新》、《组织架构与岗位设计》、《激励性薪酬体系设计》、《量化绩效管理体系设计》、《基于能力的招聘管理》、《基于能力的培训管理》、《员工职业生涯规划》、《人才梯队与储备管理》、《任职资格体系建设与落地》</w:t>
      </w:r>
    </w:p>
    <w:p>
      <w:pPr>
        <w:pStyle w:val="13"/>
        <w:numPr>
          <w:ilvl w:val="1"/>
          <w:numId w:val="12"/>
        </w:numPr>
        <w:adjustRightInd w:val="0"/>
        <w:snapToGrid w:val="0"/>
        <w:spacing w:line="360" w:lineRule="auto"/>
        <w:ind w:left="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机制设计特训营课程：《战略绩效机制顶层设计》、《执行引爆机制顶层设计》、《分配激励机制顶层设计》、《标准运营机制顶层设计》</w:t>
      </w:r>
      <w:r>
        <w:rPr>
          <w:rFonts w:hint="eastAsia" w:asciiTheme="minorEastAsia" w:hAnsiTheme="minorEastAsia" w:eastAsiaTheme="minorEastAsia" w:cstheme="minorEastAsia"/>
          <w:b/>
          <w:sz w:val="22"/>
          <w:szCs w:val="22"/>
        </w:rPr>
        <w:drawing>
          <wp:anchor distT="0" distB="0" distL="114300" distR="114300" simplePos="0" relativeHeight="251661312" behindDoc="0" locked="0" layoutInCell="1" allowOverlap="1">
            <wp:simplePos x="0" y="0"/>
            <wp:positionH relativeFrom="column">
              <wp:posOffset>-8890</wp:posOffset>
            </wp:positionH>
            <wp:positionV relativeFrom="paragraph">
              <wp:posOffset>10233660</wp:posOffset>
            </wp:positionV>
            <wp:extent cx="7572375" cy="467995"/>
            <wp:effectExtent l="0" t="0" r="1905" b="4445"/>
            <wp:wrapNone/>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7" cstate="print"/>
                    <a:stretch>
                      <a:fillRect/>
                    </a:stretch>
                  </pic:blipFill>
                  <pic:spPr>
                    <a:xfrm>
                      <a:off x="0" y="0"/>
                      <a:ext cx="7572375" cy="467995"/>
                    </a:xfrm>
                    <a:prstGeom prst="rect">
                      <a:avLst/>
                    </a:prstGeom>
                    <a:noFill/>
                    <a:ln>
                      <a:noFill/>
                    </a:ln>
                  </pic:spPr>
                </pic:pic>
              </a:graphicData>
            </a:graphic>
          </wp:anchor>
        </w:drawing>
      </w:r>
      <w:r>
        <w:rPr>
          <w:rFonts w:hint="eastAsia" w:asciiTheme="minorEastAsia" w:hAnsiTheme="minorEastAsia" w:eastAsiaTheme="minorEastAsia" w:cstheme="minorEastAsia"/>
          <w:b/>
          <w:sz w:val="22"/>
          <w:szCs w:val="22"/>
        </w:rPr>
        <w:drawing>
          <wp:anchor distT="0" distB="0" distL="114300" distR="114300" simplePos="0" relativeHeight="251660288" behindDoc="0" locked="0" layoutInCell="1" allowOverlap="1">
            <wp:simplePos x="0" y="0"/>
            <wp:positionH relativeFrom="column">
              <wp:posOffset>-8890</wp:posOffset>
            </wp:positionH>
            <wp:positionV relativeFrom="paragraph">
              <wp:posOffset>10233660</wp:posOffset>
            </wp:positionV>
            <wp:extent cx="7572375" cy="467995"/>
            <wp:effectExtent l="0" t="0" r="1905" b="4445"/>
            <wp:wrapNone/>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7" cstate="print"/>
                    <a:stretch>
                      <a:fillRect/>
                    </a:stretch>
                  </pic:blipFill>
                  <pic:spPr>
                    <a:xfrm>
                      <a:off x="0" y="0"/>
                      <a:ext cx="7572375" cy="467995"/>
                    </a:xfrm>
                    <a:prstGeom prst="rect">
                      <a:avLst/>
                    </a:prstGeom>
                    <a:noFill/>
                    <a:ln>
                      <a:noFill/>
                    </a:ln>
                  </pic:spPr>
                </pic:pic>
              </a:graphicData>
            </a:graphic>
          </wp:anchor>
        </w:drawing>
      </w:r>
      <w:r>
        <w:rPr>
          <w:rFonts w:hint="eastAsia" w:asciiTheme="minorEastAsia" w:hAnsiTheme="minorEastAsia" w:eastAsiaTheme="minorEastAsia" w:cstheme="minorEastAsia"/>
          <w:b/>
          <w:sz w:val="22"/>
          <w:szCs w:val="22"/>
        </w:rPr>
        <w:drawing>
          <wp:anchor distT="0" distB="0" distL="114300" distR="114300" simplePos="0" relativeHeight="251659264" behindDoc="0" locked="0" layoutInCell="1" allowOverlap="1">
            <wp:simplePos x="0" y="0"/>
            <wp:positionH relativeFrom="column">
              <wp:posOffset>-8890</wp:posOffset>
            </wp:positionH>
            <wp:positionV relativeFrom="paragraph">
              <wp:posOffset>10233660</wp:posOffset>
            </wp:positionV>
            <wp:extent cx="7572375" cy="467995"/>
            <wp:effectExtent l="0" t="0" r="1905" b="4445"/>
            <wp:wrapNone/>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7" cstate="print"/>
                    <a:stretch>
                      <a:fillRect/>
                    </a:stretch>
                  </pic:blipFill>
                  <pic:spPr>
                    <a:xfrm>
                      <a:off x="0" y="0"/>
                      <a:ext cx="7572375" cy="467995"/>
                    </a:xfrm>
                    <a:prstGeom prst="rect">
                      <a:avLst/>
                    </a:prstGeom>
                    <a:noFill/>
                    <a:ln>
                      <a:noFill/>
                    </a:ln>
                  </pic:spPr>
                </pic:pic>
              </a:graphicData>
            </a:graphic>
          </wp:anchor>
        </w:drawing>
      </w:r>
    </w:p>
    <w:p>
      <w:pPr>
        <w:spacing w:line="360" w:lineRule="exact"/>
        <w:ind w:left="420" w:leftChars="200"/>
        <w:rPr>
          <w:rFonts w:asciiTheme="minorEastAsia" w:hAnsiTheme="minorEastAsia" w:eastAsiaTheme="minorEastAsia" w:cstheme="minorEastAsia"/>
          <w:bCs/>
          <w:sz w:val="22"/>
          <w:szCs w:val="22"/>
        </w:rPr>
      </w:pPr>
    </w:p>
    <w:sectPr>
      <w:headerReference r:id="rId3" w:type="default"/>
      <w:footerReference r:id="rId4" w:type="default"/>
      <w:pgSz w:w="11906" w:h="16838"/>
      <w:pgMar w:top="1276" w:right="991" w:bottom="1134"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5</w:t>
    </w:r>
    <w:r>
      <w:rPr>
        <w:lang w:val="zh-CN"/>
      </w:rP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819"/>
        <w:tab w:val="left" w:pos="8610"/>
        <w:tab w:val="right" w:pos="9639"/>
        <w:tab w:val="clear" w:pos="4153"/>
        <w:tab w:val="clear" w:pos="8306"/>
      </w:tabs>
    </w:pPr>
    <w:r>
      <w:drawing>
        <wp:inline distT="0" distB="0" distL="114300" distR="114300">
          <wp:extent cx="3771900" cy="428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771900" cy="4286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08B40F58"/>
    <w:multiLevelType w:val="multilevel"/>
    <w:tmpl w:val="08B40F58"/>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17D0DEF"/>
    <w:multiLevelType w:val="multilevel"/>
    <w:tmpl w:val="117D0DEF"/>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172AD2"/>
    <w:multiLevelType w:val="multilevel"/>
    <w:tmpl w:val="1A172AD2"/>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D11538"/>
    <w:multiLevelType w:val="multilevel"/>
    <w:tmpl w:val="1DD11538"/>
    <w:lvl w:ilvl="0" w:tentative="0">
      <w:start w:val="1"/>
      <w:numFmt w:val="decimal"/>
      <w:lvlText w:val="%1."/>
      <w:lvlJc w:val="left"/>
      <w:pPr>
        <w:tabs>
          <w:tab w:val="left" w:pos="0"/>
        </w:tabs>
        <w:ind w:left="0" w:firstLine="0"/>
      </w:pPr>
      <w:rPr>
        <w:rFonts w:hint="eastAsia"/>
      </w:rPr>
    </w:lvl>
    <w:lvl w:ilvl="1" w:tentative="0">
      <w:start w:val="1"/>
      <w:numFmt w:val="decimal"/>
      <w:lvlText w:val="%2)"/>
      <w:lvlJc w:val="left"/>
      <w:pPr>
        <w:tabs>
          <w:tab w:val="left" w:pos="840"/>
        </w:tabs>
        <w:ind w:left="420" w:firstLine="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306112"/>
    <w:multiLevelType w:val="multilevel"/>
    <w:tmpl w:val="21306112"/>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9236B02"/>
    <w:multiLevelType w:val="multilevel"/>
    <w:tmpl w:val="29236B02"/>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4515F8"/>
    <w:multiLevelType w:val="multilevel"/>
    <w:tmpl w:val="5C4515F8"/>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3352FD9"/>
    <w:multiLevelType w:val="multilevel"/>
    <w:tmpl w:val="63352FD9"/>
    <w:lvl w:ilvl="0" w:tentative="0">
      <w:start w:val="1"/>
      <w:numFmt w:val="bullet"/>
      <w:lvlText w:val=""/>
      <w:lvlPicBulletId w:val="1"/>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64FC71CB"/>
    <w:multiLevelType w:val="multilevel"/>
    <w:tmpl w:val="64FC71CB"/>
    <w:lvl w:ilvl="0" w:tentative="0">
      <w:start w:val="1"/>
      <w:numFmt w:val="bullet"/>
      <w:lvlText w:val=""/>
      <w:lvlJc w:val="left"/>
      <w:pPr>
        <w:ind w:left="420" w:hanging="420"/>
      </w:pPr>
      <w:rPr>
        <w:rFonts w:hint="default" w:ascii="Wingdings" w:hAnsi="Wingdings"/>
      </w:rPr>
    </w:lvl>
    <w:lvl w:ilvl="1" w:tentative="0">
      <w:start w:val="1"/>
      <w:numFmt w:val="bullet"/>
      <w:lvlText w:val=""/>
      <w:lvlPicBulletId w:val="0"/>
      <w:lvlJc w:val="left"/>
      <w:pPr>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9CF71AA"/>
    <w:multiLevelType w:val="multilevel"/>
    <w:tmpl w:val="69CF71AA"/>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F707451"/>
    <w:multiLevelType w:val="multilevel"/>
    <w:tmpl w:val="6F707451"/>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FC94DE8"/>
    <w:multiLevelType w:val="multilevel"/>
    <w:tmpl w:val="6FC94DE8"/>
    <w:lvl w:ilvl="0" w:tentative="0">
      <w:start w:val="1"/>
      <w:numFmt w:val="decimal"/>
      <w:lvlText w:val="%1."/>
      <w:lvlJc w:val="left"/>
      <w:pPr>
        <w:tabs>
          <w:tab w:val="left" w:pos="0"/>
        </w:tabs>
        <w:ind w:left="0" w:firstLine="0"/>
      </w:pPr>
      <w:rPr>
        <w:rFonts w:hint="eastAsia"/>
      </w:rPr>
    </w:lvl>
    <w:lvl w:ilvl="1" w:tentative="0">
      <w:start w:val="1"/>
      <w:numFmt w:val="decimal"/>
      <w:lvlText w:val="%2)"/>
      <w:lvlJc w:val="left"/>
      <w:pPr>
        <w:tabs>
          <w:tab w:val="left" w:pos="840"/>
        </w:tabs>
        <w:ind w:left="420" w:firstLine="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21A2FC8"/>
    <w:multiLevelType w:val="multilevel"/>
    <w:tmpl w:val="721A2FC8"/>
    <w:lvl w:ilvl="0" w:tentative="0">
      <w:start w:val="1"/>
      <w:numFmt w:val="decimal"/>
      <w:lvlText w:val="%1."/>
      <w:lvlJc w:val="left"/>
      <w:pPr>
        <w:tabs>
          <w:tab w:val="left" w:pos="0"/>
        </w:tabs>
        <w:ind w:left="0" w:firstLine="0"/>
      </w:pPr>
      <w:rPr>
        <w:rFonts w:hint="eastAsia"/>
      </w:rPr>
    </w:lvl>
    <w:lvl w:ilvl="1" w:tentative="0">
      <w:start w:val="1"/>
      <w:numFmt w:val="decimal"/>
      <w:lvlText w:val="%2)"/>
      <w:lvlJc w:val="left"/>
      <w:pPr>
        <w:tabs>
          <w:tab w:val="left" w:pos="840"/>
        </w:tabs>
        <w:ind w:left="420" w:firstLine="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11"/>
  </w:num>
  <w:num w:numId="4">
    <w:abstractNumId w:val="12"/>
  </w:num>
  <w:num w:numId="5">
    <w:abstractNumId w:val="3"/>
  </w:num>
  <w:num w:numId="6">
    <w:abstractNumId w:val="4"/>
  </w:num>
  <w:num w:numId="7">
    <w:abstractNumId w:val="2"/>
  </w:num>
  <w:num w:numId="8">
    <w:abstractNumId w:val="1"/>
  </w:num>
  <w:num w:numId="9">
    <w:abstractNumId w:val="9"/>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3YWVlZTk3NjZkY2JmZDU1NTg4YWNhMDMyYjNhNTMifQ=="/>
  </w:docVars>
  <w:rsids>
    <w:rsidRoot w:val="00247DD7"/>
    <w:rsid w:val="00000D08"/>
    <w:rsid w:val="000025DF"/>
    <w:rsid w:val="00010636"/>
    <w:rsid w:val="00042A2E"/>
    <w:rsid w:val="00042DAA"/>
    <w:rsid w:val="00075B72"/>
    <w:rsid w:val="00087C73"/>
    <w:rsid w:val="00097EFE"/>
    <w:rsid w:val="000A2046"/>
    <w:rsid w:val="000C187B"/>
    <w:rsid w:val="000F123C"/>
    <w:rsid w:val="00114C27"/>
    <w:rsid w:val="00130D0A"/>
    <w:rsid w:val="001379A9"/>
    <w:rsid w:val="00180852"/>
    <w:rsid w:val="001A6848"/>
    <w:rsid w:val="001B66FF"/>
    <w:rsid w:val="001C5472"/>
    <w:rsid w:val="001D3182"/>
    <w:rsid w:val="001F42A4"/>
    <w:rsid w:val="002022C4"/>
    <w:rsid w:val="00206B5E"/>
    <w:rsid w:val="00211033"/>
    <w:rsid w:val="00213266"/>
    <w:rsid w:val="00221455"/>
    <w:rsid w:val="002251C1"/>
    <w:rsid w:val="00247DD7"/>
    <w:rsid w:val="003623FF"/>
    <w:rsid w:val="003710C6"/>
    <w:rsid w:val="003732B1"/>
    <w:rsid w:val="00376113"/>
    <w:rsid w:val="00383C72"/>
    <w:rsid w:val="00390697"/>
    <w:rsid w:val="003957C1"/>
    <w:rsid w:val="003B4F1A"/>
    <w:rsid w:val="003C194F"/>
    <w:rsid w:val="003C1C12"/>
    <w:rsid w:val="003E6732"/>
    <w:rsid w:val="003F134B"/>
    <w:rsid w:val="004476E6"/>
    <w:rsid w:val="004F2BE1"/>
    <w:rsid w:val="004F72EA"/>
    <w:rsid w:val="00504BD6"/>
    <w:rsid w:val="00511452"/>
    <w:rsid w:val="00525D29"/>
    <w:rsid w:val="00592C4F"/>
    <w:rsid w:val="005B6BEB"/>
    <w:rsid w:val="005C0908"/>
    <w:rsid w:val="005D6995"/>
    <w:rsid w:val="006276C7"/>
    <w:rsid w:val="006362C8"/>
    <w:rsid w:val="00646BB6"/>
    <w:rsid w:val="00650885"/>
    <w:rsid w:val="00671872"/>
    <w:rsid w:val="0067345D"/>
    <w:rsid w:val="00676155"/>
    <w:rsid w:val="006B18D2"/>
    <w:rsid w:val="006E203B"/>
    <w:rsid w:val="006F4941"/>
    <w:rsid w:val="00722998"/>
    <w:rsid w:val="007B6840"/>
    <w:rsid w:val="007E3C13"/>
    <w:rsid w:val="007F5954"/>
    <w:rsid w:val="00805961"/>
    <w:rsid w:val="00857F10"/>
    <w:rsid w:val="00897BC9"/>
    <w:rsid w:val="008A114B"/>
    <w:rsid w:val="008C7E37"/>
    <w:rsid w:val="008D0F81"/>
    <w:rsid w:val="008F73C8"/>
    <w:rsid w:val="00906562"/>
    <w:rsid w:val="00972941"/>
    <w:rsid w:val="009C46C2"/>
    <w:rsid w:val="009C4923"/>
    <w:rsid w:val="00A168F7"/>
    <w:rsid w:val="00A35600"/>
    <w:rsid w:val="00A35EAE"/>
    <w:rsid w:val="00A45CB2"/>
    <w:rsid w:val="00A61911"/>
    <w:rsid w:val="00B42388"/>
    <w:rsid w:val="00B53CCA"/>
    <w:rsid w:val="00B672F9"/>
    <w:rsid w:val="00B7627D"/>
    <w:rsid w:val="00BA1490"/>
    <w:rsid w:val="00BD7AA4"/>
    <w:rsid w:val="00C11004"/>
    <w:rsid w:val="00C222C7"/>
    <w:rsid w:val="00C648B8"/>
    <w:rsid w:val="00C70642"/>
    <w:rsid w:val="00C80D58"/>
    <w:rsid w:val="00CB1960"/>
    <w:rsid w:val="00CC2F12"/>
    <w:rsid w:val="00CD7575"/>
    <w:rsid w:val="00CE4728"/>
    <w:rsid w:val="00CF13E4"/>
    <w:rsid w:val="00D12090"/>
    <w:rsid w:val="00D63E68"/>
    <w:rsid w:val="00D812B5"/>
    <w:rsid w:val="00D84E60"/>
    <w:rsid w:val="00DC240A"/>
    <w:rsid w:val="00DC3E47"/>
    <w:rsid w:val="00EC1BAC"/>
    <w:rsid w:val="00EE0E50"/>
    <w:rsid w:val="00F2611B"/>
    <w:rsid w:val="00F268F4"/>
    <w:rsid w:val="00F53FED"/>
    <w:rsid w:val="00F62BBA"/>
    <w:rsid w:val="00F74A1E"/>
    <w:rsid w:val="00F82425"/>
    <w:rsid w:val="00F86B2A"/>
    <w:rsid w:val="00F907EB"/>
    <w:rsid w:val="00FE246F"/>
    <w:rsid w:val="01BE31C4"/>
    <w:rsid w:val="072559B2"/>
    <w:rsid w:val="09145E68"/>
    <w:rsid w:val="0CB3377E"/>
    <w:rsid w:val="19E62A14"/>
    <w:rsid w:val="1A7D43F5"/>
    <w:rsid w:val="1AFA56BC"/>
    <w:rsid w:val="1DC15A77"/>
    <w:rsid w:val="222D2B49"/>
    <w:rsid w:val="247114A9"/>
    <w:rsid w:val="25037E29"/>
    <w:rsid w:val="279B10D2"/>
    <w:rsid w:val="282E11F8"/>
    <w:rsid w:val="29F633D2"/>
    <w:rsid w:val="2C7C5BE6"/>
    <w:rsid w:val="2EBE3FFE"/>
    <w:rsid w:val="302224A4"/>
    <w:rsid w:val="33B3384F"/>
    <w:rsid w:val="3A001149"/>
    <w:rsid w:val="3FA972EA"/>
    <w:rsid w:val="4284094E"/>
    <w:rsid w:val="43EC451E"/>
    <w:rsid w:val="46833A81"/>
    <w:rsid w:val="47E34E85"/>
    <w:rsid w:val="48756CEC"/>
    <w:rsid w:val="4ADC6187"/>
    <w:rsid w:val="4FDD3460"/>
    <w:rsid w:val="53B72532"/>
    <w:rsid w:val="5440350B"/>
    <w:rsid w:val="585849DE"/>
    <w:rsid w:val="5BBD23D4"/>
    <w:rsid w:val="668545BD"/>
    <w:rsid w:val="68DF711F"/>
    <w:rsid w:val="6A7B666D"/>
    <w:rsid w:val="6A80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qFormat/>
    <w:uiPriority w:val="99"/>
    <w:rPr>
      <w:color w:val="0000FF"/>
      <w:u w:val="single"/>
    </w:rPr>
  </w:style>
  <w:style w:type="character" w:customStyle="1" w:styleId="10">
    <w:name w:val="页脚 Char"/>
    <w:link w:val="4"/>
    <w:semiHidden/>
    <w:qFormat/>
    <w:uiPriority w:val="0"/>
    <w:rPr>
      <w:kern w:val="2"/>
      <w:sz w:val="18"/>
      <w:szCs w:val="18"/>
    </w:rPr>
  </w:style>
  <w:style w:type="character" w:customStyle="1" w:styleId="11">
    <w:name w:val="页眉 Char"/>
    <w:link w:val="5"/>
    <w:semiHidden/>
    <w:qFormat/>
    <w:uiPriority w:val="0"/>
    <w:rPr>
      <w:kern w:val="2"/>
      <w:sz w:val="18"/>
      <w:szCs w:val="18"/>
    </w:rPr>
  </w:style>
  <w:style w:type="paragraph" w:customStyle="1" w:styleId="12">
    <w:name w:val="普通(网站)1"/>
    <w:basedOn w:val="1"/>
    <w:qFormat/>
    <w:uiPriority w:val="0"/>
    <w:pPr>
      <w:widowControl/>
      <w:spacing w:before="100" w:beforeAutospacing="1" w:after="100" w:afterAutospacing="1"/>
      <w:jc w:val="left"/>
    </w:pPr>
    <w:rPr>
      <w:rFonts w:ascii="宋体" w:hAnsi="宋体"/>
      <w:color w:val="333333"/>
      <w:kern w:val="0"/>
      <w:sz w:val="24"/>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2886</Words>
  <Characters>2955</Characters>
  <Lines>21</Lines>
  <Paragraphs>6</Paragraphs>
  <TotalTime>1</TotalTime>
  <ScaleCrop>false</ScaleCrop>
  <LinksUpToDate>false</LinksUpToDate>
  <CharactersWithSpaces>2959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2021-01-07T05:36:00Z</dcterms:created>
  <dc:creator>Lenovo</dc:creator>
  <cp:lastModifiedBy>Administrator</cp:lastModifiedBy>
  <cp:lastPrinted>2411-12-30T00:00:00Z</cp:lastPrinted>
  <dcterms:modified xsi:type="dcterms:W3CDTF">2022-11-23T07:57:13Z</dcterms:modified>
  <dc:title>基于素质的人才甄选技术</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(2)7o1YNuUI6UZVplZvZw1JhdFE97sCaqllg3Tnw07mWvgOnesNL80SDYGv8iclYkOkHREqlcEW
Kqp9eDmehW+2zEZ/dMYGCk6isPWwWa/nTeasfkUlK9uyWO3t77uxUleeOmMKHirACEXgYatK
6kXoBAynJVVHj2RKCBDHr2wMY5beyWM9SJqhfqv6uegXb6/BhbPTkbxwJvkUtjarMZtJNkc6
D4SxDJD38rYOAakiG04AQ</vt:lpwstr>
  </property>
  <property fmtid="{D5CDD505-2E9C-101B-9397-08002B2CF9AE}" pid="3" name="_ms_pID_7253431">
    <vt:lpwstr>L2UKe7VI26lJSkaw7uXa5C/UsfVObanErWf85FNYS/pbQgn1BnZ
gIvG/cTWffHhe3SCUYZzWNKgKxvnNRfHvhoOH003NfoUzY3QqmDaZaOhte+V6usJzfm/KNcB
KBFSG1vfxDynwUknoYSOaBQc9Q+ibJvLRPR58KMa/McgVw==</vt:lpwstr>
  </property>
  <property fmtid="{D5CDD505-2E9C-101B-9397-08002B2CF9AE}" pid="4" name="KSOProductBuildVer">
    <vt:lpwstr>2052-11.1.0.12763</vt:lpwstr>
  </property>
  <property fmtid="{D5CDD505-2E9C-101B-9397-08002B2CF9AE}" pid="5" name="sflag">
    <vt:lpwstr>1319598693</vt:lpwstr>
  </property>
  <property fmtid="{D5CDD505-2E9C-101B-9397-08002B2CF9AE}" pid="6" name="ICV">
    <vt:lpwstr>178895122E344CDE84B0541C07E4598B</vt:lpwstr>
  </property>
</Properties>
</file>