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eastAsiaTheme="minorEastAsia" w:cstheme="minorEastAsia"/>
          <w:b/>
          <w:bCs/>
          <w:color w:val="000000"/>
          <w:sz w:val="36"/>
          <w:szCs w:val="36"/>
        </w:rPr>
      </w:pPr>
      <w:r>
        <w:rPr>
          <w:rFonts w:hint="eastAsia" w:asciiTheme="minorEastAsia" w:hAnsiTheme="minorEastAsia" w:eastAsiaTheme="minorEastAsia" w:cstheme="minorEastAsia"/>
          <w:b/>
          <w:bCs/>
          <w:color w:val="000000"/>
          <w:sz w:val="36"/>
          <w:szCs w:val="36"/>
        </w:rPr>
        <w:t>向华为学习集成产品开发体系（IPD）</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课程费用：4200元/人（包含课程资料、学习费、茶歇等，不含午餐及住宿）</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举办单位：深圳市中企智汇企业管理咨询有限公司</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课程地点：深圳</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课程时间：11月17-18日</w:t>
      </w: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课程背景：</w:t>
      </w:r>
    </w:p>
    <w:p>
      <w:pPr>
        <w:adjustRightInd w:val="0"/>
        <w:snapToGrid w:val="0"/>
        <w:spacing w:before="156" w:beforeLines="50"/>
        <w:ind w:firstLine="420" w:firstLineChars="200"/>
        <w:rPr>
          <w:rFonts w:ascii="微软雅黑" w:hAnsi="微软雅黑" w:eastAsia="微软雅黑"/>
          <w:szCs w:val="21"/>
        </w:rPr>
      </w:pPr>
      <w:r>
        <w:rPr>
          <w:rFonts w:hint="eastAsia" w:ascii="微软雅黑" w:hAnsi="微软雅黑" w:eastAsia="微软雅黑"/>
          <w:szCs w:val="21"/>
        </w:rPr>
        <w:t>集成产品开发（IPD， Integrated Product Development）是在PACE（Product And Cycle Excellence，产品周期优化法）等研发管理模式的基础上，经过IBM等领先企业的实践，总结出来的一套先进、成熟的产品及研发管理思想、模式和方法。在国内，华为从1998年开始率先引进IPD，历经5年全面推行IPD体系，并经过15年优化完善，极大地推动了华为业务发展。</w:t>
      </w:r>
    </w:p>
    <w:p>
      <w:pPr>
        <w:adjustRightInd w:val="0"/>
        <w:snapToGrid w:val="0"/>
        <w:spacing w:before="156" w:beforeLines="50"/>
        <w:ind w:firstLine="420" w:firstLineChars="200"/>
        <w:rPr>
          <w:rFonts w:ascii="微软雅黑" w:hAnsi="微软雅黑" w:eastAsia="微软雅黑"/>
          <w:szCs w:val="21"/>
        </w:rPr>
      </w:pPr>
      <w:r>
        <w:rPr>
          <w:rFonts w:hint="eastAsia" w:ascii="微软雅黑" w:hAnsi="微软雅黑" w:eastAsia="微软雅黑"/>
          <w:szCs w:val="21"/>
        </w:rPr>
        <w:t>IPD体系的内涵比较丰富，主要涉及到产品战略与规划、产品研发流程、产品需求管理、技术管理等关键性业务，同时也包含了相应的组织支撑和跨部门团队。对致力于通过引入IPD体系提升研发绩效的企业，一</w:t>
      </w:r>
      <w:r>
        <w:rPr>
          <w:rFonts w:hint="eastAsia" w:ascii="微软雅黑" w:hAnsi="微软雅黑" w:eastAsia="微软雅黑" w:cs="宋体"/>
          <w:b/>
          <w:kern w:val="0"/>
          <w:szCs w:val="21"/>
        </w:rPr>
        <w:t>方面需要对IPD体系具有清晰准确的理解，另一方面需要采取有效的变革管理机制，让IPD体系在企业落实并产生理想的收益</w:t>
      </w:r>
      <w:r>
        <w:rPr>
          <w:rFonts w:hint="eastAsia" w:ascii="微软雅黑" w:hAnsi="微软雅黑" w:eastAsia="微软雅黑"/>
          <w:szCs w:val="21"/>
        </w:rPr>
        <w:t>。</w:t>
      </w:r>
    </w:p>
    <w:p>
      <w:pPr>
        <w:adjustRightInd w:val="0"/>
        <w:snapToGrid w:val="0"/>
        <w:spacing w:before="156" w:beforeLines="50"/>
        <w:ind w:firstLine="420" w:firstLineChars="200"/>
        <w:rPr>
          <w:rFonts w:ascii="微软雅黑" w:hAnsi="微软雅黑" w:eastAsia="微软雅黑"/>
          <w:szCs w:val="21"/>
        </w:rPr>
      </w:pPr>
      <w:r>
        <w:rPr>
          <w:rFonts w:hint="eastAsia" w:ascii="微软雅黑" w:hAnsi="微软雅黑" w:eastAsia="微软雅黑"/>
          <w:szCs w:val="21"/>
        </w:rPr>
        <w:t>本课程的主讲老师靖爽先生具有长期的研发管理咨询和培训经验，帮助近三十家企业成功的导入了IPD体系，并收获了理想的改进效果，其专著《</w:t>
      </w:r>
      <w:r>
        <w:rPr>
          <w:rFonts w:hint="eastAsia" w:ascii="微软雅黑" w:hAnsi="微软雅黑" w:eastAsia="微软雅黑" w:cs="宋体"/>
          <w:b/>
          <w:kern w:val="0"/>
          <w:szCs w:val="21"/>
        </w:rPr>
        <w:t>研发体系改进之道</w:t>
      </w:r>
      <w:r>
        <w:rPr>
          <w:rFonts w:hint="eastAsia" w:ascii="微软雅黑" w:hAnsi="微软雅黑" w:eastAsia="微软雅黑"/>
          <w:szCs w:val="21"/>
        </w:rPr>
        <w:t>》就是这方面的经验总结。本课程重点讲解了IPD</w:t>
      </w:r>
      <w:r>
        <w:rPr>
          <w:rFonts w:ascii="微软雅黑" w:hAnsi="微软雅黑" w:eastAsia="微软雅黑"/>
          <w:szCs w:val="21"/>
        </w:rPr>
        <w:t xml:space="preserve"> </w:t>
      </w:r>
      <w:r>
        <w:rPr>
          <w:rFonts w:hint="eastAsia" w:ascii="微软雅黑" w:hAnsi="微软雅黑" w:eastAsia="微软雅黑"/>
          <w:szCs w:val="21"/>
        </w:rPr>
        <w:t>的核心内容，并通过案例分析了企业实施IPD变革的实战案例。</w:t>
      </w:r>
    </w:p>
    <w:p>
      <w:pPr>
        <w:spacing w:line="460" w:lineRule="exact"/>
        <w:jc w:val="left"/>
        <w:rPr>
          <w:rFonts w:hint="eastAsia" w:ascii="思源黑体 CN Heavy" w:hAnsi="思源黑体 CN Heavy" w:eastAsia="思源黑体 CN Heavy"/>
          <w:b/>
          <w:color w:val="244061"/>
          <w:sz w:val="24"/>
          <w:szCs w:val="24"/>
        </w:rPr>
      </w:pP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课程收益：</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理解IPD的先进理念和产品开发的关键成功要素，建立市场导向、对客户闭环管理的产品开发管理体系框架，并正确理解各要素之间的关系；</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掌握IPD模式和思想精髓；</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掌握IPD流程的结构化思想和具体实践方法；</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掌握IPD体系中战略管理与产品规划的优秀实践；</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掌握IPD体系中产品包需求的涵义和需求管理的优秀实践；</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理解支撑IPD流程运作的各种组织平台的优缺点及其演变过程，掌握如何根据企业实际情况构建支撑IPD的高效组织平台；</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掌握如何在产品开发过程中实现研发部门与周边部门（如：市场、销售、售后服务、采购、生产等）之间的并行开发和有效协同,明确各部门之间的角色和职责分工；</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掌握建立IPD业务决策评审机制的意义、内容、形式和原则；</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掌握设置IPD技术评审点的意义、内容、机制和要素；</w:t>
      </w:r>
    </w:p>
    <w:p>
      <w:pPr>
        <w:numPr>
          <w:ilvl w:val="0"/>
          <w:numId w:val="1"/>
        </w:numPr>
        <w:snapToGrid w:val="0"/>
        <w:spacing w:before="156" w:beforeLines="50"/>
        <w:rPr>
          <w:rFonts w:ascii="微软雅黑" w:hAnsi="微软雅黑" w:eastAsia="微软雅黑"/>
          <w:kern w:val="0"/>
          <w:szCs w:val="21"/>
        </w:rPr>
      </w:pPr>
      <w:r>
        <w:rPr>
          <w:rFonts w:hint="eastAsia" w:ascii="微软雅黑" w:hAnsi="微软雅黑" w:eastAsia="微软雅黑"/>
          <w:kern w:val="0"/>
          <w:szCs w:val="21"/>
        </w:rPr>
        <w:t>理解如何成功推行实施IPD流程体系的过程、方法和关键要素；正确理解变革管理的具体方法。</w:t>
      </w:r>
    </w:p>
    <w:p>
      <w:pPr>
        <w:spacing w:line="460" w:lineRule="exact"/>
        <w:jc w:val="left"/>
        <w:rPr>
          <w:rFonts w:hint="eastAsia" w:ascii="思源黑体 CN Heavy" w:hAnsi="思源黑体 CN Heavy" w:eastAsia="思源黑体 CN Heavy"/>
          <w:b/>
          <w:color w:val="244061"/>
          <w:sz w:val="24"/>
          <w:szCs w:val="24"/>
        </w:rPr>
      </w:pP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课程时间：</w:t>
      </w:r>
      <w:r>
        <w:rPr>
          <w:rFonts w:ascii="微软雅黑" w:hAnsi="微软雅黑" w:eastAsia="微软雅黑"/>
          <w:kern w:val="0"/>
          <w:szCs w:val="21"/>
        </w:rPr>
        <w:t>系统学习</w:t>
      </w:r>
      <w:r>
        <w:rPr>
          <w:rFonts w:hint="eastAsia" w:ascii="微软雅黑" w:hAnsi="微软雅黑" w:eastAsia="微软雅黑"/>
          <w:kern w:val="0"/>
          <w:szCs w:val="21"/>
        </w:rPr>
        <w:t>2</w:t>
      </w:r>
      <w:r>
        <w:rPr>
          <w:rFonts w:ascii="微软雅黑" w:hAnsi="微软雅黑" w:eastAsia="微软雅黑"/>
          <w:kern w:val="0"/>
          <w:szCs w:val="21"/>
        </w:rPr>
        <w:t>天</w:t>
      </w:r>
      <w:r>
        <w:rPr>
          <w:rFonts w:hint="eastAsia" w:ascii="微软雅黑" w:hAnsi="微软雅黑" w:eastAsia="微软雅黑"/>
          <w:kern w:val="0"/>
          <w:szCs w:val="21"/>
        </w:rPr>
        <w:t>（12小时）</w:t>
      </w: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课程对象：</w:t>
      </w:r>
    </w:p>
    <w:p>
      <w:pPr>
        <w:numPr>
          <w:ilvl w:val="0"/>
          <w:numId w:val="2"/>
        </w:numPr>
        <w:snapToGrid w:val="0"/>
        <w:ind w:left="851" w:hanging="425"/>
        <w:rPr>
          <w:rFonts w:ascii="微软雅黑" w:hAnsi="微软雅黑" w:eastAsia="微软雅黑"/>
          <w:kern w:val="0"/>
          <w:szCs w:val="21"/>
        </w:rPr>
      </w:pPr>
      <w:r>
        <w:rPr>
          <w:rFonts w:hint="eastAsia" w:ascii="微软雅黑" w:hAnsi="微软雅黑" w:eastAsia="微软雅黑"/>
          <w:kern w:val="0"/>
          <w:szCs w:val="21"/>
        </w:rPr>
        <w:t>企业CEO/总经理、研发总经理/副总、技术总监/总工、产品总监</w:t>
      </w:r>
    </w:p>
    <w:p>
      <w:pPr>
        <w:numPr>
          <w:ilvl w:val="0"/>
          <w:numId w:val="2"/>
        </w:numPr>
        <w:snapToGrid w:val="0"/>
        <w:ind w:left="851" w:hanging="425"/>
        <w:rPr>
          <w:rFonts w:ascii="微软雅黑" w:hAnsi="微软雅黑" w:eastAsia="微软雅黑"/>
          <w:kern w:val="0"/>
          <w:szCs w:val="21"/>
        </w:rPr>
      </w:pPr>
      <w:r>
        <w:rPr>
          <w:rFonts w:hint="eastAsia" w:ascii="微软雅黑" w:hAnsi="微软雅黑" w:eastAsia="微软雅黑"/>
          <w:kern w:val="0"/>
          <w:szCs w:val="21"/>
        </w:rPr>
        <w:t>研发管理部/技术管理部经理、研发职能部门主管</w:t>
      </w:r>
    </w:p>
    <w:p>
      <w:pPr>
        <w:numPr>
          <w:ilvl w:val="0"/>
          <w:numId w:val="2"/>
        </w:numPr>
        <w:snapToGrid w:val="0"/>
        <w:ind w:left="851" w:hanging="425"/>
        <w:rPr>
          <w:rFonts w:ascii="微软雅黑" w:hAnsi="微软雅黑" w:eastAsia="微软雅黑"/>
          <w:kern w:val="0"/>
          <w:szCs w:val="21"/>
        </w:rPr>
      </w:pPr>
      <w:r>
        <w:rPr>
          <w:rFonts w:hint="eastAsia" w:ascii="微软雅黑" w:hAnsi="微软雅黑" w:eastAsia="微软雅黑"/>
          <w:kern w:val="0"/>
          <w:szCs w:val="21"/>
        </w:rPr>
        <w:t>产品经理/项目经理、流程管理部/质量管理部经理、质量保证（PQA）人员</w:t>
      </w:r>
    </w:p>
    <w:p>
      <w:pPr>
        <w:spacing w:line="460" w:lineRule="exact"/>
        <w:jc w:val="left"/>
        <w:rPr>
          <w:rFonts w:hint="eastAsia" w:ascii="思源黑体 CN Heavy" w:hAnsi="思源黑体 CN Heavy" w:eastAsia="思源黑体 CN Heavy"/>
          <w:b/>
          <w:color w:val="244061"/>
          <w:sz w:val="24"/>
          <w:szCs w:val="24"/>
        </w:rPr>
      </w:pPr>
    </w:p>
    <w:p>
      <w:pPr>
        <w:spacing w:line="460" w:lineRule="exact"/>
        <w:jc w:val="left"/>
        <w:rPr>
          <w:rFonts w:ascii="思源黑体 CN Heavy" w:hAnsi="思源黑体 CN Heavy" w:eastAsia="思源黑体 CN Heavy"/>
          <w:color w:val="000000" w:themeColor="text1"/>
          <w:sz w:val="24"/>
          <w:szCs w:val="24"/>
        </w:rPr>
      </w:pPr>
      <w:r>
        <w:rPr>
          <w:rFonts w:hint="eastAsia" w:ascii="思源黑体 CN Heavy" w:hAnsi="思源黑体 CN Heavy" w:eastAsia="思源黑体 CN Heavy"/>
          <w:b/>
          <w:color w:val="244061"/>
          <w:sz w:val="24"/>
          <w:szCs w:val="24"/>
        </w:rPr>
        <w:t>授课方式：</w:t>
      </w:r>
      <w:r>
        <w:rPr>
          <w:rFonts w:ascii="微软雅黑" w:hAnsi="微软雅黑" w:eastAsia="微软雅黑"/>
          <w:szCs w:val="21"/>
        </w:rPr>
        <w:t>理论讲解+案例分析+</w:t>
      </w:r>
      <w:r>
        <w:rPr>
          <w:rFonts w:hint="eastAsia" w:ascii="微软雅黑" w:hAnsi="微软雅黑" w:eastAsia="微软雅黑"/>
          <w:szCs w:val="21"/>
        </w:rPr>
        <w:t>课堂练习+</w:t>
      </w:r>
      <w:r>
        <w:rPr>
          <w:rFonts w:ascii="微软雅黑" w:hAnsi="微软雅黑" w:eastAsia="微软雅黑"/>
          <w:szCs w:val="21"/>
        </w:rPr>
        <w:t>实战演练+小组研讨</w:t>
      </w:r>
      <w:r>
        <w:rPr>
          <w:rFonts w:hint="eastAsia" w:ascii="微软雅黑" w:hAnsi="微软雅黑" w:eastAsia="微软雅黑"/>
          <w:szCs w:val="21"/>
        </w:rPr>
        <w:t>+</w:t>
      </w:r>
      <w:r>
        <w:rPr>
          <w:rFonts w:ascii="微软雅黑" w:hAnsi="微软雅黑" w:eastAsia="微软雅黑"/>
          <w:szCs w:val="21"/>
        </w:rPr>
        <w:t>互动答疑</w:t>
      </w:r>
    </w:p>
    <w:p>
      <w:pPr>
        <w:tabs>
          <w:tab w:val="left" w:pos="600"/>
        </w:tabs>
        <w:spacing w:line="460" w:lineRule="exact"/>
        <w:jc w:val="left"/>
        <w:rPr>
          <w:rFonts w:ascii="思源黑体 CN Heavy" w:hAnsi="思源黑体 CN Heavy" w:eastAsia="思源黑体 CN Heavy"/>
          <w:b/>
          <w:color w:val="244061"/>
          <w:sz w:val="24"/>
          <w:szCs w:val="24"/>
        </w:rPr>
      </w:pPr>
    </w:p>
    <w:p>
      <w:pPr>
        <w:tabs>
          <w:tab w:val="left" w:pos="600"/>
        </w:tabs>
        <w:spacing w:line="460" w:lineRule="exact"/>
        <w:jc w:val="left"/>
        <w:rPr>
          <w:rFonts w:ascii="思源黑体 CN Heavy" w:hAnsi="思源黑体 CN Heavy" w:eastAsia="思源黑体 CN Heavy"/>
          <w:b/>
          <w:color w:val="244061"/>
          <w:sz w:val="24"/>
          <w:szCs w:val="24"/>
        </w:rPr>
      </w:pPr>
    </w:p>
    <w:p>
      <w:pPr>
        <w:tabs>
          <w:tab w:val="left" w:pos="600"/>
        </w:tabs>
        <w:spacing w:line="460" w:lineRule="exact"/>
        <w:jc w:val="left"/>
        <w:rPr>
          <w:rFonts w:ascii="思源黑体 CN Heavy" w:hAnsi="思源黑体 CN Heavy" w:eastAsia="思源黑体 CN Heavy"/>
          <w:b/>
          <w:color w:val="244061"/>
          <w:sz w:val="24"/>
          <w:szCs w:val="24"/>
        </w:rPr>
      </w:pPr>
    </w:p>
    <w:p>
      <w:pPr>
        <w:tabs>
          <w:tab w:val="left" w:pos="600"/>
        </w:tabs>
        <w:spacing w:line="460" w:lineRule="exact"/>
        <w:jc w:val="left"/>
        <w:rPr>
          <w:rFonts w:ascii="思源黑体 CN Heavy" w:hAnsi="思源黑体 CN Heavy" w:eastAsia="思源黑体 CN Heavy"/>
          <w:b/>
          <w:color w:val="244061"/>
          <w:sz w:val="24"/>
          <w:szCs w:val="24"/>
        </w:rPr>
      </w:pPr>
    </w:p>
    <w:p>
      <w:pPr>
        <w:spacing w:line="460" w:lineRule="exact"/>
        <w:jc w:val="center"/>
        <w:rPr>
          <w:rFonts w:ascii="思源黑体 CN Heavy" w:hAnsi="思源黑体 CN Heavy" w:eastAsia="思源黑体 CN Heavy"/>
          <w:b/>
          <w:color w:val="244061"/>
          <w:sz w:val="32"/>
          <w:szCs w:val="24"/>
        </w:rPr>
      </w:pPr>
      <w:r>
        <w:rPr>
          <w:rFonts w:hint="eastAsia" w:ascii="思源黑体 CN Heavy" w:hAnsi="思源黑体 CN Heavy" w:eastAsia="思源黑体 CN Heavy"/>
          <w:b/>
          <w:color w:val="244061"/>
          <w:sz w:val="32"/>
          <w:szCs w:val="24"/>
        </w:rPr>
        <w:t>课程大纲</w:t>
      </w:r>
    </w:p>
    <w:p>
      <w:pPr>
        <w:pStyle w:val="2"/>
        <w:snapToGrid w:val="0"/>
        <w:spacing w:line="240" w:lineRule="auto"/>
        <w:rPr>
          <w:rFonts w:ascii="微软雅黑" w:hAnsi="微软雅黑" w:eastAsia="微软雅黑"/>
        </w:rPr>
      </w:pPr>
      <w:r>
        <w:rPr>
          <w:rFonts w:hint="eastAsia" w:ascii="微软雅黑" w:hAnsi="微软雅黑" w:eastAsia="微软雅黑"/>
        </w:rPr>
        <w:t>第一单元 IPD（集成产品开发）体系框架</w:t>
      </w:r>
    </w:p>
    <w:p>
      <w:pPr>
        <w:numPr>
          <w:ilvl w:val="0"/>
          <w:numId w:val="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中国企业在产品研发领域的现状、挑战及问题</w:t>
      </w:r>
    </w:p>
    <w:p>
      <w:pPr>
        <w:numPr>
          <w:ilvl w:val="0"/>
          <w:numId w:val="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研发管理需要系统性的解决方案</w:t>
      </w:r>
    </w:p>
    <w:p>
      <w:pPr>
        <w:numPr>
          <w:ilvl w:val="0"/>
          <w:numId w:val="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研发管理体系的演进</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研发管理体系的级别</w:t>
      </w:r>
    </w:p>
    <w:p>
      <w:pPr>
        <w:numPr>
          <w:ilvl w:val="0"/>
          <w:numId w:val="5"/>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研发管理体系的5个级别</w:t>
      </w:r>
    </w:p>
    <w:p>
      <w:pPr>
        <w:numPr>
          <w:ilvl w:val="0"/>
          <w:numId w:val="5"/>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级别1：非正式的管理</w:t>
      </w:r>
    </w:p>
    <w:p>
      <w:pPr>
        <w:numPr>
          <w:ilvl w:val="0"/>
          <w:numId w:val="5"/>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级别2：优秀的功能</w:t>
      </w:r>
    </w:p>
    <w:p>
      <w:pPr>
        <w:numPr>
          <w:ilvl w:val="0"/>
          <w:numId w:val="5"/>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级别3：优秀的项目</w:t>
      </w:r>
    </w:p>
    <w:p>
      <w:pPr>
        <w:numPr>
          <w:ilvl w:val="0"/>
          <w:numId w:val="5"/>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级别4：优秀的组合</w:t>
      </w:r>
    </w:p>
    <w:p>
      <w:pPr>
        <w:numPr>
          <w:ilvl w:val="0"/>
          <w:numId w:val="5"/>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级别5：世界级的研发能力</w:t>
      </w:r>
    </w:p>
    <w:p>
      <w:pPr>
        <w:numPr>
          <w:ilvl w:val="0"/>
          <w:numId w:val="4"/>
        </w:numPr>
        <w:tabs>
          <w:tab w:val="left" w:pos="900"/>
        </w:tabs>
        <w:adjustRightInd w:val="0"/>
        <w:snapToGrid w:val="0"/>
        <w:jc w:val="left"/>
        <w:rPr>
          <w:rFonts w:ascii="微软雅黑" w:hAnsi="微软雅黑" w:eastAsia="微软雅黑"/>
          <w:sz w:val="20"/>
          <w:szCs w:val="20"/>
        </w:rPr>
      </w:pPr>
      <w:bookmarkStart w:id="0" w:name="_Hlk26948703"/>
      <w:r>
        <w:rPr>
          <w:rFonts w:hint="eastAsia" w:ascii="微软雅黑" w:hAnsi="微软雅黑" w:eastAsia="微软雅黑"/>
          <w:sz w:val="20"/>
          <w:szCs w:val="20"/>
        </w:rPr>
        <w:t>各级别研发管理体系</w:t>
      </w:r>
      <w:bookmarkEnd w:id="0"/>
      <w:r>
        <w:rPr>
          <w:rFonts w:hint="eastAsia" w:ascii="微软雅黑" w:hAnsi="微软雅黑" w:eastAsia="微软雅黑"/>
          <w:sz w:val="20"/>
          <w:szCs w:val="20"/>
        </w:rPr>
        <w:t>的特征</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研讨：贵公司产品研发处于何级别？存在的典型问题是什么？</w:t>
      </w:r>
    </w:p>
    <w:p>
      <w:pPr>
        <w:numPr>
          <w:ilvl w:val="0"/>
          <w:numId w:val="3"/>
        </w:numPr>
        <w:tabs>
          <w:tab w:val="clear" w:pos="420"/>
        </w:tabs>
        <w:snapToGrid w:val="0"/>
        <w:rPr>
          <w:rFonts w:ascii="微软雅黑" w:hAnsi="微软雅黑" w:eastAsia="微软雅黑" w:cs="宋体"/>
          <w:b/>
          <w:kern w:val="0"/>
          <w:szCs w:val="21"/>
        </w:rPr>
      </w:pPr>
      <w:r>
        <w:rPr>
          <w:rFonts w:hint="eastAsia" w:ascii="微软雅黑" w:hAnsi="微软雅黑" w:eastAsia="微软雅黑" w:cs="宋体"/>
          <w:b/>
          <w:kern w:val="0"/>
          <w:szCs w:val="21"/>
        </w:rPr>
        <w:t>IPD体系的内涵与整体框架</w:t>
      </w:r>
    </w:p>
    <w:p>
      <w:pPr>
        <w:numPr>
          <w:ilvl w:val="0"/>
          <w:numId w:val="3"/>
        </w:numPr>
        <w:tabs>
          <w:tab w:val="clear" w:pos="420"/>
        </w:tabs>
        <w:snapToGrid w:val="0"/>
        <w:rPr>
          <w:rFonts w:ascii="微软雅黑" w:hAnsi="微软雅黑" w:eastAsia="微软雅黑" w:cs="宋体"/>
          <w:b/>
          <w:kern w:val="0"/>
          <w:szCs w:val="21"/>
        </w:rPr>
      </w:pPr>
      <w:r>
        <w:rPr>
          <w:rFonts w:hint="eastAsia" w:ascii="微软雅黑" w:hAnsi="微软雅黑" w:eastAsia="微软雅黑" w:cs="宋体"/>
          <w:b/>
          <w:kern w:val="0"/>
          <w:szCs w:val="21"/>
        </w:rPr>
        <w:t>优秀企业的IPD管理变革</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IBM的IPD之路</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IPD在华为集团的历程</w:t>
      </w:r>
    </w:p>
    <w:p>
      <w:pPr>
        <w:numPr>
          <w:ilvl w:val="0"/>
          <w:numId w:val="3"/>
        </w:numPr>
        <w:tabs>
          <w:tab w:val="clear" w:pos="420"/>
        </w:tabs>
        <w:snapToGrid w:val="0"/>
        <w:rPr>
          <w:rFonts w:ascii="微软雅黑" w:hAnsi="微软雅黑" w:eastAsia="微软雅黑" w:cs="宋体"/>
          <w:b/>
          <w:kern w:val="0"/>
          <w:szCs w:val="21"/>
        </w:rPr>
      </w:pPr>
      <w:r>
        <w:rPr>
          <w:rFonts w:hint="eastAsia" w:ascii="微软雅黑" w:hAnsi="微软雅黑" w:eastAsia="微软雅黑" w:cs="宋体"/>
          <w:b/>
          <w:kern w:val="0"/>
          <w:szCs w:val="21"/>
        </w:rPr>
        <w:t>IPD的核心思想</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产品开发是产品包的开发</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产品开发是全流程的开发</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产品开发是一项投资</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基于市场的创新</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跨部门团队</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产品开发与平台开发分离</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异步开发</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结构化的开发流程</w:t>
      </w:r>
    </w:p>
    <w:p>
      <w:pPr>
        <w:numPr>
          <w:ilvl w:val="0"/>
          <w:numId w:val="3"/>
        </w:numPr>
        <w:tabs>
          <w:tab w:val="clear" w:pos="420"/>
        </w:tabs>
        <w:snapToGrid w:val="0"/>
        <w:rPr>
          <w:rFonts w:ascii="微软雅黑" w:hAnsi="微软雅黑" w:eastAsia="微软雅黑" w:cs="宋体"/>
          <w:b/>
          <w:kern w:val="0"/>
          <w:szCs w:val="21"/>
        </w:rPr>
      </w:pPr>
      <w:r>
        <w:rPr>
          <w:rFonts w:hint="eastAsia" w:ascii="微软雅黑" w:hAnsi="微软雅黑" w:eastAsia="微软雅黑" w:cs="宋体"/>
          <w:b/>
          <w:kern w:val="0"/>
          <w:szCs w:val="21"/>
        </w:rPr>
        <w:t>IPD的整体业务框架</w:t>
      </w:r>
    </w:p>
    <w:p>
      <w:pPr>
        <w:numPr>
          <w:ilvl w:val="0"/>
          <w:numId w:val="3"/>
        </w:numPr>
        <w:tabs>
          <w:tab w:val="clear" w:pos="420"/>
        </w:tabs>
        <w:snapToGrid w:val="0"/>
        <w:rPr>
          <w:rFonts w:ascii="微软雅黑" w:hAnsi="微软雅黑" w:eastAsia="微软雅黑" w:cs="宋体"/>
          <w:b/>
          <w:kern w:val="0"/>
          <w:szCs w:val="21"/>
        </w:rPr>
      </w:pPr>
      <w:r>
        <w:rPr>
          <w:rFonts w:hint="eastAsia" w:ascii="微软雅黑" w:hAnsi="微软雅黑" w:eastAsia="微软雅黑" w:cs="宋体"/>
          <w:b/>
          <w:kern w:val="0"/>
          <w:szCs w:val="21"/>
        </w:rPr>
        <w:t>IPD实施给企业带来的典型好处</w:t>
      </w:r>
    </w:p>
    <w:p>
      <w:pPr>
        <w:pStyle w:val="2"/>
        <w:snapToGrid w:val="0"/>
        <w:spacing w:line="240" w:lineRule="auto"/>
        <w:rPr>
          <w:rFonts w:ascii="微软雅黑" w:hAnsi="微软雅黑" w:eastAsia="微软雅黑"/>
        </w:rPr>
      </w:pPr>
      <w:r>
        <w:rPr>
          <w:rFonts w:hint="eastAsia" w:ascii="微软雅黑" w:hAnsi="微软雅黑" w:eastAsia="微软雅黑"/>
        </w:rPr>
        <w:t>第二单元 战略管理与产品规划</w:t>
      </w:r>
    </w:p>
    <w:p>
      <w:pPr>
        <w:numPr>
          <w:ilvl w:val="0"/>
          <w:numId w:val="6"/>
        </w:numPr>
        <w:tabs>
          <w:tab w:val="clear" w:pos="420"/>
        </w:tabs>
        <w:snapToGrid w:val="0"/>
        <w:rPr>
          <w:rFonts w:ascii="微软雅黑" w:hAnsi="微软雅黑" w:eastAsia="微软雅黑" w:cs="宋体"/>
          <w:b/>
          <w:kern w:val="0"/>
          <w:szCs w:val="21"/>
        </w:rPr>
      </w:pPr>
      <w:r>
        <w:rPr>
          <w:rFonts w:hint="eastAsia" w:ascii="微软雅黑" w:hAnsi="微软雅黑" w:eastAsia="微软雅黑" w:cs="宋体"/>
          <w:b/>
          <w:kern w:val="0"/>
          <w:szCs w:val="21"/>
        </w:rPr>
        <w:t>战略管理</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战略管理的意义</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战略管理流程构架</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SP（战略规划）</w:t>
      </w:r>
    </w:p>
    <w:p>
      <w:pPr>
        <w:numPr>
          <w:ilvl w:val="0"/>
          <w:numId w:val="7"/>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中长期战略规划SP的目的：战略制定</w:t>
      </w:r>
    </w:p>
    <w:p>
      <w:pPr>
        <w:numPr>
          <w:ilvl w:val="0"/>
          <w:numId w:val="7"/>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价值驱动业务设计</w:t>
      </w:r>
    </w:p>
    <w:p>
      <w:pPr>
        <w:numPr>
          <w:ilvl w:val="0"/>
          <w:numId w:val="7"/>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样例：产品线SP概要目录</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BP（年度商业计划）</w:t>
      </w:r>
    </w:p>
    <w:p>
      <w:pPr>
        <w:numPr>
          <w:ilvl w:val="0"/>
          <w:numId w:val="8"/>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年度业务规划BP的目的：战略展开</w:t>
      </w:r>
    </w:p>
    <w:p>
      <w:pPr>
        <w:numPr>
          <w:ilvl w:val="0"/>
          <w:numId w:val="8"/>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样例：BP概要性目录</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战略规划(SP)和年度商业计划(BP)的关系</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产品战略的层次划分——产品战略“金字塔”</w:t>
      </w:r>
    </w:p>
    <w:p>
      <w:pPr>
        <w:numPr>
          <w:ilvl w:val="0"/>
          <w:numId w:val="9"/>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核心战略愿景</w:t>
      </w:r>
    </w:p>
    <w:p>
      <w:pPr>
        <w:numPr>
          <w:ilvl w:val="0"/>
          <w:numId w:val="9"/>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产品线战略和产品平台战略</w:t>
      </w:r>
    </w:p>
    <w:p>
      <w:pPr>
        <w:numPr>
          <w:ilvl w:val="0"/>
          <w:numId w:val="9"/>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产品线规划和产品平台规划</w:t>
      </w:r>
    </w:p>
    <w:p>
      <w:pPr>
        <w:numPr>
          <w:ilvl w:val="0"/>
          <w:numId w:val="9"/>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产品开发和平台/技术开发</w:t>
      </w:r>
    </w:p>
    <w:p>
      <w:pPr>
        <w:numPr>
          <w:ilvl w:val="0"/>
          <w:numId w:val="6"/>
        </w:numPr>
        <w:tabs>
          <w:tab w:val="clear" w:pos="420"/>
        </w:tabs>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产品规划与市场管理（MM）</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MM的概念</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MM与业务计划</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MM与IPD流程的关系</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MM六个步骤流程</w:t>
      </w:r>
    </w:p>
    <w:p>
      <w:pPr>
        <w:numPr>
          <w:ilvl w:val="0"/>
          <w:numId w:val="10"/>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理解市场</w:t>
      </w:r>
    </w:p>
    <w:p>
      <w:pPr>
        <w:numPr>
          <w:ilvl w:val="0"/>
          <w:numId w:val="10"/>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市场细分</w:t>
      </w:r>
    </w:p>
    <w:p>
      <w:pPr>
        <w:numPr>
          <w:ilvl w:val="0"/>
          <w:numId w:val="10"/>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组合分析</w:t>
      </w:r>
    </w:p>
    <w:p>
      <w:pPr>
        <w:numPr>
          <w:ilvl w:val="0"/>
          <w:numId w:val="10"/>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制定细分市场业务计划</w:t>
      </w:r>
    </w:p>
    <w:p>
      <w:pPr>
        <w:numPr>
          <w:ilvl w:val="0"/>
          <w:numId w:val="10"/>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整合及优化业务计划</w:t>
      </w:r>
    </w:p>
    <w:p>
      <w:pPr>
        <w:numPr>
          <w:ilvl w:val="0"/>
          <w:numId w:val="10"/>
        </w:numPr>
        <w:tabs>
          <w:tab w:val="left" w:pos="900"/>
        </w:tabs>
        <w:adjustRightInd w:val="0"/>
        <w:snapToGrid w:val="0"/>
        <w:jc w:val="left"/>
        <w:rPr>
          <w:rFonts w:ascii="微软雅黑" w:hAnsi="微软雅黑" w:eastAsia="微软雅黑"/>
          <w:b/>
          <w:sz w:val="18"/>
          <w:szCs w:val="18"/>
        </w:rPr>
      </w:pPr>
      <w:r>
        <w:rPr>
          <w:rFonts w:hint="eastAsia" w:ascii="微软雅黑" w:hAnsi="微软雅黑" w:eastAsia="微软雅黑"/>
          <w:b/>
          <w:sz w:val="18"/>
          <w:szCs w:val="18"/>
        </w:rPr>
        <w:t>管理业务计划并评估表现</w:t>
      </w:r>
    </w:p>
    <w:p>
      <w:pPr>
        <w:pStyle w:val="2"/>
        <w:snapToGrid w:val="0"/>
        <w:spacing w:line="240" w:lineRule="auto"/>
        <w:rPr>
          <w:rFonts w:ascii="微软雅黑" w:hAnsi="微软雅黑" w:eastAsia="微软雅黑"/>
        </w:rPr>
      </w:pPr>
      <w:r>
        <w:rPr>
          <w:rFonts w:hint="eastAsia" w:ascii="微软雅黑" w:hAnsi="微软雅黑" w:eastAsia="微软雅黑"/>
        </w:rPr>
        <w:t>第三单元 需求管理</w:t>
      </w:r>
    </w:p>
    <w:p>
      <w:pPr>
        <w:numPr>
          <w:ilvl w:val="0"/>
          <w:numId w:val="11"/>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需求管理的作用</w:t>
      </w:r>
    </w:p>
    <w:p>
      <w:pPr>
        <w:numPr>
          <w:ilvl w:val="0"/>
          <w:numId w:val="11"/>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什么是产品包需求（OR）？</w:t>
      </w:r>
    </w:p>
    <w:p>
      <w:pPr>
        <w:numPr>
          <w:ilvl w:val="0"/>
          <w:numId w:val="11"/>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产品包需求流程的重要位置</w:t>
      </w:r>
    </w:p>
    <w:p>
      <w:pPr>
        <w:numPr>
          <w:ilvl w:val="0"/>
          <w:numId w:val="11"/>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产品包需求与$APPEALS</w:t>
      </w:r>
    </w:p>
    <w:p>
      <w:pPr>
        <w:numPr>
          <w:ilvl w:val="0"/>
          <w:numId w:val="11"/>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需求分层——问题、特性、包需求</w:t>
      </w:r>
    </w:p>
    <w:p>
      <w:pPr>
        <w:numPr>
          <w:ilvl w:val="0"/>
          <w:numId w:val="11"/>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需求管理流程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需求收集</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需求分析</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需求分发</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需求实现与验证</w:t>
      </w:r>
    </w:p>
    <w:p>
      <w:pPr>
        <w:numPr>
          <w:ilvl w:val="0"/>
          <w:numId w:val="11"/>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研讨：如何实现客户需求在企业中有效管理</w:t>
      </w:r>
    </w:p>
    <w:p>
      <w:pPr>
        <w:pStyle w:val="2"/>
        <w:snapToGrid w:val="0"/>
        <w:spacing w:line="240" w:lineRule="auto"/>
        <w:rPr>
          <w:rFonts w:ascii="微软雅黑" w:hAnsi="微软雅黑" w:eastAsia="微软雅黑"/>
        </w:rPr>
      </w:pPr>
      <w:r>
        <w:rPr>
          <w:rFonts w:hint="eastAsia" w:ascii="微软雅黑" w:hAnsi="微软雅黑" w:eastAsia="微软雅黑"/>
        </w:rPr>
        <w:t>第四单元 项目立项（任务书开发）</w:t>
      </w:r>
    </w:p>
    <w:p>
      <w:pPr>
        <w:numPr>
          <w:ilvl w:val="0"/>
          <w:numId w:val="12"/>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产品项目任务书</w:t>
      </w:r>
    </w:p>
    <w:p>
      <w:pPr>
        <w:numPr>
          <w:ilvl w:val="0"/>
          <w:numId w:val="12"/>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任务书开发流程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定义市场策略和目标</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市场环境分析</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顾客需求分析</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竞争分析</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开发盈利计划</w:t>
      </w:r>
    </w:p>
    <w:p>
      <w:pPr>
        <w:numPr>
          <w:ilvl w:val="0"/>
          <w:numId w:val="4"/>
        </w:numPr>
        <w:tabs>
          <w:tab w:val="left" w:pos="900"/>
        </w:tabs>
        <w:adjustRightInd w:val="0"/>
        <w:snapToGrid w:val="0"/>
        <w:jc w:val="left"/>
        <w:rPr>
          <w:rFonts w:ascii="微软雅黑" w:hAnsi="微软雅黑" w:eastAsia="微软雅黑"/>
        </w:rPr>
      </w:pPr>
      <w:r>
        <w:rPr>
          <w:rFonts w:hint="eastAsia" w:ascii="微软雅黑" w:hAnsi="微软雅黑" w:eastAsia="微软雅黑"/>
          <w:sz w:val="20"/>
          <w:szCs w:val="20"/>
        </w:rPr>
        <w:t>任务书开发及评审</w:t>
      </w:r>
    </w:p>
    <w:p>
      <w:pPr>
        <w:pStyle w:val="2"/>
        <w:snapToGrid w:val="0"/>
        <w:spacing w:line="240" w:lineRule="auto"/>
        <w:rPr>
          <w:rFonts w:ascii="微软雅黑" w:hAnsi="微软雅黑" w:eastAsia="微软雅黑"/>
        </w:rPr>
      </w:pPr>
      <w:r>
        <w:rPr>
          <w:rFonts w:hint="eastAsia" w:ascii="微软雅黑" w:hAnsi="微软雅黑" w:eastAsia="微软雅黑"/>
        </w:rPr>
        <w:t>第五单元 产品开发管理</w:t>
      </w:r>
    </w:p>
    <w:p>
      <w:pPr>
        <w:numPr>
          <w:ilvl w:val="0"/>
          <w:numId w:val="1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结构化的产品开发流程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结构化的概念</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产品开发流程的层次和阶段划分</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流程结构化不足的征兆</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产品开发流程缺乏结构化的危害、示例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在非结构化和过于结构化之间取得平衡</w:t>
      </w:r>
    </w:p>
    <w:p>
      <w:pPr>
        <w:numPr>
          <w:ilvl w:val="0"/>
          <w:numId w:val="1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并行的产品开发流程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并行的概念</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两个层次的并行</w:t>
      </w:r>
    </w:p>
    <w:p>
      <w:pPr>
        <w:numPr>
          <w:ilvl w:val="0"/>
          <w:numId w:val="1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企业研发流程的整体框架</w:t>
      </w:r>
    </w:p>
    <w:p>
      <w:pPr>
        <w:numPr>
          <w:ilvl w:val="0"/>
          <w:numId w:val="1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IPD产品开发流程的层次划分</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IPD开发流程概览（袖珍卡）</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IPD阶段流程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支撑性子流程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操作指导/模板/表格</w:t>
      </w:r>
    </w:p>
    <w:p>
      <w:pPr>
        <w:numPr>
          <w:ilvl w:val="0"/>
          <w:numId w:val="1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IPD各阶段流程介绍</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概念阶段流程（目标、关注、交付、活动）、示例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计划阶段流程（目标、关注、交付、活动）、示例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开发阶段流程（目标、关注、交付、活动）、示例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发布阶段流程（目标、关注、交付、活动）、示例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验证阶段流程（目标、关注、交付、活动）、示例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生命周期阶段流程（目标、关注、交付、活动）、示例</w:t>
      </w:r>
    </w:p>
    <w:p>
      <w:pPr>
        <w:numPr>
          <w:ilvl w:val="0"/>
          <w:numId w:val="1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业务计划的开发</w:t>
      </w:r>
    </w:p>
    <w:p>
      <w:pPr>
        <w:numPr>
          <w:ilvl w:val="0"/>
          <w:numId w:val="13"/>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I</w:t>
      </w:r>
      <w:r>
        <w:rPr>
          <w:rFonts w:ascii="微软雅黑" w:hAnsi="微软雅黑" w:eastAsia="微软雅黑" w:cs="宋体"/>
          <w:b/>
          <w:kern w:val="0"/>
          <w:szCs w:val="21"/>
        </w:rPr>
        <w:t>PD</w:t>
      </w:r>
      <w:r>
        <w:rPr>
          <w:rFonts w:hint="eastAsia" w:ascii="微软雅黑" w:hAnsi="微软雅黑" w:eastAsia="微软雅黑" w:cs="宋体"/>
          <w:b/>
          <w:kern w:val="0"/>
          <w:szCs w:val="21"/>
        </w:rPr>
        <w:t>研发流程的裁剪</w:t>
      </w:r>
    </w:p>
    <w:p>
      <w:pPr>
        <w:pStyle w:val="2"/>
        <w:snapToGrid w:val="0"/>
        <w:spacing w:line="240" w:lineRule="auto"/>
        <w:rPr>
          <w:rFonts w:ascii="微软雅黑" w:hAnsi="微软雅黑" w:eastAsia="微软雅黑"/>
        </w:rPr>
      </w:pPr>
      <w:r>
        <w:rPr>
          <w:rFonts w:hint="eastAsia" w:ascii="微软雅黑" w:hAnsi="微软雅黑" w:eastAsia="微软雅黑"/>
        </w:rPr>
        <w:t>第六单元 产品开发过程中的评审</w:t>
      </w:r>
    </w:p>
    <w:p>
      <w:pPr>
        <w:numPr>
          <w:ilvl w:val="0"/>
          <w:numId w:val="14"/>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产品开发过程中的评审体系</w:t>
      </w:r>
    </w:p>
    <w:p>
      <w:pPr>
        <w:numPr>
          <w:ilvl w:val="0"/>
          <w:numId w:val="14"/>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产品开发过程中的决策评审</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决策评审的意义、指导思想</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重要决策评审点</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谁决策？</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决策什么？</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下什么结论？</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决策评审流程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如何建立有效的决策评审机制</w:t>
      </w:r>
    </w:p>
    <w:p>
      <w:pPr>
        <w:numPr>
          <w:ilvl w:val="0"/>
          <w:numId w:val="14"/>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产品开发过程中的技术评审</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技术评审原则</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技术评审点的设置</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技术评审的过程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如何建立高效的技术评审机制</w:t>
      </w:r>
    </w:p>
    <w:p>
      <w:pPr>
        <w:pStyle w:val="2"/>
        <w:snapToGrid w:val="0"/>
        <w:spacing w:line="240" w:lineRule="auto"/>
        <w:rPr>
          <w:rFonts w:ascii="微软雅黑" w:hAnsi="微软雅黑" w:eastAsia="微软雅黑"/>
        </w:rPr>
      </w:pPr>
      <w:r>
        <w:rPr>
          <w:rFonts w:hint="eastAsia" w:ascii="微软雅黑" w:hAnsi="微软雅黑" w:eastAsia="微软雅黑"/>
        </w:rPr>
        <w:t>第七单元 IPD组织平台</w:t>
      </w:r>
    </w:p>
    <w:p>
      <w:pPr>
        <w:numPr>
          <w:ilvl w:val="0"/>
          <w:numId w:val="15"/>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产品开组织结构的多种形式：职能制、项目制、矩阵制</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职能制产品开发组织的特点、示例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项目制产品开发组织的特点、示例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矩阵制产品开发组织的特点、示例</w:t>
      </w:r>
    </w:p>
    <w:p>
      <w:pPr>
        <w:numPr>
          <w:ilvl w:val="0"/>
          <w:numId w:val="15"/>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产品开发组织常见问题及影响</w:t>
      </w:r>
    </w:p>
    <w:p>
      <w:pPr>
        <w:numPr>
          <w:ilvl w:val="0"/>
          <w:numId w:val="15"/>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IPD组织结构的特点</w:t>
      </w:r>
    </w:p>
    <w:p>
      <w:pPr>
        <w:numPr>
          <w:ilvl w:val="0"/>
          <w:numId w:val="15"/>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IPD体系中典型的跨部门团队</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PDT的职责与构成</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IPMT的职责与构成</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PMT的职责与构成</w:t>
      </w:r>
    </w:p>
    <w:p>
      <w:pPr>
        <w:numPr>
          <w:ilvl w:val="0"/>
          <w:numId w:val="15"/>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IPD跨部门产品开发团队（PDT）的组织形式</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PDT在产品开发组织中的位置，示例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PDT与职能部门之间的关系</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PDT中的角色构成，各主要角色的职责，PDT运作机制</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优秀的PDT经理是产品开发成功的关键</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IPD对PDT经理的要求</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如何培养PDT经理</w:t>
      </w:r>
    </w:p>
    <w:p>
      <w:pPr>
        <w:numPr>
          <w:ilvl w:val="0"/>
          <w:numId w:val="15"/>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不同企业如何建立适合IPD运作的组织平台</w:t>
      </w:r>
    </w:p>
    <w:p>
      <w:pPr>
        <w:pStyle w:val="2"/>
        <w:snapToGrid w:val="0"/>
        <w:spacing w:line="240" w:lineRule="auto"/>
        <w:rPr>
          <w:rFonts w:ascii="微软雅黑" w:hAnsi="微软雅黑" w:eastAsia="微软雅黑"/>
        </w:rPr>
      </w:pPr>
      <w:r>
        <w:rPr>
          <w:rFonts w:hint="eastAsia" w:ascii="微软雅黑" w:hAnsi="微软雅黑" w:eastAsia="微软雅黑"/>
        </w:rPr>
        <w:t>第八单元 企业如何成功实施IPD</w:t>
      </w:r>
    </w:p>
    <w:p>
      <w:pPr>
        <w:numPr>
          <w:ilvl w:val="0"/>
          <w:numId w:val="16"/>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根据企业研发管理现状采用不同的IPD实施策略</w:t>
      </w:r>
    </w:p>
    <w:p>
      <w:pPr>
        <w:numPr>
          <w:ilvl w:val="0"/>
          <w:numId w:val="16"/>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实施IPD变革的过程</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实施过程各阶段的主要活动</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实施的组织结构和运作方式</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实施IPD变革的风险、可能遇到的困难及对策</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IPD变革的关键成功因素</w:t>
      </w:r>
    </w:p>
    <w:p>
      <w:pPr>
        <w:numPr>
          <w:ilvl w:val="0"/>
          <w:numId w:val="4"/>
        </w:numPr>
        <w:tabs>
          <w:tab w:val="left" w:pos="900"/>
        </w:tabs>
        <w:adjustRightInd w:val="0"/>
        <w:snapToGrid w:val="0"/>
        <w:jc w:val="left"/>
        <w:rPr>
          <w:rFonts w:ascii="微软雅黑" w:hAnsi="微软雅黑" w:eastAsia="微软雅黑"/>
          <w:sz w:val="20"/>
          <w:szCs w:val="20"/>
        </w:rPr>
      </w:pPr>
      <w:r>
        <w:rPr>
          <w:rFonts w:hint="eastAsia" w:ascii="微软雅黑" w:hAnsi="微软雅黑" w:eastAsia="微软雅黑"/>
          <w:sz w:val="20"/>
          <w:szCs w:val="20"/>
        </w:rPr>
        <w:t>运用变革管理思想保障实施效果</w:t>
      </w:r>
    </w:p>
    <w:p>
      <w:pPr>
        <w:numPr>
          <w:ilvl w:val="0"/>
          <w:numId w:val="16"/>
        </w:numPr>
        <w:snapToGrid w:val="0"/>
        <w:rPr>
          <w:rFonts w:ascii="微软雅黑" w:hAnsi="微软雅黑" w:eastAsia="微软雅黑" w:cs="宋体"/>
          <w:b/>
          <w:kern w:val="0"/>
          <w:szCs w:val="21"/>
        </w:rPr>
      </w:pPr>
      <w:r>
        <w:rPr>
          <w:rFonts w:hint="eastAsia" w:ascii="微软雅黑" w:hAnsi="微软雅黑" w:eastAsia="微软雅黑" w:cs="宋体"/>
          <w:b/>
          <w:kern w:val="0"/>
          <w:szCs w:val="21"/>
        </w:rPr>
        <w:t>案例研讨：W公司实施研发管理体系的实践</w:t>
      </w:r>
    </w:p>
    <w:p>
      <w:pPr>
        <w:spacing w:line="460" w:lineRule="exact"/>
        <w:jc w:val="center"/>
        <w:rPr>
          <w:rFonts w:ascii="思源黑体 CN Heavy" w:hAnsi="思源黑体 CN Heavy" w:eastAsia="思源黑体 CN Heavy"/>
          <w:b/>
          <w:color w:val="244061"/>
          <w:sz w:val="24"/>
          <w:szCs w:val="24"/>
        </w:rPr>
      </w:pPr>
    </w:p>
    <w:p>
      <w:pPr>
        <w:spacing w:line="360" w:lineRule="auto"/>
        <w:rPr>
          <w:rFonts w:asciiTheme="minorEastAsia" w:hAnsiTheme="minorEastAsia" w:eastAsiaTheme="minorEastAsia" w:cstheme="minorEastAsia"/>
          <w:bCs/>
          <w:sz w:val="22"/>
          <w:szCs w:val="22"/>
        </w:rPr>
      </w:pPr>
    </w:p>
    <w:p>
      <w:pPr>
        <w:spacing w:line="360" w:lineRule="auto"/>
        <w:rPr>
          <w:rFonts w:asciiTheme="minorEastAsia" w:hAnsiTheme="minorEastAsia" w:eastAsiaTheme="minorEastAsia" w:cstheme="minorEastAsia"/>
          <w:bCs/>
          <w:sz w:val="22"/>
          <w:szCs w:val="22"/>
        </w:rPr>
      </w:pPr>
    </w:p>
    <w:p>
      <w:pPr>
        <w:spacing w:line="360" w:lineRule="auto"/>
        <w:rPr>
          <w:rFonts w:asciiTheme="minorEastAsia" w:hAnsiTheme="minorEastAsia" w:eastAsiaTheme="minorEastAsia" w:cstheme="minorEastAsia"/>
          <w:bCs/>
          <w:sz w:val="22"/>
          <w:szCs w:val="22"/>
        </w:rPr>
      </w:pPr>
    </w:p>
    <w:p>
      <w:pPr>
        <w:spacing w:line="360" w:lineRule="auto"/>
        <w:rPr>
          <w:rFonts w:asciiTheme="minorEastAsia" w:hAnsiTheme="minorEastAsia" w:eastAsiaTheme="minorEastAsia" w:cstheme="minorEastAsia"/>
          <w:bCs/>
          <w:sz w:val="22"/>
          <w:szCs w:val="22"/>
        </w:rPr>
      </w:pPr>
    </w:p>
    <w:p>
      <w:pPr>
        <w:spacing w:line="360" w:lineRule="auto"/>
        <w:rPr>
          <w:rFonts w:asciiTheme="minorEastAsia" w:hAnsiTheme="minorEastAsia" w:eastAsiaTheme="minorEastAsia" w:cstheme="minorEastAsia"/>
          <w:bCs/>
          <w:sz w:val="22"/>
          <w:szCs w:val="22"/>
        </w:rPr>
      </w:pPr>
    </w:p>
    <w:p>
      <w:pPr>
        <w:spacing w:line="440" w:lineRule="exact"/>
        <w:rPr>
          <w:rFonts w:hint="eastAsia" w:asciiTheme="minorEastAsia" w:hAnsiTheme="minorEastAsia" w:eastAsiaTheme="minorEastAsia" w:cstheme="minorEastAsia"/>
          <w:b/>
          <w:bCs/>
          <w:sz w:val="32"/>
          <w:szCs w:val="32"/>
        </w:rPr>
      </w:pPr>
      <w:bookmarkStart w:id="1" w:name="_GoBack"/>
      <w:r>
        <w:rPr>
          <w:rFonts w:ascii="微软雅黑" w:hAnsi="微软雅黑" w:eastAsia="微软雅黑" w:cs="微软雅黑"/>
          <w:bCs/>
          <w:szCs w:val="21"/>
        </w:rPr>
        <w:drawing>
          <wp:anchor distT="0" distB="0" distL="114300" distR="114300" simplePos="0" relativeHeight="251659264" behindDoc="0" locked="0" layoutInCell="1" allowOverlap="1">
            <wp:simplePos x="0" y="0"/>
            <wp:positionH relativeFrom="column">
              <wp:posOffset>4384675</wp:posOffset>
            </wp:positionH>
            <wp:positionV relativeFrom="paragraph">
              <wp:posOffset>247650</wp:posOffset>
            </wp:positionV>
            <wp:extent cx="1473835" cy="1911985"/>
            <wp:effectExtent l="0" t="0" r="12065" b="1206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1473835" cy="1911985"/>
                    </a:xfrm>
                    <a:prstGeom prst="rect">
                      <a:avLst/>
                    </a:prstGeom>
                    <a:noFill/>
                    <a:ln>
                      <a:noFill/>
                    </a:ln>
                  </pic:spPr>
                </pic:pic>
              </a:graphicData>
            </a:graphic>
          </wp:anchor>
        </w:drawing>
      </w:r>
      <w:bookmarkEnd w:id="1"/>
    </w:p>
    <w:p>
      <w:pPr>
        <w:pStyle w:val="6"/>
        <w:adjustRightInd w:val="0"/>
        <w:snapToGrid w:val="0"/>
        <w:spacing w:before="0" w:beforeAutospacing="0" w:after="0" w:afterAutospacing="0" w:line="460" w:lineRule="exact"/>
        <w:jc w:val="both"/>
        <w:rPr>
          <w:rFonts w:asciiTheme="minorEastAsia" w:hAnsiTheme="minorEastAsia" w:eastAsiaTheme="minorEastAsia" w:cstheme="minorEastAsia"/>
          <w:b/>
          <w:bCs/>
          <w:sz w:val="40"/>
          <w:szCs w:val="40"/>
        </w:rPr>
      </w:pPr>
      <w:r>
        <w:rPr>
          <w:rFonts w:hint="eastAsia" w:asciiTheme="minorEastAsia" w:hAnsiTheme="minorEastAsia" w:eastAsiaTheme="minorEastAsia" w:cstheme="minorEastAsia"/>
          <w:b/>
          <w:bCs/>
          <w:sz w:val="40"/>
          <w:szCs w:val="40"/>
        </w:rPr>
        <w:t>靖爽老师</w:t>
      </w:r>
      <w:r>
        <w:rPr>
          <w:rFonts w:hint="eastAsia" w:asciiTheme="minorEastAsia" w:hAnsiTheme="minorEastAsia" w:eastAsiaTheme="minorEastAsia" w:cstheme="minorEastAsia"/>
          <w:b/>
          <w:bCs/>
          <w:sz w:val="40"/>
          <w:szCs w:val="40"/>
          <w:lang w:val="en-US" w:eastAsia="zh-CN"/>
        </w:rPr>
        <w:t xml:space="preserve">  华为研发管理实战专家</w:t>
      </w:r>
    </w:p>
    <w:p>
      <w:pPr>
        <w:rPr>
          <w:rFonts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【背景介绍】</w:t>
      </w:r>
      <w:r>
        <w:rPr>
          <w:rFonts w:ascii="微软雅黑" w:hAnsi="微软雅黑" w:eastAsia="微软雅黑"/>
        </w:rPr>
        <w:t xml:space="preserve">  </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Arial"/>
          <w:bCs/>
          <w:szCs w:val="21"/>
        </w:rPr>
        <w:t>中国科学院自动化研究所 机械电子工程硕士</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Arial"/>
          <w:bCs/>
          <w:szCs w:val="21"/>
        </w:rPr>
        <w:t>研发管理实战专家</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Arial"/>
          <w:bCs/>
          <w:szCs w:val="21"/>
        </w:rPr>
        <w:t>PDMA（美国产品开发与管理协会）会员</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Arial"/>
          <w:bCs/>
          <w:szCs w:val="21"/>
        </w:rPr>
        <w:t>荣获海军科技进步三等奖</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Arial"/>
          <w:bCs/>
          <w:szCs w:val="21"/>
        </w:rPr>
        <w:t>深圳高新技术企业协会特聘讲师</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Arial"/>
          <w:bCs/>
          <w:szCs w:val="21"/>
        </w:rPr>
        <w:t>苏州工业园区特聘讲师</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Arial"/>
          <w:bCs/>
          <w:szCs w:val="21"/>
        </w:rPr>
        <w:t>宁波企业信息化促进会特聘讲师</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微软雅黑"/>
          <w:bCs/>
          <w:szCs w:val="21"/>
        </w:rPr>
        <w:t>曾任：华为技术业务软件产品总监</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微软雅黑"/>
          <w:bCs/>
          <w:szCs w:val="21"/>
        </w:rPr>
        <w:t>现任：国内某研发管理咨询公司咨询总监</w:t>
      </w:r>
    </w:p>
    <w:p>
      <w:pPr>
        <w:numPr>
          <w:ilvl w:val="0"/>
          <w:numId w:val="17"/>
        </w:numPr>
        <w:spacing w:line="400" w:lineRule="exact"/>
        <w:jc w:val="left"/>
        <w:rPr>
          <w:rFonts w:ascii="微软雅黑" w:hAnsi="微软雅黑" w:eastAsia="微软雅黑" w:cs="Arial"/>
          <w:bCs/>
          <w:szCs w:val="21"/>
        </w:rPr>
      </w:pPr>
      <w:r>
        <w:rPr>
          <w:rFonts w:hint="eastAsia" w:ascii="微软雅黑" w:hAnsi="微软雅黑" w:eastAsia="微软雅黑" w:cs="微软雅黑"/>
          <w:bCs/>
          <w:szCs w:val="21"/>
        </w:rPr>
        <w:t>著作：《</w:t>
      </w:r>
      <w:r>
        <w:rPr>
          <w:rFonts w:hint="eastAsia" w:ascii="微软雅黑" w:hAnsi="微软雅黑" w:eastAsia="微软雅黑" w:cs="微软雅黑"/>
          <w:b/>
          <w:szCs w:val="21"/>
        </w:rPr>
        <w:t>研发体系改进之道</w:t>
      </w:r>
      <w:r>
        <w:rPr>
          <w:rFonts w:hint="eastAsia" w:ascii="微软雅黑" w:hAnsi="微软雅黑" w:eastAsia="微软雅黑" w:cs="微软雅黑"/>
          <w:bCs/>
          <w:szCs w:val="21"/>
        </w:rPr>
        <w:t>》</w:t>
      </w:r>
    </w:p>
    <w:p>
      <w:pPr>
        <w:rPr>
          <w:rFonts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【实战经验】</w:t>
      </w:r>
    </w:p>
    <w:p>
      <w:pPr>
        <w:ind w:firstLine="630" w:firstLineChars="300"/>
        <w:rPr>
          <w:rFonts w:ascii="微软雅黑" w:hAnsi="微软雅黑" w:eastAsia="微软雅黑"/>
        </w:rPr>
      </w:pPr>
      <w:r>
        <w:rPr>
          <w:rFonts w:hint="eastAsia" w:ascii="微软雅黑" w:hAnsi="微软雅黑" w:eastAsia="微软雅黑"/>
        </w:rPr>
        <w:t>靖老师拥有二十余年的高技术企业研发管理经验和研发体系变革经验。作为国内最早一批的研发体系咨询顾问和培训讲师，先后为多家大型企业与机构、国企与央企、快速成长性企业等提供颇具价值的培训与咨询服务。靖老师对各类企业的研发体系变革具有丰富的实战经验，擅长集成产品开发体系（IPD）、需求洞察与产品规划、研发项目管理、研发绩效考核与激励等研发管理系列课程的培训与训战。</w:t>
      </w:r>
    </w:p>
    <w:p>
      <w:pPr>
        <w:ind w:firstLine="630" w:firstLineChars="300"/>
        <w:rPr>
          <w:rFonts w:ascii="微软雅黑" w:hAnsi="微软雅黑" w:eastAsia="微软雅黑"/>
        </w:rPr>
      </w:pPr>
      <w:r>
        <w:rPr>
          <w:rFonts w:hint="eastAsia" w:ascii="微软雅黑" w:hAnsi="微软雅黑" w:eastAsia="微软雅黑"/>
        </w:rPr>
        <w:t>在华为技术有限公司供职期间，历任高级工程师、项目经理、产品总监等职位，成功主导并管理了电信运营支撑系统、传输设备网管系统、流媒体应用系统等多个大型系统级产品的项目/项目群管控、产品规划与运营等全生命周期的管理工作，项目团队规模超过200人，推动了产品线的高速增长。作为PDT核心组成员，在产品线范围实施了IPD体系的全面推行导入工作。</w:t>
      </w:r>
    </w:p>
    <w:p>
      <w:pPr>
        <w:ind w:firstLine="630" w:firstLineChars="300"/>
        <w:rPr>
          <w:rFonts w:ascii="微软雅黑" w:hAnsi="微软雅黑" w:eastAsia="微软雅黑"/>
        </w:rPr>
      </w:pPr>
      <w:r>
        <w:rPr>
          <w:rFonts w:hint="eastAsia" w:ascii="微软雅黑" w:hAnsi="微软雅黑" w:eastAsia="微软雅黑"/>
        </w:rPr>
        <w:t>在从事研发管理咨询工作中，担任项目总监和项目经理，主导了三十余个研发管理咨询和研发信息化系统建设项目，实施领域包含研发管理体系、产品管理体系、项目管理体系、需求管理体系、研发组织结构以及绩效管理体系。对国内各类企业的研发体系具有广泛深入研究，善于通过挖掘并解决企业研发的核心问题，改善研发体系的运作效率，真正为企业创造商业价值。</w:t>
      </w:r>
    </w:p>
    <w:p>
      <w:pPr>
        <w:rPr>
          <w:rFonts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【风格特点】</w:t>
      </w:r>
    </w:p>
    <w:p>
      <w:pPr>
        <w:numPr>
          <w:ilvl w:val="0"/>
          <w:numId w:val="18"/>
        </w:numPr>
        <w:rPr>
          <w:rFonts w:ascii="微软雅黑" w:hAnsi="微软雅黑" w:eastAsia="微软雅黑"/>
        </w:rPr>
      </w:pPr>
      <w:r>
        <w:rPr>
          <w:rFonts w:hint="eastAsia" w:ascii="微软雅黑" w:hAnsi="微软雅黑" w:eastAsia="微软雅黑"/>
        </w:rPr>
        <w:t>作为研发管理领域实战专家，长期从事研发体系的改进项目，对各类型研发体系具有深刻理解，积累了丰富的实践经验，能够为学员提出富有实践启发的指导建议；</w:t>
      </w:r>
    </w:p>
    <w:p>
      <w:pPr>
        <w:numPr>
          <w:ilvl w:val="0"/>
          <w:numId w:val="18"/>
        </w:numPr>
        <w:rPr>
          <w:rFonts w:ascii="微软雅黑" w:hAnsi="微软雅黑" w:eastAsia="微软雅黑"/>
        </w:rPr>
      </w:pPr>
      <w:r>
        <w:rPr>
          <w:rFonts w:hint="eastAsia" w:ascii="微软雅黑" w:hAnsi="微软雅黑" w:eastAsia="微软雅黑"/>
        </w:rPr>
        <w:t>拥有长期研发管理培训和咨询经验，不仅具备丰富的方法论和技巧，而且案例颇具针对性，贴近管理实践，接地气，且有说服力；</w:t>
      </w:r>
    </w:p>
    <w:p>
      <w:pPr>
        <w:numPr>
          <w:ilvl w:val="0"/>
          <w:numId w:val="18"/>
        </w:numPr>
        <w:rPr>
          <w:rFonts w:ascii="微软雅黑" w:hAnsi="微软雅黑" w:eastAsia="微软雅黑"/>
        </w:rPr>
      </w:pPr>
      <w:r>
        <w:rPr>
          <w:rFonts w:hint="eastAsia" w:ascii="微软雅黑" w:hAnsi="微软雅黑" w:eastAsia="微软雅黑"/>
        </w:rPr>
        <w:t>将优秀的研发管理理念、工具方法融为一体，使学员在实战演练中讲解中深刻领悟并切实应用到公司实际项目开发中，提高产品研发的效率和质量，提升产品的竞争力；</w:t>
      </w:r>
    </w:p>
    <w:p>
      <w:pPr>
        <w:numPr>
          <w:ilvl w:val="0"/>
          <w:numId w:val="18"/>
        </w:numPr>
        <w:rPr>
          <w:rFonts w:ascii="微软雅黑" w:hAnsi="微软雅黑" w:eastAsia="微软雅黑"/>
        </w:rPr>
      </w:pPr>
      <w:r>
        <w:rPr>
          <w:rFonts w:hint="eastAsia" w:ascii="微软雅黑" w:hAnsi="微软雅黑" w:eastAsia="微软雅黑"/>
        </w:rPr>
        <w:t>授课逻辑严谨，讲解生动，灵活采取案例演练、角色扮演、研讨分享、实战沙盘等多种形式，让学员参与其中，增强与学员的互动。</w:t>
      </w:r>
    </w:p>
    <w:p>
      <w:pPr>
        <w:rPr>
          <w:rFonts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【主讲课程】</w:t>
      </w:r>
    </w:p>
    <w:p>
      <w:pPr>
        <w:rPr>
          <w:rFonts w:ascii="微软雅黑" w:hAnsi="微软雅黑" w:eastAsia="微软雅黑" w:cs="微软雅黑"/>
          <w:szCs w:val="21"/>
        </w:rPr>
      </w:pPr>
      <w:r>
        <w:rPr>
          <w:rFonts w:hint="eastAsia" w:ascii="微软雅黑" w:hAnsi="微软雅黑" w:eastAsia="微软雅黑" w:cs="微软雅黑"/>
          <w:szCs w:val="21"/>
        </w:rPr>
        <w:t>《集成产品开发体系（IPD）》</w:t>
      </w:r>
    </w:p>
    <w:p>
      <w:pPr>
        <w:rPr>
          <w:rFonts w:ascii="微软雅黑" w:hAnsi="微软雅黑" w:eastAsia="微软雅黑" w:cs="微软雅黑"/>
          <w:szCs w:val="21"/>
        </w:rPr>
      </w:pPr>
      <w:r>
        <w:rPr>
          <w:rFonts w:hint="eastAsia" w:ascii="微软雅黑" w:hAnsi="微软雅黑" w:eastAsia="微软雅黑" w:cs="微软雅黑"/>
          <w:szCs w:val="21"/>
        </w:rPr>
        <w:t>《研发项目管理》</w:t>
      </w:r>
      <w:r>
        <w:rPr>
          <w:rFonts w:ascii="微软雅黑" w:hAnsi="微软雅黑" w:eastAsia="微软雅黑" w:cs="微软雅黑"/>
          <w:szCs w:val="21"/>
        </w:rPr>
        <w:br w:type="textWrapping"/>
      </w:r>
      <w:r>
        <w:rPr>
          <w:rFonts w:hint="eastAsia" w:ascii="微软雅黑" w:hAnsi="微软雅黑" w:eastAsia="微软雅黑" w:cs="微软雅黑"/>
          <w:szCs w:val="21"/>
        </w:rPr>
        <w:t>《需求洞察与产品规划》</w:t>
      </w:r>
      <w:r>
        <w:rPr>
          <w:rFonts w:ascii="微软雅黑" w:hAnsi="微软雅黑" w:eastAsia="微软雅黑" w:cs="微软雅黑"/>
          <w:szCs w:val="21"/>
        </w:rPr>
        <w:br w:type="textWrapping"/>
      </w:r>
      <w:r>
        <w:rPr>
          <w:rFonts w:hint="eastAsia" w:ascii="微软雅黑" w:hAnsi="微软雅黑" w:eastAsia="微软雅黑" w:cs="微软雅黑"/>
          <w:szCs w:val="21"/>
        </w:rPr>
        <w:t>《成功的产品经理》</w:t>
      </w:r>
    </w:p>
    <w:p>
      <w:pPr>
        <w:rPr>
          <w:rFonts w:ascii="微软雅黑" w:hAnsi="微软雅黑" w:eastAsia="微软雅黑" w:cs="微软雅黑"/>
          <w:szCs w:val="21"/>
        </w:rPr>
      </w:pPr>
      <w:r>
        <w:rPr>
          <w:rFonts w:hint="eastAsia" w:ascii="微软雅黑" w:hAnsi="微软雅黑" w:eastAsia="微软雅黑" w:cs="微软雅黑"/>
          <w:szCs w:val="21"/>
        </w:rPr>
        <w:t>《从技术走向管理》</w:t>
      </w:r>
    </w:p>
    <w:p>
      <w:pPr>
        <w:rPr>
          <w:rFonts w:ascii="微软雅黑" w:hAnsi="微软雅黑" w:eastAsia="微软雅黑" w:cs="微软雅黑"/>
          <w:szCs w:val="21"/>
        </w:rPr>
      </w:pPr>
      <w:r>
        <w:rPr>
          <w:rFonts w:hint="eastAsia" w:ascii="微软雅黑" w:hAnsi="微软雅黑" w:eastAsia="微软雅黑" w:cs="微软雅黑"/>
          <w:szCs w:val="21"/>
        </w:rPr>
        <w:t>《成功的项目管理实践》</w:t>
      </w:r>
    </w:p>
    <w:p>
      <w:pPr>
        <w:rPr>
          <w:rFonts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【项目经历】</w:t>
      </w:r>
    </w:p>
    <w:p>
      <w:pPr>
        <w:rPr>
          <w:rFonts w:ascii="微软雅黑" w:hAnsi="微软雅黑" w:eastAsia="微软雅黑" w:cs="微软雅黑"/>
          <w:szCs w:val="21"/>
        </w:rPr>
      </w:pPr>
      <w:r>
        <w:rPr>
          <w:rFonts w:hint="eastAsia" w:ascii="微软雅黑" w:hAnsi="微软雅黑" w:eastAsia="微软雅黑" w:cs="微软雅黑"/>
          <w:szCs w:val="21"/>
        </w:rPr>
        <w:t>主导和参与了生益科技、中集集团、中车时代电气、金风科技、北方微电子、四创电子、步步高教育电子、士兰微电子、科银京成、佳化化学、新郑烟草、玄武科技、三旺电子等三十余家企业的研发体系改进咨询项目，内容涉及产品及研发组织设计、需求管理、产品/平台技术规划、研发流程和项目管理、研发绩效管理和激励机制等模块。</w:t>
      </w:r>
    </w:p>
    <w:p>
      <w:pPr>
        <w:rPr>
          <w:rFonts w:ascii="微软雅黑" w:hAnsi="微软雅黑" w:eastAsia="微软雅黑"/>
          <w:szCs w:val="21"/>
        </w:rPr>
      </w:pPr>
      <w:r>
        <w:rPr>
          <w:rFonts w:hint="eastAsia" w:ascii="微软雅黑" w:hAnsi="微软雅黑" w:eastAsia="微软雅黑" w:cs="微软雅黑"/>
          <w:b/>
          <w:color w:val="0070C0"/>
          <w:sz w:val="28"/>
          <w:szCs w:val="28"/>
        </w:rPr>
        <w:t>【服务客户】</w:t>
      </w:r>
    </w:p>
    <w:p>
      <w:pPr>
        <w:rPr>
          <w:rFonts w:ascii="微软雅黑" w:hAnsi="微软雅黑" w:eastAsia="微软雅黑"/>
          <w:szCs w:val="21"/>
        </w:rPr>
      </w:pPr>
      <w:r>
        <w:rPr>
          <w:rFonts w:hint="eastAsia" w:ascii="微软雅黑" w:hAnsi="微软雅黑" w:eastAsia="微软雅黑" w:cs="微软雅黑"/>
          <w:szCs w:val="21"/>
        </w:rPr>
        <w:t>培训客户包括：中集集团、中国电信分公司、北京市科学技术研究院、河南新烟集团、德力西电气、士兰微电子、九阳豆浆机、美的集团、中联重科、同洲电子、晶辰电子、科美东雅、索贝数码、宝时得机械、重庆长安汽车、步步高电话、中国普天、金蝶国际、欧亚科技、世纪长秋、日立电梯、大方软件、控创集团、深圳华强文化科技集团、菲鹏生物、天马微电子、名门锁业、天波信息、威胜电子、日海通讯、三一智能、浙大中控、蒙牛乳业、佳化化学、丰明电子、英杰电气等。</w:t>
      </w:r>
    </w:p>
    <w:p>
      <w:pPr>
        <w:rPr>
          <w:rFonts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【出版书籍】</w:t>
      </w:r>
    </w:p>
    <w:p>
      <w:pPr>
        <w:rPr>
          <w:rFonts w:ascii="微软雅黑" w:hAnsi="微软雅黑" w:eastAsia="微软雅黑" w:cs="微软雅黑"/>
          <w:bCs/>
          <w:sz w:val="24"/>
          <w:szCs w:val="24"/>
        </w:rPr>
      </w:pPr>
      <w:r>
        <w:rPr>
          <w:rFonts w:hint="eastAsia" w:ascii="微软雅黑" w:hAnsi="微软雅黑" w:eastAsia="微软雅黑" w:cs="微软雅黑"/>
          <w:bCs/>
          <w:sz w:val="24"/>
          <w:szCs w:val="24"/>
        </w:rPr>
        <w:t>靖老师所著的《</w:t>
      </w:r>
      <w:r>
        <w:rPr>
          <w:rFonts w:hint="eastAsia" w:ascii="微软雅黑" w:hAnsi="微软雅黑" w:eastAsia="微软雅黑" w:cs="微软雅黑"/>
          <w:b/>
          <w:sz w:val="24"/>
          <w:szCs w:val="24"/>
        </w:rPr>
        <w:t>研发体系改进之道</w:t>
      </w:r>
      <w:r>
        <w:rPr>
          <w:rFonts w:hint="eastAsia" w:ascii="微软雅黑" w:hAnsi="微软雅黑" w:eastAsia="微软雅黑" w:cs="微软雅黑"/>
          <w:bCs/>
          <w:sz w:val="24"/>
          <w:szCs w:val="24"/>
        </w:rPr>
        <w:t>》，揭示了如何为企业建立高效且具有适应性的研发体系，这是作者在长期培训咨询实践中的经验结晶。</w:t>
      </w:r>
    </w:p>
    <w:p>
      <w:pPr>
        <w:jc w:val="center"/>
        <w:rPr>
          <w:rFonts w:ascii="宋体" w:hAnsi="宋体" w:cs="宋体"/>
          <w:kern w:val="0"/>
          <w:sz w:val="24"/>
          <w:szCs w:val="24"/>
        </w:rPr>
      </w:pPr>
      <w:r>
        <w:fldChar w:fldCharType="begin"/>
      </w:r>
      <w:r>
        <w:instrText xml:space="preserve"> INCLUDEPICTURE "https://img10.360buyimg.com/bookdetail/jfs/t1/44764/22/15192/246302/5dc2d666E075dda62/954e0d3532e40578.jpg" \* MERGEFORMATINET </w:instrText>
      </w:r>
      <w:r>
        <w:fldChar w:fldCharType="separate"/>
      </w:r>
      <w:r>
        <w:fldChar w:fldCharType="begin"/>
      </w:r>
      <w:r>
        <w:instrText xml:space="preserve"> INCLUDEPICTURE  "https://img10.360buyimg.com/bookdetail/jfs/t1/44764/22/15192/246302/5dc2d666E075dda62/954e0d3532e40578.jpg" \* MERGEFORMATINET </w:instrText>
      </w:r>
      <w:r>
        <w:fldChar w:fldCharType="separate"/>
      </w:r>
      <w:r>
        <w:fldChar w:fldCharType="begin"/>
      </w:r>
      <w:r>
        <w:instrText xml:space="preserve"> INCLUDEPICTURE  "https://img10.360buyimg.com/bookdetail/jfs/t1/44764/22/15192/246302/5dc2d666E075dda62/954e0d3532e40578.jpg" \* MERGEFORMATINET </w:instrText>
      </w:r>
      <w:r>
        <w:fldChar w:fldCharType="separate"/>
      </w:r>
      <w:r>
        <w:fldChar w:fldCharType="begin"/>
      </w:r>
      <w:r>
        <w:instrText xml:space="preserve"> INCLUDEPICTURE  "https://img10.360buyimg.com/bookdetail/jfs/t1/44764/22/15192/246302/5dc2d666E075dda62/954e0d3532e40578.jpg" \* MERGEFORMATINET </w:instrText>
      </w:r>
      <w:r>
        <w:fldChar w:fldCharType="separate"/>
      </w:r>
      <w:r>
        <w:fldChar w:fldCharType="begin"/>
      </w:r>
      <w:r>
        <w:instrText xml:space="preserve"> INCLUDEPICTURE  "https://img10.360buyimg.com/bookdetail/jfs/t1/44764/22/15192/246302/5dc2d666E075dda62/954e0d3532e40578.jpg" \* MERGEFORMATINET </w:instrText>
      </w:r>
      <w:r>
        <w:fldChar w:fldCharType="separate"/>
      </w:r>
      <w:r>
        <w:fldChar w:fldCharType="begin"/>
      </w:r>
      <w:r>
        <w:instrText xml:space="preserve"> INCLUDEPICTURE  "https://img10.360buyimg.com/bookdetail/jfs/t1/44764/22/15192/246302/5dc2d666E075dda62/954e0d3532e40578.jpg" \* MERGEFORMATINET </w:instrText>
      </w:r>
      <w:r>
        <w:fldChar w:fldCharType="separate"/>
      </w:r>
      <w:r>
        <w:fldChar w:fldCharType="begin"/>
      </w:r>
      <w:r>
        <w:instrText xml:space="preserve"> INCLUDEPICTURE  "https://img10.360buyimg.com/bookdetail/jfs/t1/44764/22/15192/246302/5dc2d666E075dda62/954e0d3532e40578.jpg" \* MERGEFORMATINET </w:instrText>
      </w:r>
      <w:r>
        <w:fldChar w:fldCharType="separate"/>
      </w:r>
      <w:r>
        <w:fldChar w:fldCharType="begin"/>
      </w:r>
      <w:r>
        <w:instrText xml:space="preserve"> INCLUDEPICTURE  "https://img10.360buyimg.com/bookdetail/jfs/t1/44764/22/15192/246302/5dc2d666E075dda62/954e0d3532e40578.jpg" \* MERGEFORMATINET </w:instrText>
      </w:r>
      <w:r>
        <w:fldChar w:fldCharType="separate"/>
      </w:r>
      <w:r>
        <w:drawing>
          <wp:inline distT="0" distB="0" distL="114300" distR="114300">
            <wp:extent cx="3032760" cy="3032760"/>
            <wp:effectExtent l="0" t="0" r="1524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r:link="rId8"/>
                    <a:stretch>
                      <a:fillRect/>
                    </a:stretch>
                  </pic:blipFill>
                  <pic:spPr>
                    <a:xfrm>
                      <a:off x="0" y="0"/>
                      <a:ext cx="3032760" cy="303276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pPr>
        <w:rPr>
          <w:rFonts w:ascii="微软雅黑" w:hAnsi="微软雅黑" w:eastAsia="微软雅黑" w:cs="微软雅黑"/>
          <w:b/>
          <w:color w:val="0070C0"/>
          <w:sz w:val="28"/>
          <w:szCs w:val="28"/>
        </w:rPr>
      </w:pPr>
      <w:r>
        <w:rPr>
          <w:rFonts w:hint="eastAsia" w:ascii="宋体" w:hAnsi="宋体" w:cs="宋体"/>
          <w:kern w:val="0"/>
          <w:sz w:val="24"/>
          <w:szCs w:val="24"/>
        </w:rPr>
        <w:t xml:space="preserve">  </w:t>
      </w:r>
    </w:p>
    <w:p>
      <w:pPr>
        <w:rPr>
          <w:rFonts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【精彩瞬间】</w:t>
      </w:r>
    </w:p>
    <w:p>
      <w:pPr>
        <w:rPr>
          <w:rFonts w:ascii="宋体" w:hAnsi="宋体" w:cs="宋体"/>
          <w:kern w:val="0"/>
          <w:sz w:val="24"/>
          <w:szCs w:val="24"/>
        </w:rPr>
      </w:pPr>
      <w:r>
        <w:rPr>
          <w:rFonts w:ascii="宋体" w:hAnsi="宋体" w:cs="宋体"/>
          <w:kern w:val="0"/>
          <w:sz w:val="24"/>
          <w:szCs w:val="24"/>
        </w:rPr>
        <w:drawing>
          <wp:inline distT="0" distB="0" distL="114300" distR="114300">
            <wp:extent cx="2541270" cy="1626870"/>
            <wp:effectExtent l="0" t="0" r="11430" b="11430"/>
            <wp:docPr id="3" name="图片 2" descr="9e64dba3378cf01557817cdc92b5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e64dba3378cf01557817cdc92b52ab"/>
                    <pic:cNvPicPr>
                      <a:picLocks noChangeAspect="1"/>
                    </pic:cNvPicPr>
                  </pic:nvPicPr>
                  <pic:blipFill>
                    <a:blip r:embed="rId9"/>
                    <a:srcRect t="3990"/>
                    <a:stretch>
                      <a:fillRect/>
                    </a:stretch>
                  </pic:blipFill>
                  <pic:spPr>
                    <a:xfrm>
                      <a:off x="0" y="0"/>
                      <a:ext cx="2541270" cy="1626870"/>
                    </a:xfrm>
                    <a:prstGeom prst="rect">
                      <a:avLst/>
                    </a:prstGeom>
                    <a:noFill/>
                    <a:ln>
                      <a:noFill/>
                    </a:ln>
                  </pic:spPr>
                </pic:pic>
              </a:graphicData>
            </a:graphic>
          </wp:inline>
        </w:drawing>
      </w:r>
      <w:r>
        <w:rPr>
          <w:rFonts w:ascii="宋体" w:hAnsi="宋体" w:cs="宋体"/>
          <w:kern w:val="0"/>
          <w:sz w:val="24"/>
          <w:szCs w:val="24"/>
        </w:rPr>
        <w:t xml:space="preserve"> </w:t>
      </w:r>
      <w:r>
        <w:rPr>
          <w:rFonts w:ascii="宋体" w:hAnsi="宋体" w:cs="宋体"/>
          <w:color w:val="C45911"/>
          <w:kern w:val="0"/>
          <w:szCs w:val="21"/>
        </w:rPr>
        <w:drawing>
          <wp:inline distT="0" distB="0" distL="114300" distR="114300">
            <wp:extent cx="2552700" cy="1626870"/>
            <wp:effectExtent l="0" t="0" r="0" b="11430"/>
            <wp:docPr id="2" name="图片 3" descr="b427dbbddcc68f9371a65dd23336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b427dbbddcc68f9371a65dd233368f1"/>
                    <pic:cNvPicPr>
                      <a:picLocks noChangeAspect="1"/>
                    </pic:cNvPicPr>
                  </pic:nvPicPr>
                  <pic:blipFill>
                    <a:blip r:embed="rId10"/>
                    <a:srcRect t="15096"/>
                    <a:stretch>
                      <a:fillRect/>
                    </a:stretch>
                  </pic:blipFill>
                  <pic:spPr>
                    <a:xfrm>
                      <a:off x="0" y="0"/>
                      <a:ext cx="2552700" cy="1626870"/>
                    </a:xfrm>
                    <a:prstGeom prst="rect">
                      <a:avLst/>
                    </a:prstGeom>
                    <a:noFill/>
                    <a:ln>
                      <a:noFill/>
                    </a:ln>
                  </pic:spPr>
                </pic:pic>
              </a:graphicData>
            </a:graphic>
          </wp:inline>
        </w:drawing>
      </w:r>
    </w:p>
    <w:p>
      <w:pPr>
        <w:rPr>
          <w:rFonts w:asciiTheme="minorEastAsia" w:hAnsiTheme="minorEastAsia" w:eastAsiaTheme="minorEastAsia" w:cstheme="minorEastAsia"/>
          <w:bCs/>
          <w:sz w:val="22"/>
          <w:szCs w:val="22"/>
        </w:rPr>
      </w:pPr>
      <w:r>
        <w:rPr>
          <w:rFonts w:ascii="微软雅黑" w:hAnsi="微软雅黑" w:eastAsia="微软雅黑"/>
          <w:b/>
          <w:color w:val="000000"/>
          <w:sz w:val="24"/>
          <w:szCs w:val="24"/>
        </w:rPr>
        <w:drawing>
          <wp:inline distT="0" distB="0" distL="114300" distR="114300">
            <wp:extent cx="2541270" cy="1626870"/>
            <wp:effectExtent l="0" t="0" r="11430" b="11430"/>
            <wp:docPr id="6" name="图片 4" descr="4ae08a3593fcff909e068f07ffcc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4ae08a3593fcff909e068f07ffcc7ca"/>
                    <pic:cNvPicPr>
                      <a:picLocks noChangeAspect="1"/>
                    </pic:cNvPicPr>
                  </pic:nvPicPr>
                  <pic:blipFill>
                    <a:blip r:embed="rId11"/>
                    <a:srcRect l="15584" r="9061"/>
                    <a:stretch>
                      <a:fillRect/>
                    </a:stretch>
                  </pic:blipFill>
                  <pic:spPr>
                    <a:xfrm>
                      <a:off x="0" y="0"/>
                      <a:ext cx="2541270" cy="1626870"/>
                    </a:xfrm>
                    <a:prstGeom prst="rect">
                      <a:avLst/>
                    </a:prstGeom>
                    <a:noFill/>
                    <a:ln>
                      <a:noFill/>
                    </a:ln>
                  </pic:spPr>
                </pic:pic>
              </a:graphicData>
            </a:graphic>
          </wp:inline>
        </w:drawing>
      </w:r>
      <w:r>
        <w:rPr>
          <w:rFonts w:ascii="微软雅黑" w:hAnsi="微软雅黑" w:eastAsia="微软雅黑"/>
          <w:b/>
          <w:color w:val="000000"/>
          <w:sz w:val="24"/>
          <w:szCs w:val="24"/>
        </w:rPr>
        <w:t xml:space="preserve"> </w:t>
      </w:r>
      <w:r>
        <w:rPr>
          <w:rFonts w:ascii="宋体" w:hAnsi="宋体" w:cs="宋体"/>
          <w:color w:val="C45911"/>
          <w:kern w:val="0"/>
          <w:szCs w:val="21"/>
        </w:rPr>
        <w:drawing>
          <wp:inline distT="0" distB="0" distL="114300" distR="114300">
            <wp:extent cx="2545080" cy="1626870"/>
            <wp:effectExtent l="0" t="0" r="7620" b="11430"/>
            <wp:docPr id="7" name="图片 5" descr="e96e2648bb87da93c113f7c614d0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96e2648bb87da93c113f7c614d012e"/>
                    <pic:cNvPicPr>
                      <a:picLocks noChangeAspect="1"/>
                    </pic:cNvPicPr>
                  </pic:nvPicPr>
                  <pic:blipFill>
                    <a:blip r:embed="rId12"/>
                    <a:srcRect t="7895" r="12837" b="8070"/>
                    <a:stretch>
                      <a:fillRect/>
                    </a:stretch>
                  </pic:blipFill>
                  <pic:spPr>
                    <a:xfrm>
                      <a:off x="0" y="0"/>
                      <a:ext cx="2545080" cy="1626870"/>
                    </a:xfrm>
                    <a:prstGeom prst="rect">
                      <a:avLst/>
                    </a:prstGeom>
                    <a:noFill/>
                    <a:ln>
                      <a:noFill/>
                    </a:ln>
                  </pic:spPr>
                </pic:pic>
              </a:graphicData>
            </a:graphic>
          </wp:inline>
        </w:drawing>
      </w:r>
    </w:p>
    <w:sectPr>
      <w:headerReference r:id="rId3" w:type="default"/>
      <w:footerReference r:id="rId4" w:type="default"/>
      <w:pgSz w:w="11906" w:h="16838"/>
      <w:pgMar w:top="1276" w:right="991" w:bottom="1134" w:left="127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思源黑体 CN Heavy">
    <w:altName w:val="黑体"/>
    <w:panose1 w:val="020B0A00000000000000"/>
    <w:charset w:val="86"/>
    <w:family w:val="swiss"/>
    <w:pitch w:val="default"/>
    <w:sig w:usb0="00000000" w:usb1="00000000" w:usb2="00000016" w:usb3="00000000" w:csb0="00060107"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fldChar w:fldCharType="begin"/>
    </w:r>
    <w:r>
      <w:instrText xml:space="preserve"> PAGE   \* MERGEFORMAT </w:instrText>
    </w:r>
    <w:r>
      <w:fldChar w:fldCharType="separate"/>
    </w:r>
    <w:r>
      <w:rPr>
        <w:lang w:val="zh-CN"/>
      </w:rPr>
      <w:t>8</w:t>
    </w:r>
    <w:r>
      <w:rPr>
        <w:lang w:val="zh-CN"/>
      </w:rPr>
      <w:fldChar w:fldCharType="end"/>
    </w:r>
  </w:p>
  <w:p>
    <w:pPr>
      <w:pStyle w:val="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enter" w:pos="4819"/>
        <w:tab w:val="left" w:pos="8610"/>
        <w:tab w:val="right" w:pos="9639"/>
        <w:tab w:val="clear" w:pos="4153"/>
        <w:tab w:val="clear" w:pos="8306"/>
      </w:tabs>
    </w:pPr>
    <w:r>
      <w:drawing>
        <wp:inline distT="0" distB="0" distL="114300" distR="114300">
          <wp:extent cx="3771900" cy="428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3771900" cy="428625"/>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006E2"/>
    <w:multiLevelType w:val="multilevel"/>
    <w:tmpl w:val="054006E2"/>
    <w:lvl w:ilvl="0" w:tentative="0">
      <w:start w:val="1"/>
      <w:numFmt w:val="decimal"/>
      <w:lvlText w:val="%1)"/>
      <w:lvlJc w:val="left"/>
      <w:pPr>
        <w:ind w:left="1320" w:hanging="480"/>
      </w:pPr>
    </w:lvl>
    <w:lvl w:ilvl="1" w:tentative="0">
      <w:start w:val="1"/>
      <w:numFmt w:val="lowerLetter"/>
      <w:lvlText w:val="%2)"/>
      <w:lvlJc w:val="left"/>
      <w:pPr>
        <w:ind w:left="1800" w:hanging="480"/>
      </w:pPr>
    </w:lvl>
    <w:lvl w:ilvl="2" w:tentative="0">
      <w:start w:val="1"/>
      <w:numFmt w:val="lowerRoman"/>
      <w:lvlText w:val="%3."/>
      <w:lvlJc w:val="right"/>
      <w:pPr>
        <w:ind w:left="2280" w:hanging="480"/>
      </w:pPr>
    </w:lvl>
    <w:lvl w:ilvl="3" w:tentative="0">
      <w:start w:val="1"/>
      <w:numFmt w:val="decimal"/>
      <w:lvlText w:val="%4."/>
      <w:lvlJc w:val="left"/>
      <w:pPr>
        <w:ind w:left="2760" w:hanging="480"/>
      </w:pPr>
    </w:lvl>
    <w:lvl w:ilvl="4" w:tentative="0">
      <w:start w:val="1"/>
      <w:numFmt w:val="lowerLetter"/>
      <w:lvlText w:val="%5)"/>
      <w:lvlJc w:val="left"/>
      <w:pPr>
        <w:ind w:left="3240" w:hanging="480"/>
      </w:pPr>
    </w:lvl>
    <w:lvl w:ilvl="5" w:tentative="0">
      <w:start w:val="1"/>
      <w:numFmt w:val="lowerRoman"/>
      <w:lvlText w:val="%6."/>
      <w:lvlJc w:val="right"/>
      <w:pPr>
        <w:ind w:left="3720" w:hanging="480"/>
      </w:pPr>
    </w:lvl>
    <w:lvl w:ilvl="6" w:tentative="0">
      <w:start w:val="1"/>
      <w:numFmt w:val="decimal"/>
      <w:lvlText w:val="%7."/>
      <w:lvlJc w:val="left"/>
      <w:pPr>
        <w:ind w:left="4200" w:hanging="480"/>
      </w:pPr>
    </w:lvl>
    <w:lvl w:ilvl="7" w:tentative="0">
      <w:start w:val="1"/>
      <w:numFmt w:val="lowerLetter"/>
      <w:lvlText w:val="%8)"/>
      <w:lvlJc w:val="left"/>
      <w:pPr>
        <w:ind w:left="4680" w:hanging="480"/>
      </w:pPr>
    </w:lvl>
    <w:lvl w:ilvl="8" w:tentative="0">
      <w:start w:val="1"/>
      <w:numFmt w:val="lowerRoman"/>
      <w:lvlText w:val="%9."/>
      <w:lvlJc w:val="right"/>
      <w:pPr>
        <w:ind w:left="5160" w:hanging="480"/>
      </w:pPr>
    </w:lvl>
  </w:abstractNum>
  <w:abstractNum w:abstractNumId="1">
    <w:nsid w:val="05607436"/>
    <w:multiLevelType w:val="multilevel"/>
    <w:tmpl w:val="05607436"/>
    <w:lvl w:ilvl="0" w:tentative="0">
      <w:start w:val="1"/>
      <w:numFmt w:val="decimal"/>
      <w:lvlText w:val="%1."/>
      <w:lvlJc w:val="left"/>
      <w:pPr>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8817A17"/>
    <w:multiLevelType w:val="multilevel"/>
    <w:tmpl w:val="08817A1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C734CE4"/>
    <w:multiLevelType w:val="multilevel"/>
    <w:tmpl w:val="0C734CE4"/>
    <w:lvl w:ilvl="0" w:tentative="0">
      <w:start w:val="1"/>
      <w:numFmt w:val="decimal"/>
      <w:lvlText w:val="%1)"/>
      <w:lvlJc w:val="left"/>
      <w:pPr>
        <w:ind w:left="1320" w:hanging="480"/>
      </w:pPr>
    </w:lvl>
    <w:lvl w:ilvl="1" w:tentative="0">
      <w:start w:val="1"/>
      <w:numFmt w:val="lowerLetter"/>
      <w:lvlText w:val="%2)"/>
      <w:lvlJc w:val="left"/>
      <w:pPr>
        <w:ind w:left="1800" w:hanging="480"/>
      </w:pPr>
    </w:lvl>
    <w:lvl w:ilvl="2" w:tentative="0">
      <w:start w:val="1"/>
      <w:numFmt w:val="lowerRoman"/>
      <w:lvlText w:val="%3."/>
      <w:lvlJc w:val="right"/>
      <w:pPr>
        <w:ind w:left="2280" w:hanging="480"/>
      </w:pPr>
    </w:lvl>
    <w:lvl w:ilvl="3" w:tentative="0">
      <w:start w:val="1"/>
      <w:numFmt w:val="decimal"/>
      <w:lvlText w:val="%4."/>
      <w:lvlJc w:val="left"/>
      <w:pPr>
        <w:ind w:left="2760" w:hanging="480"/>
      </w:pPr>
    </w:lvl>
    <w:lvl w:ilvl="4" w:tentative="0">
      <w:start w:val="1"/>
      <w:numFmt w:val="lowerLetter"/>
      <w:lvlText w:val="%5)"/>
      <w:lvlJc w:val="left"/>
      <w:pPr>
        <w:ind w:left="3240" w:hanging="480"/>
      </w:pPr>
    </w:lvl>
    <w:lvl w:ilvl="5" w:tentative="0">
      <w:start w:val="1"/>
      <w:numFmt w:val="lowerRoman"/>
      <w:lvlText w:val="%6."/>
      <w:lvlJc w:val="right"/>
      <w:pPr>
        <w:ind w:left="3720" w:hanging="480"/>
      </w:pPr>
    </w:lvl>
    <w:lvl w:ilvl="6" w:tentative="0">
      <w:start w:val="1"/>
      <w:numFmt w:val="decimal"/>
      <w:lvlText w:val="%7."/>
      <w:lvlJc w:val="left"/>
      <w:pPr>
        <w:ind w:left="4200" w:hanging="480"/>
      </w:pPr>
    </w:lvl>
    <w:lvl w:ilvl="7" w:tentative="0">
      <w:start w:val="1"/>
      <w:numFmt w:val="lowerLetter"/>
      <w:lvlText w:val="%8)"/>
      <w:lvlJc w:val="left"/>
      <w:pPr>
        <w:ind w:left="4680" w:hanging="480"/>
      </w:pPr>
    </w:lvl>
    <w:lvl w:ilvl="8" w:tentative="0">
      <w:start w:val="1"/>
      <w:numFmt w:val="lowerRoman"/>
      <w:lvlText w:val="%9."/>
      <w:lvlJc w:val="right"/>
      <w:pPr>
        <w:ind w:left="5160" w:hanging="480"/>
      </w:pPr>
    </w:lvl>
  </w:abstractNum>
  <w:abstractNum w:abstractNumId="4">
    <w:nsid w:val="143560F3"/>
    <w:multiLevelType w:val="multilevel"/>
    <w:tmpl w:val="143560F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7670C0F"/>
    <w:multiLevelType w:val="multilevel"/>
    <w:tmpl w:val="17670C0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81F0689"/>
    <w:multiLevelType w:val="multilevel"/>
    <w:tmpl w:val="181F0689"/>
    <w:lvl w:ilvl="0" w:tentative="0">
      <w:start w:val="1"/>
      <w:numFmt w:val="bullet"/>
      <w:lvlText w:val=""/>
      <w:lvlJc w:val="left"/>
      <w:pPr>
        <w:ind w:left="900" w:hanging="480"/>
      </w:pPr>
      <w:rPr>
        <w:rFonts w:hint="default" w:ascii="Wingdings" w:hAnsi="Wingdings"/>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7">
    <w:nsid w:val="2F370256"/>
    <w:multiLevelType w:val="multilevel"/>
    <w:tmpl w:val="2F37025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A6E4287"/>
    <w:multiLevelType w:val="multilevel"/>
    <w:tmpl w:val="3A6E428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314103A"/>
    <w:multiLevelType w:val="multilevel"/>
    <w:tmpl w:val="4314103A"/>
    <w:lvl w:ilvl="0" w:tentative="0">
      <w:start w:val="1"/>
      <w:numFmt w:val="decimal"/>
      <w:lvlText w:val="%1)"/>
      <w:lvlJc w:val="left"/>
      <w:pPr>
        <w:ind w:left="1320" w:hanging="480"/>
      </w:pPr>
    </w:lvl>
    <w:lvl w:ilvl="1" w:tentative="0">
      <w:start w:val="1"/>
      <w:numFmt w:val="lowerLetter"/>
      <w:lvlText w:val="%2)"/>
      <w:lvlJc w:val="left"/>
      <w:pPr>
        <w:ind w:left="1800" w:hanging="480"/>
      </w:pPr>
    </w:lvl>
    <w:lvl w:ilvl="2" w:tentative="0">
      <w:start w:val="1"/>
      <w:numFmt w:val="lowerRoman"/>
      <w:lvlText w:val="%3."/>
      <w:lvlJc w:val="right"/>
      <w:pPr>
        <w:ind w:left="2280" w:hanging="480"/>
      </w:pPr>
    </w:lvl>
    <w:lvl w:ilvl="3" w:tentative="0">
      <w:start w:val="1"/>
      <w:numFmt w:val="decimal"/>
      <w:lvlText w:val="%4."/>
      <w:lvlJc w:val="left"/>
      <w:pPr>
        <w:ind w:left="2760" w:hanging="480"/>
      </w:pPr>
    </w:lvl>
    <w:lvl w:ilvl="4" w:tentative="0">
      <w:start w:val="1"/>
      <w:numFmt w:val="lowerLetter"/>
      <w:lvlText w:val="%5)"/>
      <w:lvlJc w:val="left"/>
      <w:pPr>
        <w:ind w:left="3240" w:hanging="480"/>
      </w:pPr>
    </w:lvl>
    <w:lvl w:ilvl="5" w:tentative="0">
      <w:start w:val="1"/>
      <w:numFmt w:val="lowerRoman"/>
      <w:lvlText w:val="%6."/>
      <w:lvlJc w:val="right"/>
      <w:pPr>
        <w:ind w:left="3720" w:hanging="480"/>
      </w:pPr>
    </w:lvl>
    <w:lvl w:ilvl="6" w:tentative="0">
      <w:start w:val="1"/>
      <w:numFmt w:val="decimal"/>
      <w:lvlText w:val="%7."/>
      <w:lvlJc w:val="left"/>
      <w:pPr>
        <w:ind w:left="4200" w:hanging="480"/>
      </w:pPr>
    </w:lvl>
    <w:lvl w:ilvl="7" w:tentative="0">
      <w:start w:val="1"/>
      <w:numFmt w:val="lowerLetter"/>
      <w:lvlText w:val="%8)"/>
      <w:lvlJc w:val="left"/>
      <w:pPr>
        <w:ind w:left="4680" w:hanging="480"/>
      </w:pPr>
    </w:lvl>
    <w:lvl w:ilvl="8" w:tentative="0">
      <w:start w:val="1"/>
      <w:numFmt w:val="lowerRoman"/>
      <w:lvlText w:val="%9."/>
      <w:lvlJc w:val="right"/>
      <w:pPr>
        <w:ind w:left="5160" w:hanging="480"/>
      </w:pPr>
    </w:lvl>
  </w:abstractNum>
  <w:abstractNum w:abstractNumId="10">
    <w:nsid w:val="51351934"/>
    <w:multiLevelType w:val="multilevel"/>
    <w:tmpl w:val="5135193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6971683"/>
    <w:multiLevelType w:val="multilevel"/>
    <w:tmpl w:val="56971683"/>
    <w:lvl w:ilvl="0" w:tentative="0">
      <w:start w:val="1"/>
      <w:numFmt w:val="decimal"/>
      <w:lvlText w:val="%1)"/>
      <w:lvlJc w:val="left"/>
      <w:pPr>
        <w:ind w:left="1320" w:hanging="480"/>
      </w:pPr>
    </w:lvl>
    <w:lvl w:ilvl="1" w:tentative="0">
      <w:start w:val="1"/>
      <w:numFmt w:val="lowerLetter"/>
      <w:lvlText w:val="%2)"/>
      <w:lvlJc w:val="left"/>
      <w:pPr>
        <w:ind w:left="1800" w:hanging="480"/>
      </w:pPr>
    </w:lvl>
    <w:lvl w:ilvl="2" w:tentative="0">
      <w:start w:val="1"/>
      <w:numFmt w:val="lowerRoman"/>
      <w:lvlText w:val="%3."/>
      <w:lvlJc w:val="right"/>
      <w:pPr>
        <w:ind w:left="2280" w:hanging="480"/>
      </w:pPr>
    </w:lvl>
    <w:lvl w:ilvl="3" w:tentative="0">
      <w:start w:val="1"/>
      <w:numFmt w:val="decimal"/>
      <w:lvlText w:val="%4."/>
      <w:lvlJc w:val="left"/>
      <w:pPr>
        <w:ind w:left="2760" w:hanging="480"/>
      </w:pPr>
    </w:lvl>
    <w:lvl w:ilvl="4" w:tentative="0">
      <w:start w:val="1"/>
      <w:numFmt w:val="lowerLetter"/>
      <w:lvlText w:val="%5)"/>
      <w:lvlJc w:val="left"/>
      <w:pPr>
        <w:ind w:left="3240" w:hanging="480"/>
      </w:pPr>
    </w:lvl>
    <w:lvl w:ilvl="5" w:tentative="0">
      <w:start w:val="1"/>
      <w:numFmt w:val="lowerRoman"/>
      <w:lvlText w:val="%6."/>
      <w:lvlJc w:val="right"/>
      <w:pPr>
        <w:ind w:left="3720" w:hanging="480"/>
      </w:pPr>
    </w:lvl>
    <w:lvl w:ilvl="6" w:tentative="0">
      <w:start w:val="1"/>
      <w:numFmt w:val="decimal"/>
      <w:lvlText w:val="%7."/>
      <w:lvlJc w:val="left"/>
      <w:pPr>
        <w:ind w:left="4200" w:hanging="480"/>
      </w:pPr>
    </w:lvl>
    <w:lvl w:ilvl="7" w:tentative="0">
      <w:start w:val="1"/>
      <w:numFmt w:val="lowerLetter"/>
      <w:lvlText w:val="%8)"/>
      <w:lvlJc w:val="left"/>
      <w:pPr>
        <w:ind w:left="4680" w:hanging="480"/>
      </w:pPr>
    </w:lvl>
    <w:lvl w:ilvl="8" w:tentative="0">
      <w:start w:val="1"/>
      <w:numFmt w:val="lowerRoman"/>
      <w:lvlText w:val="%9."/>
      <w:lvlJc w:val="right"/>
      <w:pPr>
        <w:ind w:left="5160" w:hanging="480"/>
      </w:pPr>
    </w:lvl>
  </w:abstractNum>
  <w:abstractNum w:abstractNumId="12">
    <w:nsid w:val="68334206"/>
    <w:multiLevelType w:val="multilevel"/>
    <w:tmpl w:val="68334206"/>
    <w:lvl w:ilvl="0" w:tentative="0">
      <w:start w:val="1"/>
      <w:numFmt w:val="decimal"/>
      <w:lvlText w:val="%1)"/>
      <w:lvlJc w:val="left"/>
      <w:pPr>
        <w:ind w:left="1320" w:hanging="480"/>
      </w:pPr>
    </w:lvl>
    <w:lvl w:ilvl="1" w:tentative="0">
      <w:start w:val="1"/>
      <w:numFmt w:val="lowerLetter"/>
      <w:lvlText w:val="%2)"/>
      <w:lvlJc w:val="left"/>
      <w:pPr>
        <w:ind w:left="1800" w:hanging="480"/>
      </w:pPr>
    </w:lvl>
    <w:lvl w:ilvl="2" w:tentative="0">
      <w:start w:val="1"/>
      <w:numFmt w:val="lowerRoman"/>
      <w:lvlText w:val="%3."/>
      <w:lvlJc w:val="right"/>
      <w:pPr>
        <w:ind w:left="2280" w:hanging="480"/>
      </w:pPr>
    </w:lvl>
    <w:lvl w:ilvl="3" w:tentative="0">
      <w:start w:val="1"/>
      <w:numFmt w:val="decimal"/>
      <w:lvlText w:val="%4."/>
      <w:lvlJc w:val="left"/>
      <w:pPr>
        <w:ind w:left="2760" w:hanging="480"/>
      </w:pPr>
    </w:lvl>
    <w:lvl w:ilvl="4" w:tentative="0">
      <w:start w:val="1"/>
      <w:numFmt w:val="lowerLetter"/>
      <w:lvlText w:val="%5)"/>
      <w:lvlJc w:val="left"/>
      <w:pPr>
        <w:ind w:left="3240" w:hanging="480"/>
      </w:pPr>
    </w:lvl>
    <w:lvl w:ilvl="5" w:tentative="0">
      <w:start w:val="1"/>
      <w:numFmt w:val="lowerRoman"/>
      <w:lvlText w:val="%6."/>
      <w:lvlJc w:val="right"/>
      <w:pPr>
        <w:ind w:left="3720" w:hanging="480"/>
      </w:pPr>
    </w:lvl>
    <w:lvl w:ilvl="6" w:tentative="0">
      <w:start w:val="1"/>
      <w:numFmt w:val="decimal"/>
      <w:lvlText w:val="%7."/>
      <w:lvlJc w:val="left"/>
      <w:pPr>
        <w:ind w:left="4200" w:hanging="480"/>
      </w:pPr>
    </w:lvl>
    <w:lvl w:ilvl="7" w:tentative="0">
      <w:start w:val="1"/>
      <w:numFmt w:val="lowerLetter"/>
      <w:lvlText w:val="%8)"/>
      <w:lvlJc w:val="left"/>
      <w:pPr>
        <w:ind w:left="4680" w:hanging="480"/>
      </w:pPr>
    </w:lvl>
    <w:lvl w:ilvl="8" w:tentative="0">
      <w:start w:val="1"/>
      <w:numFmt w:val="lowerRoman"/>
      <w:lvlText w:val="%9."/>
      <w:lvlJc w:val="right"/>
      <w:pPr>
        <w:ind w:left="5160" w:hanging="480"/>
      </w:pPr>
    </w:lvl>
  </w:abstractNum>
  <w:abstractNum w:abstractNumId="13">
    <w:nsid w:val="6F4746C3"/>
    <w:multiLevelType w:val="multilevel"/>
    <w:tmpl w:val="6F4746C3"/>
    <w:lvl w:ilvl="0" w:tentative="0">
      <w:start w:val="1"/>
      <w:numFmt w:val="decimal"/>
      <w:lvlText w:val="%1."/>
      <w:lvlJc w:val="left"/>
      <w:pPr>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78FF287D"/>
    <w:multiLevelType w:val="multilevel"/>
    <w:tmpl w:val="78FF287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7E8D2850"/>
    <w:multiLevelType w:val="multilevel"/>
    <w:tmpl w:val="7E8D2850"/>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7EA97411"/>
    <w:multiLevelType w:val="multilevel"/>
    <w:tmpl w:val="7EA97411"/>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F92468D"/>
    <w:multiLevelType w:val="multilevel"/>
    <w:tmpl w:val="7F92468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3"/>
  </w:num>
  <w:num w:numId="2">
    <w:abstractNumId w:val="1"/>
  </w:num>
  <w:num w:numId="3">
    <w:abstractNumId w:val="8"/>
  </w:num>
  <w:num w:numId="4">
    <w:abstractNumId w:val="6"/>
  </w:num>
  <w:num w:numId="5">
    <w:abstractNumId w:val="12"/>
  </w:num>
  <w:num w:numId="6">
    <w:abstractNumId w:val="17"/>
  </w:num>
  <w:num w:numId="7">
    <w:abstractNumId w:val="0"/>
  </w:num>
  <w:num w:numId="8">
    <w:abstractNumId w:val="9"/>
  </w:num>
  <w:num w:numId="9">
    <w:abstractNumId w:val="11"/>
  </w:num>
  <w:num w:numId="10">
    <w:abstractNumId w:val="3"/>
  </w:num>
  <w:num w:numId="11">
    <w:abstractNumId w:val="10"/>
  </w:num>
  <w:num w:numId="12">
    <w:abstractNumId w:val="4"/>
  </w:num>
  <w:num w:numId="13">
    <w:abstractNumId w:val="15"/>
  </w:num>
  <w:num w:numId="14">
    <w:abstractNumId w:val="7"/>
  </w:num>
  <w:num w:numId="15">
    <w:abstractNumId w:val="5"/>
  </w:num>
  <w:num w:numId="16">
    <w:abstractNumId w:val="16"/>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Q3YWVlZTk3NjZkY2JmZDU1NTg4YWNhMDMyYjNhNTMifQ=="/>
  </w:docVars>
  <w:rsids>
    <w:rsidRoot w:val="00247DD7"/>
    <w:rsid w:val="000025DF"/>
    <w:rsid w:val="00010636"/>
    <w:rsid w:val="00042A2E"/>
    <w:rsid w:val="00042DAA"/>
    <w:rsid w:val="00075B72"/>
    <w:rsid w:val="00087C73"/>
    <w:rsid w:val="00097EFE"/>
    <w:rsid w:val="000A2046"/>
    <w:rsid w:val="000C187B"/>
    <w:rsid w:val="00114C27"/>
    <w:rsid w:val="00130D0A"/>
    <w:rsid w:val="001379A9"/>
    <w:rsid w:val="00180852"/>
    <w:rsid w:val="001A6848"/>
    <w:rsid w:val="001B66FF"/>
    <w:rsid w:val="001C5472"/>
    <w:rsid w:val="001D3182"/>
    <w:rsid w:val="001F42A4"/>
    <w:rsid w:val="002022C4"/>
    <w:rsid w:val="00206B5E"/>
    <w:rsid w:val="00211033"/>
    <w:rsid w:val="00213266"/>
    <w:rsid w:val="00221455"/>
    <w:rsid w:val="002251C1"/>
    <w:rsid w:val="00247DD7"/>
    <w:rsid w:val="00312841"/>
    <w:rsid w:val="003623FF"/>
    <w:rsid w:val="003710C6"/>
    <w:rsid w:val="003732B1"/>
    <w:rsid w:val="00376113"/>
    <w:rsid w:val="00383C72"/>
    <w:rsid w:val="00390697"/>
    <w:rsid w:val="003957C1"/>
    <w:rsid w:val="003C194F"/>
    <w:rsid w:val="003C1C12"/>
    <w:rsid w:val="003E6732"/>
    <w:rsid w:val="003F134B"/>
    <w:rsid w:val="004476E6"/>
    <w:rsid w:val="00456775"/>
    <w:rsid w:val="004F2BE1"/>
    <w:rsid w:val="004F72EA"/>
    <w:rsid w:val="00504BD6"/>
    <w:rsid w:val="00507A4B"/>
    <w:rsid w:val="00511A75"/>
    <w:rsid w:val="00525D29"/>
    <w:rsid w:val="005604B7"/>
    <w:rsid w:val="00592C4F"/>
    <w:rsid w:val="005B6BEB"/>
    <w:rsid w:val="005C0908"/>
    <w:rsid w:val="005D6995"/>
    <w:rsid w:val="006276C7"/>
    <w:rsid w:val="006362C8"/>
    <w:rsid w:val="00646BB6"/>
    <w:rsid w:val="00650885"/>
    <w:rsid w:val="00671872"/>
    <w:rsid w:val="0067345D"/>
    <w:rsid w:val="00676155"/>
    <w:rsid w:val="006B18D2"/>
    <w:rsid w:val="006E203B"/>
    <w:rsid w:val="006F4941"/>
    <w:rsid w:val="00722998"/>
    <w:rsid w:val="007B6840"/>
    <w:rsid w:val="007E3C13"/>
    <w:rsid w:val="007F5954"/>
    <w:rsid w:val="00805961"/>
    <w:rsid w:val="00897BC9"/>
    <w:rsid w:val="008A114B"/>
    <w:rsid w:val="008C7E37"/>
    <w:rsid w:val="008D0F81"/>
    <w:rsid w:val="008F73C8"/>
    <w:rsid w:val="00906562"/>
    <w:rsid w:val="00972941"/>
    <w:rsid w:val="009C46C2"/>
    <w:rsid w:val="009C4923"/>
    <w:rsid w:val="00A168F7"/>
    <w:rsid w:val="00A35600"/>
    <w:rsid w:val="00A35EAE"/>
    <w:rsid w:val="00A45CB2"/>
    <w:rsid w:val="00B10552"/>
    <w:rsid w:val="00B42388"/>
    <w:rsid w:val="00B53CCA"/>
    <w:rsid w:val="00B672F9"/>
    <w:rsid w:val="00B7627D"/>
    <w:rsid w:val="00BA1490"/>
    <w:rsid w:val="00BD7AA4"/>
    <w:rsid w:val="00C11004"/>
    <w:rsid w:val="00C222C7"/>
    <w:rsid w:val="00C648B8"/>
    <w:rsid w:val="00C70642"/>
    <w:rsid w:val="00C80D58"/>
    <w:rsid w:val="00CB1960"/>
    <w:rsid w:val="00CC2F12"/>
    <w:rsid w:val="00CD7575"/>
    <w:rsid w:val="00CE4728"/>
    <w:rsid w:val="00CF13E4"/>
    <w:rsid w:val="00D12090"/>
    <w:rsid w:val="00D63E68"/>
    <w:rsid w:val="00D812B5"/>
    <w:rsid w:val="00DC240A"/>
    <w:rsid w:val="00DC3E47"/>
    <w:rsid w:val="00EC1BAC"/>
    <w:rsid w:val="00EE0E50"/>
    <w:rsid w:val="00F2611B"/>
    <w:rsid w:val="00F268F4"/>
    <w:rsid w:val="00F53FED"/>
    <w:rsid w:val="00F62BBA"/>
    <w:rsid w:val="00F74A1E"/>
    <w:rsid w:val="00F86B2A"/>
    <w:rsid w:val="00F907EB"/>
    <w:rsid w:val="00FE246F"/>
    <w:rsid w:val="072559B2"/>
    <w:rsid w:val="09145E68"/>
    <w:rsid w:val="0B3F14D4"/>
    <w:rsid w:val="0CB3377E"/>
    <w:rsid w:val="15D05BB5"/>
    <w:rsid w:val="193500DD"/>
    <w:rsid w:val="19E62A14"/>
    <w:rsid w:val="1A150FEE"/>
    <w:rsid w:val="1DC15A77"/>
    <w:rsid w:val="222D2B49"/>
    <w:rsid w:val="25037E29"/>
    <w:rsid w:val="279B10D2"/>
    <w:rsid w:val="282E11F8"/>
    <w:rsid w:val="2C143C0B"/>
    <w:rsid w:val="2C7C5BE6"/>
    <w:rsid w:val="2EBE3FFE"/>
    <w:rsid w:val="3C456262"/>
    <w:rsid w:val="3FA972EA"/>
    <w:rsid w:val="47E34E85"/>
    <w:rsid w:val="4E57715D"/>
    <w:rsid w:val="590D7AE9"/>
    <w:rsid w:val="668545BD"/>
    <w:rsid w:val="68DF711F"/>
    <w:rsid w:val="6A7B666D"/>
    <w:rsid w:val="6DBA48BD"/>
    <w:rsid w:val="704456BC"/>
    <w:rsid w:val="747D3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Hyperlink"/>
    <w:basedOn w:val="8"/>
    <w:unhideWhenUsed/>
    <w:qFormat/>
    <w:uiPriority w:val="99"/>
    <w:rPr>
      <w:color w:val="0000FF"/>
      <w:u w:val="single"/>
    </w:rPr>
  </w:style>
  <w:style w:type="character" w:customStyle="1" w:styleId="10">
    <w:name w:val="页脚 Char"/>
    <w:link w:val="4"/>
    <w:semiHidden/>
    <w:qFormat/>
    <w:uiPriority w:val="0"/>
    <w:rPr>
      <w:kern w:val="2"/>
      <w:sz w:val="18"/>
      <w:szCs w:val="18"/>
    </w:rPr>
  </w:style>
  <w:style w:type="character" w:customStyle="1" w:styleId="11">
    <w:name w:val="页眉 Char"/>
    <w:link w:val="5"/>
    <w:semiHidden/>
    <w:qFormat/>
    <w:uiPriority w:val="0"/>
    <w:rPr>
      <w:kern w:val="2"/>
      <w:sz w:val="18"/>
      <w:szCs w:val="18"/>
    </w:rPr>
  </w:style>
  <w:style w:type="paragraph" w:customStyle="1" w:styleId="12">
    <w:name w:val="普通(网站)1"/>
    <w:basedOn w:val="1"/>
    <w:qFormat/>
    <w:uiPriority w:val="0"/>
    <w:pPr>
      <w:widowControl/>
      <w:spacing w:before="100" w:beforeAutospacing="1" w:after="100" w:afterAutospacing="1"/>
      <w:jc w:val="left"/>
    </w:pPr>
    <w:rPr>
      <w:rFonts w:ascii="宋体" w:hAnsi="宋体"/>
      <w:color w:val="333333"/>
      <w:kern w:val="0"/>
      <w:sz w:val="24"/>
    </w:rPr>
  </w:style>
  <w:style w:type="paragraph" w:styleId="13">
    <w:name w:val="List Paragraph"/>
    <w:basedOn w:val="1"/>
    <w:qFormat/>
    <w:uiPriority w:val="34"/>
    <w:pPr>
      <w:ind w:firstLine="420" w:firstLineChars="200"/>
    </w:pPr>
  </w:style>
  <w:style w:type="character" w:customStyle="1" w:styleId="14">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https://img10.360buyimg.com/bookdetail/jfs/t1/44764/22/15192/246302/5dc2d666E075dda62/954e0d3532e40578.jpg" TargetMode="Externa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Pages>
  <Words>122</Words>
  <Characters>125</Characters>
  <Lines>34</Lines>
  <Paragraphs>9</Paragraphs>
  <TotalTime>1</TotalTime>
  <ScaleCrop>false</ScaleCrop>
  <LinksUpToDate>false</LinksUpToDate>
  <CharactersWithSpaces>127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2021-01-07T05:36:00Z</dcterms:created>
  <dc:creator>Lenovo</dc:creator>
  <cp:lastModifiedBy>Administrator</cp:lastModifiedBy>
  <cp:lastPrinted>2411-12-30T00:00:00Z</cp:lastPrinted>
  <dcterms:modified xsi:type="dcterms:W3CDTF">2022-11-30T07:23:52Z</dcterms:modified>
  <dc:title>基于素质的人才甄选技术</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(2)7o1YNuUI6UZVplZvZw1JhdFE97sCaqllg3Tnw07mWvgOnesNL80SDYGv8iclYkOkHREqlcEW
Kqp9eDmehW+2zEZ/dMYGCk6isPWwWa/nTeasfkUlK9uyWO3t77uxUleeOmMKHirACEXgYatK
6kXoBAynJVVHj2RKCBDHr2wMY5beyWM9SJqhfqv6uegXb6/BhbPTkbxwJvkUtjarMZtJNkc6
D4SxDJD38rYOAakiG04AQ</vt:lpwstr>
  </property>
  <property fmtid="{D5CDD505-2E9C-101B-9397-08002B2CF9AE}" pid="3" name="_ms_pID_7253431">
    <vt:lpwstr>L2UKe7VI26lJSkaw7uXa5C/UsfVObanErWf85FNYS/pbQgn1BnZ
gIvG/cTWffHhe3SCUYZzWNKgKxvnNRfHvhoOH003NfoUzY3QqmDaZaOhte+V6usJzfm/KNcB
KBFSG1vfxDynwUknoYSOaBQc9Q+ibJvLRPR58KMa/McgVw==</vt:lpwstr>
  </property>
  <property fmtid="{D5CDD505-2E9C-101B-9397-08002B2CF9AE}" pid="4" name="KSOProductBuildVer">
    <vt:lpwstr>2052-11.1.0.12763</vt:lpwstr>
  </property>
  <property fmtid="{D5CDD505-2E9C-101B-9397-08002B2CF9AE}" pid="5" name="sflag">
    <vt:lpwstr>1319598693</vt:lpwstr>
  </property>
  <property fmtid="{D5CDD505-2E9C-101B-9397-08002B2CF9AE}" pid="6" name="ICV">
    <vt:lpwstr>80AE279BE1C54E178E620958C82231B2</vt:lpwstr>
  </property>
</Properties>
</file>