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微软雅黑" w:hAnsi="微软雅黑" w:eastAsia="微软雅黑" w:cs="微软雅黑"/>
          <w:b/>
          <w:bCs/>
          <w:sz w:val="40"/>
          <w:szCs w:val="44"/>
        </w:rPr>
      </w:pPr>
      <w:r>
        <w:rPr>
          <w:rFonts w:hint="eastAsia"/>
        </w:rPr>
        <w:drawing>
          <wp:anchor distT="0" distB="0" distL="114300" distR="114300" simplePos="0" relativeHeight="251663360" behindDoc="0" locked="0" layoutInCell="1" allowOverlap="1">
            <wp:simplePos x="0" y="0"/>
            <wp:positionH relativeFrom="column">
              <wp:posOffset>-1104900</wp:posOffset>
            </wp:positionH>
            <wp:positionV relativeFrom="paragraph">
              <wp:posOffset>-923925</wp:posOffset>
            </wp:positionV>
            <wp:extent cx="7553325" cy="3776345"/>
            <wp:effectExtent l="0" t="0" r="9525" b="14605"/>
            <wp:wrapSquare wrapText="bothSides"/>
            <wp:docPr id="13" name="图片 13" descr="红色邀请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红色邀请函1"/>
                    <pic:cNvPicPr>
                      <a:picLocks noChangeAspect="1"/>
                    </pic:cNvPicPr>
                  </pic:nvPicPr>
                  <pic:blipFill>
                    <a:blip r:embed="rId8"/>
                    <a:stretch>
                      <a:fillRect/>
                    </a:stretch>
                  </pic:blipFill>
                  <pic:spPr>
                    <a:xfrm>
                      <a:off x="0" y="0"/>
                      <a:ext cx="7553325" cy="3776345"/>
                    </a:xfrm>
                    <a:prstGeom prst="rect">
                      <a:avLst/>
                    </a:prstGeom>
                  </pic:spPr>
                </pic:pic>
              </a:graphicData>
            </a:graphic>
          </wp:anchor>
        </w:drawing>
      </w:r>
    </w:p>
    <w:p>
      <w:pPr>
        <w:spacing w:line="360" w:lineRule="auto"/>
        <w:rPr>
          <w:rFonts w:hint="eastAsia" w:ascii="微软雅黑" w:hAnsi="微软雅黑" w:eastAsia="微软雅黑" w:cs="微软雅黑"/>
          <w:b/>
          <w:bCs/>
          <w:sz w:val="40"/>
          <w:szCs w:val="44"/>
          <w:lang w:val="en-US" w:eastAsia="zh-CN"/>
        </w:rPr>
      </w:pPr>
      <w:r>
        <w:rPr>
          <w:rFonts w:hint="eastAsia" w:ascii="微软雅黑" w:hAnsi="微软雅黑" w:eastAsia="微软雅黑" w:cs="微软雅黑"/>
          <w:b/>
          <w:bCs/>
          <w:sz w:val="40"/>
          <w:szCs w:val="44"/>
          <w:lang w:val="en-US" w:eastAsia="zh-CN"/>
        </w:rPr>
        <w:t>HR</w:t>
      </w:r>
    </w:p>
    <w:p>
      <w:pPr>
        <w:spacing w:line="360" w:lineRule="auto"/>
        <w:rPr>
          <w:rFonts w:hint="eastAsia" w:ascii="微软雅黑" w:hAnsi="微软雅黑" w:eastAsia="微软雅黑" w:cs="微软雅黑"/>
          <w:b/>
          <w:bCs/>
          <w:color w:val="FF0000"/>
          <w:sz w:val="40"/>
          <w:szCs w:val="40"/>
        </w:rPr>
      </w:pPr>
      <w:r>
        <w:rPr>
          <w:rFonts w:hint="eastAsia" w:ascii="微软雅黑" w:hAnsi="微软雅黑" w:eastAsia="微软雅黑" w:cs="微软雅黑"/>
          <w:b/>
          <w:bCs/>
          <w:color w:val="FF0000"/>
          <w:sz w:val="40"/>
          <w:szCs w:val="40"/>
        </w:rPr>
        <w:t>劳动法之违纪违规、解除终止、经济补偿</w:t>
      </w:r>
    </w:p>
    <w:p>
      <w:pPr>
        <w:spacing w:line="360" w:lineRule="auto"/>
        <w:rPr>
          <w:rFonts w:hint="eastAsia" w:ascii="微软雅黑" w:hAnsi="微软雅黑" w:eastAsia="微软雅黑" w:cs="微软雅黑"/>
          <w:b/>
          <w:bCs/>
          <w:sz w:val="40"/>
          <w:szCs w:val="40"/>
          <w:lang w:eastAsia="zh-CN"/>
        </w:rPr>
      </w:pPr>
      <w:r>
        <w:rPr>
          <w:rFonts w:hint="eastAsia" w:ascii="微软雅黑" w:hAnsi="微软雅黑" w:eastAsia="微软雅黑" w:cs="微软雅黑"/>
          <w:sz w:val="40"/>
          <w:szCs w:val="44"/>
        </w:rPr>
        <w:t>主 讲：</w:t>
      </w:r>
      <w:r>
        <w:rPr>
          <w:rFonts w:hint="eastAsia" w:ascii="微软雅黑" w:hAnsi="微软雅黑" w:eastAsia="微软雅黑" w:cs="微软雅黑"/>
          <w:b/>
          <w:bCs/>
          <w:sz w:val="40"/>
          <w:szCs w:val="40"/>
          <w:lang w:val="en-US" w:eastAsia="zh-CN"/>
        </w:rPr>
        <w:t xml:space="preserve"> 钟永棣</w:t>
      </w:r>
    </w:p>
    <w:p>
      <w:pPr>
        <w:spacing w:line="360" w:lineRule="auto"/>
        <w:rPr>
          <w:rFonts w:hint="eastAsia" w:ascii="微软雅黑" w:hAnsi="微软雅黑" w:eastAsia="微软雅黑" w:cs="微软雅黑"/>
          <w:bCs/>
          <w:sz w:val="40"/>
          <w:szCs w:val="44"/>
        </w:rPr>
      </w:pPr>
      <w:r>
        <w:rPr>
          <w:rFonts w:hint="eastAsia" w:ascii="微软雅黑" w:hAnsi="微软雅黑" w:eastAsia="微软雅黑" w:cs="微软雅黑"/>
          <w:bCs/>
          <w:sz w:val="40"/>
          <w:szCs w:val="44"/>
        </w:rPr>
        <w:t>劳动法与员工关系管理专家</w:t>
      </w:r>
    </w:p>
    <w:p>
      <w:pPr>
        <w:spacing w:line="360" w:lineRule="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rPr>
        <w:t>课程时间/地点：</w:t>
      </w:r>
      <w:r>
        <w:rPr>
          <w:rFonts w:hint="eastAsia" w:ascii="微软雅黑" w:hAnsi="微软雅黑" w:eastAsia="微软雅黑" w:cs="微软雅黑"/>
          <w:bCs/>
          <w:sz w:val="24"/>
          <w:szCs w:val="24"/>
          <w:lang w:val="en-US" w:eastAsia="zh-CN"/>
        </w:rPr>
        <w:t>6</w:t>
      </w:r>
      <w:r>
        <w:rPr>
          <w:rFonts w:hint="eastAsia" w:ascii="微软雅黑" w:hAnsi="微软雅黑" w:eastAsia="微软雅黑" w:cs="微软雅黑"/>
          <w:bCs/>
          <w:sz w:val="24"/>
          <w:szCs w:val="24"/>
        </w:rPr>
        <w:t>月</w:t>
      </w:r>
      <w:r>
        <w:rPr>
          <w:rFonts w:hint="eastAsia" w:ascii="微软雅黑" w:hAnsi="微软雅黑" w:eastAsia="微软雅黑" w:cs="微软雅黑"/>
          <w:bCs/>
          <w:sz w:val="24"/>
          <w:szCs w:val="24"/>
          <w:lang w:val="en-US" w:eastAsia="zh-CN"/>
        </w:rPr>
        <w:t>16</w:t>
      </w:r>
      <w:r>
        <w:rPr>
          <w:rFonts w:hint="eastAsia" w:ascii="微软雅黑" w:hAnsi="微软雅黑" w:eastAsia="微软雅黑" w:cs="微软雅黑"/>
          <w:bCs/>
          <w:sz w:val="24"/>
          <w:szCs w:val="24"/>
        </w:rPr>
        <w:t>日</w:t>
      </w:r>
      <w:r>
        <w:rPr>
          <w:rFonts w:hint="eastAsia" w:ascii="微软雅黑" w:hAnsi="微软雅黑" w:eastAsia="微软雅黑" w:cs="微软雅黑"/>
          <w:bCs/>
          <w:color w:val="262626"/>
          <w:sz w:val="24"/>
          <w:szCs w:val="24"/>
        </w:rPr>
        <w:t>（周五）</w:t>
      </w:r>
      <w:r>
        <w:rPr>
          <w:rFonts w:hint="eastAsia" w:ascii="微软雅黑" w:hAnsi="微软雅黑" w:eastAsia="微软雅黑" w:cs="微软雅黑"/>
          <w:bCs/>
          <w:sz w:val="24"/>
          <w:szCs w:val="24"/>
        </w:rPr>
        <w:t>/</w:t>
      </w:r>
      <w:r>
        <w:rPr>
          <w:rFonts w:hint="eastAsia" w:ascii="微软雅黑" w:hAnsi="微软雅黑" w:eastAsia="微软雅黑" w:cs="微软雅黑"/>
          <w:bCs/>
          <w:sz w:val="24"/>
          <w:szCs w:val="24"/>
          <w:lang w:eastAsia="zh-CN"/>
        </w:rPr>
        <w:t>深圳</w:t>
      </w:r>
    </w:p>
    <w:p>
      <w:pPr>
        <w:spacing w:line="360" w:lineRule="auto"/>
        <w:rPr>
          <w:rFonts w:ascii="微软雅黑" w:hAnsi="微软雅黑" w:eastAsia="微软雅黑" w:cs="微软雅黑"/>
          <w:bCs/>
          <w:sz w:val="24"/>
          <w:szCs w:val="24"/>
        </w:rPr>
      </w:pPr>
      <w:r>
        <w:rPr>
          <w:rFonts w:hint="eastAsia" w:ascii="微软雅黑" w:hAnsi="微软雅黑" w:eastAsia="微软雅黑" w:cs="微软雅黑"/>
          <w:bCs/>
          <w:sz w:val="24"/>
          <w:szCs w:val="24"/>
        </w:rPr>
        <w:t>课程费用：</w:t>
      </w:r>
      <w:r>
        <w:rPr>
          <w:rFonts w:hint="eastAsia" w:ascii="微软雅黑" w:hAnsi="微软雅黑" w:eastAsia="微软雅黑" w:cs="微软雅黑"/>
          <w:bCs/>
          <w:sz w:val="24"/>
          <w:szCs w:val="24"/>
          <w:lang w:val="en-US" w:eastAsia="zh-CN"/>
        </w:rPr>
        <w:t>20</w:t>
      </w:r>
      <w:r>
        <w:rPr>
          <w:rFonts w:hint="eastAsia" w:ascii="微软雅黑" w:hAnsi="微软雅黑" w:eastAsia="微软雅黑" w:cs="微软雅黑"/>
          <w:bCs/>
          <w:sz w:val="24"/>
          <w:szCs w:val="24"/>
        </w:rPr>
        <w:t>00元/人（会员</w:t>
      </w:r>
      <w:r>
        <w:rPr>
          <w:rFonts w:hint="eastAsia" w:ascii="微软雅黑" w:hAnsi="微软雅黑" w:eastAsia="微软雅黑" w:cs="微软雅黑"/>
          <w:bCs/>
          <w:sz w:val="24"/>
          <w:szCs w:val="24"/>
          <w:lang w:val="en-US" w:eastAsia="zh-CN"/>
        </w:rPr>
        <w:t>3</w:t>
      </w:r>
      <w:r>
        <w:rPr>
          <w:rFonts w:hint="eastAsia" w:ascii="微软雅黑" w:hAnsi="微软雅黑" w:eastAsia="微软雅黑" w:cs="微软雅黑"/>
          <w:bCs/>
          <w:sz w:val="24"/>
          <w:szCs w:val="24"/>
        </w:rPr>
        <w:t>张票）</w:t>
      </w:r>
    </w:p>
    <w:p>
      <w:pPr>
        <w:jc w:val="left"/>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rPr>
        <w:t>课程对象：</w:t>
      </w:r>
      <w:r>
        <w:rPr>
          <w:rFonts w:hint="eastAsia" w:ascii="微软雅黑" w:hAnsi="微软雅黑" w:eastAsia="微软雅黑" w:cs="微软雅黑"/>
          <w:bCs/>
          <w:sz w:val="24"/>
          <w:szCs w:val="24"/>
          <w:lang w:val="en-US" w:eastAsia="zh-CN"/>
        </w:rPr>
        <w:t>HR管理者、企业中高层、法务人员、工会干部</w:t>
      </w:r>
    </w:p>
    <w:p>
      <w:pPr>
        <w:jc w:val="left"/>
        <w:rPr>
          <w:rFonts w:hint="eastAsia" w:ascii="宋体" w:hAnsi="宋体" w:eastAsia="微软雅黑" w:cs="宋体"/>
          <w:lang w:eastAsia="zh-CN"/>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spacing w:before="156" w:beforeLines="50" w:line="300" w:lineRule="exact"/>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课程背景：</w:t>
      </w:r>
    </w:p>
    <w:p>
      <w:pPr>
        <w:spacing w:line="300" w:lineRule="exact"/>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2008年至今，随着《劳动合同法》《劳动争议调解仲裁法》《社会保险法》《职业病防治法》《劳动合同法实施条例》《职工带薪年休假条例》《工伤保险条例》《女职工劳动保护特别规定》《企业民主管理规定》《劳务派遣暂行规定》《</w:t>
      </w:r>
      <w:r>
        <w:rPr>
          <w:rFonts w:hint="eastAsia" w:ascii="微软雅黑" w:hAnsi="微软雅黑" w:eastAsia="微软雅黑" w:cs="微软雅黑"/>
          <w:sz w:val="24"/>
          <w:szCs w:val="24"/>
          <w:lang w:val="en-US" w:eastAsia="zh-CN"/>
        </w:rPr>
        <w:t>新</w:t>
      </w:r>
      <w:r>
        <w:rPr>
          <w:rFonts w:hint="eastAsia" w:ascii="微软雅黑" w:hAnsi="微软雅黑" w:eastAsia="微软雅黑" w:cs="微软雅黑"/>
          <w:sz w:val="24"/>
          <w:szCs w:val="24"/>
        </w:rPr>
        <w:t>劳动争议司法解释（</w:t>
      </w:r>
      <w:r>
        <w:rPr>
          <w:rFonts w:hint="eastAsia" w:ascii="微软雅黑" w:hAnsi="微软雅黑" w:eastAsia="微软雅黑" w:cs="微软雅黑"/>
          <w:sz w:val="24"/>
          <w:szCs w:val="24"/>
          <w:lang w:val="en-US" w:eastAsia="zh-CN"/>
        </w:rPr>
        <w:t>一</w:t>
      </w:r>
      <w:r>
        <w:rPr>
          <w:rFonts w:hint="eastAsia" w:ascii="微软雅黑" w:hAnsi="微软雅黑" w:eastAsia="微软雅黑" w:cs="微软雅黑"/>
          <w:sz w:val="24"/>
          <w:szCs w:val="24"/>
        </w:rPr>
        <w:t>）》等法律法规</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司法解释</w:t>
      </w:r>
      <w:r>
        <w:rPr>
          <w:rFonts w:hint="eastAsia" w:ascii="微软雅黑" w:hAnsi="微软雅黑" w:eastAsia="微软雅黑" w:cs="微软雅黑"/>
          <w:sz w:val="24"/>
          <w:szCs w:val="24"/>
        </w:rPr>
        <w:t>的陆续出台或修正，全国各地的劳动争议案件此起披伏，持续稳中有涨；当中大部分的案件均以用人单位败诉告终。可以说，用人单位的劳动用工法律风险无处不在，“传统、粗放、随便”的人力资源管理模式正接受着法律的挑战和考验！广大用人单位很有必要尽快了解相关政策法律法规，掌握防范用工风险和化解劳动争议的技能技巧，以迅速杜绝或减少劳动争议的发生及败诉的概率！</w:t>
      </w:r>
    </w:p>
    <w:p>
      <w:pPr>
        <w:spacing w:line="300" w:lineRule="exact"/>
        <w:rPr>
          <w:rFonts w:hint="eastAsia" w:ascii="微软雅黑" w:hAnsi="微软雅黑" w:eastAsia="微软雅黑" w:cs="微软雅黑"/>
          <w:sz w:val="24"/>
          <w:szCs w:val="24"/>
        </w:rPr>
      </w:pPr>
    </w:p>
    <w:p>
      <w:pPr>
        <w:spacing w:line="300" w:lineRule="exact"/>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课程收益:</w:t>
      </w:r>
    </w:p>
    <w:p>
      <w:pPr>
        <w:spacing w:line="240" w:lineRule="auto"/>
        <w:ind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1、了解劳动用工过程的法律风险</w:t>
      </w:r>
    </w:p>
    <w:p>
      <w:pPr>
        <w:spacing w:line="240" w:lineRule="auto"/>
        <w:ind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2、理解与劳动用工有关的政策法律法规</w:t>
      </w:r>
    </w:p>
    <w:p>
      <w:pPr>
        <w:spacing w:line="240" w:lineRule="auto"/>
        <w:ind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3、强化管理者的法律风险意识、证据保留意识</w:t>
      </w:r>
    </w:p>
    <w:p>
      <w:pPr>
        <w:spacing w:line="240" w:lineRule="auto"/>
        <w:ind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4、掌握有效预防和应对风险的实战技能及方法工具</w:t>
      </w:r>
    </w:p>
    <w:p>
      <w:pPr>
        <w:spacing w:line="240" w:lineRule="auto"/>
        <w:ind w:firstLine="480" w:firstLineChars="200"/>
        <w:rPr>
          <w:rFonts w:hint="eastAsia" w:ascii="微软雅黑" w:hAnsi="微软雅黑" w:eastAsia="微软雅黑" w:cs="微软雅黑"/>
          <w:sz w:val="24"/>
          <w:szCs w:val="24"/>
          <w:lang w:val="en-US" w:eastAsia="zh-CN"/>
        </w:rPr>
      </w:pPr>
    </w:p>
    <w:p>
      <w:pPr>
        <w:spacing w:line="440" w:lineRule="exact"/>
        <w:rPr>
          <w:rFonts w:hint="eastAsia" w:ascii="微软雅黑" w:hAnsi="微软雅黑" w:eastAsia="微软雅黑" w:cs="微软雅黑"/>
          <w:b/>
          <w:sz w:val="24"/>
          <w:szCs w:val="24"/>
          <w:lang w:eastAsia="zh-CN"/>
        </w:rPr>
      </w:pPr>
      <w:r>
        <w:rPr>
          <w:rFonts w:hint="eastAsia" w:ascii="微软雅黑" w:hAnsi="微软雅黑" w:eastAsia="微软雅黑" w:cs="微软雅黑"/>
          <w:b/>
          <w:sz w:val="24"/>
          <w:szCs w:val="24"/>
        </w:rPr>
        <w:t>主讲嘉宾</w:t>
      </w:r>
      <w:r>
        <w:rPr>
          <w:rFonts w:hint="eastAsia" w:ascii="微软雅黑" w:hAnsi="微软雅黑" w:eastAsia="微软雅黑" w:cs="微软雅黑"/>
          <w:b/>
          <w:sz w:val="24"/>
          <w:szCs w:val="24"/>
          <w:lang w:eastAsia="zh-CN"/>
        </w:rPr>
        <w:t>：</w:t>
      </w:r>
    </w:p>
    <w:p>
      <w:pPr>
        <w:spacing w:line="24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钟永棣   国内著名劳动法与劳动关系管理实战专家、高级人力资源管理师、高级劳动关系协调师；</w:t>
      </w:r>
      <w:r>
        <w:rPr>
          <w:rFonts w:hint="eastAsia" w:ascii="微软雅黑" w:hAnsi="微软雅黑" w:eastAsia="微软雅黑" w:cs="微软雅黑"/>
          <w:sz w:val="24"/>
          <w:szCs w:val="24"/>
          <w:lang w:val="en-US" w:eastAsia="zh-CN"/>
        </w:rPr>
        <w:t>法学学士、管理学硕士；</w:t>
      </w:r>
      <w:r>
        <w:rPr>
          <w:rFonts w:hint="eastAsia" w:ascii="微软雅黑" w:hAnsi="微软雅黑" w:eastAsia="微软雅黑" w:cs="微软雅黑"/>
          <w:sz w:val="24"/>
          <w:szCs w:val="24"/>
        </w:rPr>
        <w:t>2000年</w:t>
      </w:r>
      <w:r>
        <w:rPr>
          <w:rFonts w:hint="eastAsia" w:ascii="微软雅黑" w:hAnsi="微软雅黑" w:eastAsia="微软雅黑" w:cs="微软雅黑"/>
          <w:sz w:val="24"/>
          <w:szCs w:val="24"/>
          <w:lang w:val="en-US" w:eastAsia="zh-CN"/>
        </w:rPr>
        <w:t>7月</w:t>
      </w:r>
      <w:r>
        <w:rPr>
          <w:rFonts w:hint="eastAsia" w:ascii="微软雅黑" w:hAnsi="微软雅黑" w:eastAsia="微软雅黑" w:cs="微软雅黑"/>
          <w:sz w:val="24"/>
          <w:szCs w:val="24"/>
        </w:rPr>
        <w:t>至今一直从事与劳动法有关的工作，精通劳动法律法规和劳动争议的预防与应对，擅长把企业人力资源管理与劳动法律法规完美整合；曾获“广州市优秀劳动仲裁员”称号，任职劳动仲裁员期间审裁劳动争议案件400多宗；多年来累计</w:t>
      </w:r>
      <w:r>
        <w:rPr>
          <w:rFonts w:hint="eastAsia" w:ascii="微软雅黑" w:hAnsi="微软雅黑" w:eastAsia="微软雅黑" w:cs="微软雅黑"/>
          <w:sz w:val="24"/>
          <w:szCs w:val="24"/>
          <w:lang w:val="en-US" w:eastAsia="zh-CN"/>
        </w:rPr>
        <w:t>研究劳动争议判决书5000多份，累计</w:t>
      </w:r>
      <w:r>
        <w:rPr>
          <w:rFonts w:hint="eastAsia" w:ascii="微软雅黑" w:hAnsi="微软雅黑" w:eastAsia="微软雅黑" w:cs="微软雅黑"/>
          <w:sz w:val="24"/>
          <w:szCs w:val="24"/>
        </w:rPr>
        <w:t>协助客户处理劳动争议500多宗，</w:t>
      </w:r>
      <w:r>
        <w:rPr>
          <w:rFonts w:hint="eastAsia" w:ascii="微软雅黑" w:hAnsi="微软雅黑" w:eastAsia="微软雅黑" w:cs="微软雅黑"/>
          <w:sz w:val="24"/>
          <w:szCs w:val="24"/>
          <w:lang w:val="en-US" w:eastAsia="zh-CN"/>
        </w:rPr>
        <w:t>累计</w:t>
      </w:r>
      <w:r>
        <w:rPr>
          <w:rFonts w:hint="eastAsia" w:ascii="微软雅黑" w:hAnsi="微软雅黑" w:eastAsia="微软雅黑" w:cs="微软雅黑"/>
          <w:sz w:val="24"/>
          <w:szCs w:val="24"/>
        </w:rPr>
        <w:t>审查完善400多家企业的人力资源制度合同文书，</w:t>
      </w:r>
      <w:r>
        <w:rPr>
          <w:rFonts w:hint="eastAsia" w:ascii="微软雅黑" w:hAnsi="微软雅黑" w:eastAsia="微软雅黑" w:cs="微软雅黑"/>
          <w:sz w:val="24"/>
          <w:szCs w:val="24"/>
          <w:lang w:val="en-US" w:eastAsia="zh-CN"/>
        </w:rPr>
        <w:t>累计</w:t>
      </w:r>
      <w:r>
        <w:rPr>
          <w:rFonts w:hint="eastAsia" w:ascii="微软雅黑" w:hAnsi="微软雅黑" w:eastAsia="微软雅黑" w:cs="微软雅黑"/>
          <w:sz w:val="24"/>
          <w:szCs w:val="24"/>
        </w:rPr>
        <w:t>担任200多家企事业单位的人力资源法律顾问，</w:t>
      </w:r>
      <w:r>
        <w:rPr>
          <w:rFonts w:hint="eastAsia" w:ascii="微软雅黑" w:hAnsi="微软雅黑" w:eastAsia="微软雅黑" w:cs="微软雅黑"/>
          <w:sz w:val="24"/>
          <w:szCs w:val="24"/>
          <w:lang w:val="en-US" w:eastAsia="zh-CN"/>
        </w:rPr>
        <w:t>累计</w:t>
      </w:r>
      <w:r>
        <w:rPr>
          <w:rFonts w:hint="eastAsia" w:ascii="微软雅黑" w:hAnsi="微软雅黑" w:eastAsia="微软雅黑" w:cs="微软雅黑"/>
          <w:sz w:val="24"/>
          <w:szCs w:val="24"/>
        </w:rPr>
        <w:t>讲授劳动法与劳动关系课程1</w:t>
      </w: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rPr>
        <w:t>00多天；其课程深入浅出，实战型超强，让学员即时学以致用！</w:t>
      </w:r>
    </w:p>
    <w:p>
      <w:pPr>
        <w:tabs>
          <w:tab w:val="left" w:pos="1950"/>
        </w:tabs>
        <w:spacing w:line="300" w:lineRule="exact"/>
        <w:ind w:firstLine="600" w:firstLineChars="250"/>
        <w:rPr>
          <w:rFonts w:hint="eastAsia" w:ascii="微软雅黑" w:hAnsi="微软雅黑" w:eastAsia="微软雅黑" w:cs="微软雅黑"/>
          <w:sz w:val="24"/>
          <w:szCs w:val="24"/>
        </w:rPr>
      </w:pPr>
    </w:p>
    <w:p>
      <w:pPr>
        <w:spacing w:line="300" w:lineRule="exact"/>
        <w:rPr>
          <w:rFonts w:hint="eastAsia" w:ascii="微软雅黑" w:hAnsi="微软雅黑" w:eastAsia="微软雅黑" w:cs="微软雅黑"/>
          <w:b/>
          <w:kern w:val="0"/>
          <w:sz w:val="24"/>
          <w:szCs w:val="24"/>
          <w:lang w:eastAsia="zh-CN"/>
        </w:rPr>
      </w:pPr>
      <w:r>
        <w:rPr>
          <w:rFonts w:hint="eastAsia" w:ascii="微软雅黑" w:hAnsi="微软雅黑" w:eastAsia="微软雅黑" w:cs="微软雅黑"/>
          <w:b/>
          <w:kern w:val="0"/>
          <w:sz w:val="24"/>
          <w:szCs w:val="24"/>
          <w:lang w:eastAsia="zh-CN"/>
        </w:rPr>
        <w:t>一、</w:t>
      </w:r>
      <w:r>
        <w:rPr>
          <w:rFonts w:hint="eastAsia" w:ascii="微软雅黑" w:hAnsi="微软雅黑" w:eastAsia="微软雅黑" w:cs="微软雅黑"/>
          <w:b/>
          <w:kern w:val="0"/>
          <w:sz w:val="24"/>
          <w:szCs w:val="24"/>
        </w:rPr>
        <w:t>违纪违规问题员工处理</w:t>
      </w:r>
    </w:p>
    <w:p>
      <w:pPr>
        <w:pStyle w:val="14"/>
        <w:numPr>
          <w:ilvl w:val="0"/>
          <w:numId w:val="2"/>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劳动者往往拒绝签收处分、解雇通知书，如何应对？</w:t>
      </w:r>
    </w:p>
    <w:p>
      <w:pPr>
        <w:pStyle w:val="14"/>
        <w:numPr>
          <w:ilvl w:val="0"/>
          <w:numId w:val="2"/>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问题员工往往拒绝提交《检讨书》或否认违纪违规事实，用人单位该如何收集证据？</w:t>
      </w:r>
    </w:p>
    <w:p>
      <w:pPr>
        <w:pStyle w:val="14"/>
        <w:numPr>
          <w:ilvl w:val="0"/>
          <w:numId w:val="2"/>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对于违纪员工，应该在什么时间内处理？</w:t>
      </w:r>
    </w:p>
    <w:p>
      <w:pPr>
        <w:pStyle w:val="14"/>
        <w:numPr>
          <w:ilvl w:val="0"/>
          <w:numId w:val="2"/>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续签劳动合同后，能否追究员工上一期合同内的违纪责任？</w:t>
      </w:r>
    </w:p>
    <w:p>
      <w:pPr>
        <w:pStyle w:val="14"/>
        <w:numPr>
          <w:ilvl w:val="0"/>
          <w:numId w:val="2"/>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怎样理解“严重违反用人单位的规章制度”?</w:t>
      </w:r>
    </w:p>
    <w:p>
      <w:pPr>
        <w:pStyle w:val="14"/>
        <w:numPr>
          <w:ilvl w:val="0"/>
          <w:numId w:val="2"/>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 xml:space="preserve">如何在《惩罚条例》中描述“一般违纪”、“较重违纪”及“严重违纪”？ </w:t>
      </w:r>
    </w:p>
    <w:p>
      <w:pPr>
        <w:pStyle w:val="14"/>
        <w:numPr>
          <w:ilvl w:val="0"/>
          <w:numId w:val="2"/>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怎样理解“严重失职，营私舞弊，给用人单位造成重大损害”？</w:t>
      </w:r>
    </w:p>
    <w:p>
      <w:pPr>
        <w:pStyle w:val="14"/>
        <w:numPr>
          <w:ilvl w:val="0"/>
          <w:numId w:val="2"/>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如何界定“重大损害”，“重大损害”是否必须体现为造成直接的经济损失？</w:t>
      </w:r>
    </w:p>
    <w:p>
      <w:pPr>
        <w:pStyle w:val="14"/>
        <w:numPr>
          <w:ilvl w:val="0"/>
          <w:numId w:val="2"/>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如何追究“严重失职、严重违纪违规”者的法律责任？</w:t>
      </w:r>
    </w:p>
    <w:p>
      <w:pPr>
        <w:pStyle w:val="14"/>
        <w:numPr>
          <w:ilvl w:val="0"/>
          <w:numId w:val="2"/>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能否直接规定“禁止兼职，否则视为严重违纪违规”？</w:t>
      </w:r>
    </w:p>
    <w:p>
      <w:pPr>
        <w:pStyle w:val="14"/>
        <w:numPr>
          <w:ilvl w:val="0"/>
          <w:numId w:val="2"/>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直线部门经理擅自口头辞退员工，仲裁机构往往认定用人单位非法解雇，用人单位该如何做，才避免案件败诉？</w:t>
      </w:r>
    </w:p>
    <w:p>
      <w:pPr>
        <w:pStyle w:val="14"/>
        <w:numPr>
          <w:ilvl w:val="0"/>
          <w:numId w:val="2"/>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劳动者不辞而别、无故旷工，却主张被用人单位口头解雇，往往得到仲裁机构的支持，用人单位该如何做，才避免案件败诉？</w:t>
      </w:r>
    </w:p>
    <w:p>
      <w:pPr>
        <w:pStyle w:val="14"/>
        <w:numPr>
          <w:ilvl w:val="0"/>
          <w:numId w:val="2"/>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员工被拘留、判刑，劳动关系怎样处理？</w:t>
      </w:r>
    </w:p>
    <w:p>
      <w:pPr>
        <w:pStyle w:val="14"/>
        <w:numPr>
          <w:ilvl w:val="0"/>
          <w:numId w:val="2"/>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 xml:space="preserve">“录音录象”证据，仲裁与法院是否采信；用人单位内部OA系统上的资料能否作为证据使用；电子邮件、手机短信能否作为证据使用？ </w:t>
      </w:r>
    </w:p>
    <w:p>
      <w:pPr>
        <w:pStyle w:val="14"/>
        <w:numPr>
          <w:ilvl w:val="0"/>
          <w:numId w:val="0"/>
        </w:numPr>
        <w:spacing w:before="0" w:beforeAutospacing="0" w:after="0" w:afterAutospacing="0" w:line="300" w:lineRule="exact"/>
        <w:ind w:left="420" w:leftChars="0"/>
        <w:jc w:val="both"/>
        <w:rPr>
          <w:rStyle w:val="18"/>
          <w:rFonts w:hint="eastAsia" w:ascii="微软雅黑" w:hAnsi="微软雅黑" w:eastAsia="微软雅黑" w:cs="微软雅黑"/>
          <w:b w:val="0"/>
          <w:bCs w:val="0"/>
          <w:sz w:val="24"/>
          <w:szCs w:val="24"/>
          <w:lang w:val="en-US" w:eastAsia="zh-CN"/>
        </w:rPr>
      </w:pPr>
    </w:p>
    <w:p>
      <w:pPr>
        <w:spacing w:line="300" w:lineRule="exact"/>
        <w:rPr>
          <w:rFonts w:hint="eastAsia" w:ascii="微软雅黑" w:hAnsi="微软雅黑" w:eastAsia="微软雅黑" w:cs="微软雅黑"/>
          <w:b/>
          <w:kern w:val="0"/>
          <w:sz w:val="24"/>
          <w:szCs w:val="24"/>
          <w:lang w:eastAsia="zh-CN"/>
        </w:rPr>
      </w:pPr>
      <w:r>
        <w:rPr>
          <w:rFonts w:hint="eastAsia" w:ascii="微软雅黑" w:hAnsi="微软雅黑" w:eastAsia="微软雅黑" w:cs="微软雅黑"/>
          <w:b/>
          <w:kern w:val="0"/>
          <w:sz w:val="24"/>
          <w:szCs w:val="24"/>
          <w:lang w:val="en-US" w:eastAsia="zh-CN"/>
        </w:rPr>
        <w:t>二、</w:t>
      </w:r>
      <w:r>
        <w:rPr>
          <w:rFonts w:hint="eastAsia" w:ascii="微软雅黑" w:hAnsi="微软雅黑" w:eastAsia="微软雅黑" w:cs="微软雅黑"/>
          <w:b/>
          <w:kern w:val="0"/>
          <w:sz w:val="24"/>
          <w:szCs w:val="24"/>
        </w:rPr>
        <w:t>劳动</w:t>
      </w:r>
      <w:r>
        <w:rPr>
          <w:rFonts w:hint="eastAsia" w:ascii="微软雅黑" w:hAnsi="微软雅黑" w:eastAsia="微软雅黑" w:cs="微软雅黑"/>
          <w:b/>
          <w:kern w:val="0"/>
          <w:sz w:val="24"/>
          <w:szCs w:val="24"/>
          <w:lang w:val="en-US" w:eastAsia="zh-CN"/>
        </w:rPr>
        <w:t>合同</w:t>
      </w:r>
      <w:r>
        <w:rPr>
          <w:rFonts w:hint="eastAsia" w:ascii="微软雅黑" w:hAnsi="微软雅黑" w:eastAsia="微软雅黑" w:cs="微软雅黑"/>
          <w:b/>
          <w:kern w:val="0"/>
          <w:sz w:val="24"/>
          <w:szCs w:val="24"/>
        </w:rPr>
        <w:t>解除</w:t>
      </w:r>
      <w:r>
        <w:rPr>
          <w:rFonts w:hint="eastAsia" w:ascii="微软雅黑" w:hAnsi="微软雅黑" w:eastAsia="微软雅黑" w:cs="微软雅黑"/>
          <w:b/>
          <w:kern w:val="0"/>
          <w:sz w:val="24"/>
          <w:szCs w:val="24"/>
          <w:lang w:val="en-US" w:eastAsia="zh-CN"/>
        </w:rPr>
        <w:t>与</w:t>
      </w:r>
      <w:r>
        <w:rPr>
          <w:rFonts w:hint="eastAsia" w:ascii="微软雅黑" w:hAnsi="微软雅黑" w:eastAsia="微软雅黑" w:cs="微软雅黑"/>
          <w:b/>
          <w:kern w:val="0"/>
          <w:sz w:val="24"/>
          <w:szCs w:val="24"/>
        </w:rPr>
        <w:t>终止</w:t>
      </w:r>
    </w:p>
    <w:p>
      <w:pPr>
        <w:pStyle w:val="14"/>
        <w:numPr>
          <w:ilvl w:val="0"/>
          <w:numId w:val="3"/>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解除与终止有什么区别？</w:t>
      </w:r>
    </w:p>
    <w:p>
      <w:pPr>
        <w:pStyle w:val="14"/>
        <w:numPr>
          <w:ilvl w:val="0"/>
          <w:numId w:val="3"/>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双方协商解除劳动合同并约定支付适当的经济补偿，事后劳动者追讨经济补偿的差额部分，仲裁、法院有可能支持劳动者的诉求，用人单位如何避免案件败诉？</w:t>
      </w:r>
    </w:p>
    <w:p>
      <w:pPr>
        <w:pStyle w:val="14"/>
        <w:numPr>
          <w:ilvl w:val="0"/>
          <w:numId w:val="3"/>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能否与“三期妇女、特殊保护期间的员工”协商解除，如何规避风险？</w:t>
      </w:r>
    </w:p>
    <w:p>
      <w:pPr>
        <w:pStyle w:val="14"/>
        <w:numPr>
          <w:ilvl w:val="0"/>
          <w:numId w:val="3"/>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员工未提前30日通知用人单位即自行离职，用人单位能否扣减其工资？</w:t>
      </w:r>
    </w:p>
    <w:p>
      <w:pPr>
        <w:pStyle w:val="14"/>
        <w:numPr>
          <w:ilvl w:val="0"/>
          <w:numId w:val="3"/>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员工提交辞职信后的30天内，用人单位批准其离职，可能有风险，如何化解？</w:t>
      </w:r>
    </w:p>
    <w:p>
      <w:pPr>
        <w:pStyle w:val="14"/>
        <w:numPr>
          <w:ilvl w:val="0"/>
          <w:numId w:val="3"/>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员工提交辞职信后的30天后，用人单位批准其离职，也可能有风险，如何化解？</w:t>
      </w:r>
    </w:p>
    <w:p>
      <w:pPr>
        <w:pStyle w:val="14"/>
        <w:numPr>
          <w:ilvl w:val="0"/>
          <w:numId w:val="3"/>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解除劳动合同是否均需提前30日告知劳动者？</w:t>
      </w:r>
    </w:p>
    <w:p>
      <w:pPr>
        <w:pStyle w:val="14"/>
        <w:numPr>
          <w:ilvl w:val="0"/>
          <w:numId w:val="3"/>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对于患病员工，能否解除，如何操作才能降低法律风险？</w:t>
      </w:r>
    </w:p>
    <w:p>
      <w:pPr>
        <w:pStyle w:val="14"/>
        <w:numPr>
          <w:ilvl w:val="0"/>
          <w:numId w:val="3"/>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实行末位淘汰制，以末位排名为由解雇员工，往往被认定非法解雇，用人单位该如何做，才避免案件败诉？</w:t>
      </w:r>
    </w:p>
    <w:p>
      <w:pPr>
        <w:pStyle w:val="14"/>
        <w:numPr>
          <w:ilvl w:val="0"/>
          <w:numId w:val="3"/>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以“组织架构调整，无合适岗位安排”为由解雇员工，感觉非常符合常理，但往往被认定非法解雇，用人单位该如何做才避免风险？</w:t>
      </w:r>
    </w:p>
    <w:p>
      <w:pPr>
        <w:pStyle w:val="14"/>
        <w:numPr>
          <w:ilvl w:val="0"/>
          <w:numId w:val="3"/>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以“经济性裁员”名义解雇员工，感觉非常符合常理，但往往被认定非法解雇，用人单位该如何操作？</w:t>
      </w:r>
    </w:p>
    <w:p>
      <w:pPr>
        <w:pStyle w:val="14"/>
        <w:numPr>
          <w:ilvl w:val="0"/>
          <w:numId w:val="3"/>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《解除劳动合同通知书》如果表述不当，往往成为劳动者打赢官司的有力证据，用人单位该如何书写，才避免案件败诉而承担法律责任？</w:t>
      </w:r>
    </w:p>
    <w:p>
      <w:pPr>
        <w:pStyle w:val="14"/>
        <w:numPr>
          <w:ilvl w:val="0"/>
          <w:numId w:val="3"/>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解除劳动合同前未通知及征求工会的意见，是否构成非法解除？</w:t>
      </w:r>
    </w:p>
    <w:p>
      <w:pPr>
        <w:pStyle w:val="14"/>
        <w:numPr>
          <w:ilvl w:val="0"/>
          <w:numId w:val="3"/>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终止劳动合同是否需要提前30日告知劳动者？</w:t>
      </w:r>
    </w:p>
    <w:p>
      <w:pPr>
        <w:pStyle w:val="14"/>
        <w:numPr>
          <w:ilvl w:val="0"/>
          <w:numId w:val="3"/>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用人单位不出具《离职证明》的，有什么法律责任？</w:t>
      </w:r>
    </w:p>
    <w:p>
      <w:pPr>
        <w:pStyle w:val="14"/>
        <w:numPr>
          <w:ilvl w:val="0"/>
          <w:numId w:val="0"/>
        </w:numPr>
        <w:spacing w:before="0" w:beforeAutospacing="0" w:after="0" w:afterAutospacing="0" w:line="300" w:lineRule="exact"/>
        <w:ind w:left="420" w:leftChars="0"/>
        <w:jc w:val="both"/>
        <w:rPr>
          <w:rStyle w:val="18"/>
          <w:rFonts w:hint="eastAsia" w:ascii="微软雅黑" w:hAnsi="微软雅黑" w:eastAsia="微软雅黑" w:cs="微软雅黑"/>
          <w:b w:val="0"/>
          <w:bCs w:val="0"/>
          <w:sz w:val="24"/>
          <w:szCs w:val="24"/>
          <w:lang w:val="en-US" w:eastAsia="zh-CN"/>
        </w:rPr>
      </w:pPr>
    </w:p>
    <w:p>
      <w:pPr>
        <w:spacing w:line="300" w:lineRule="exact"/>
        <w:rPr>
          <w:rFonts w:hint="eastAsia" w:ascii="微软雅黑" w:hAnsi="微软雅黑" w:eastAsia="微软雅黑" w:cs="微软雅黑"/>
          <w:b/>
          <w:kern w:val="0"/>
          <w:sz w:val="24"/>
          <w:szCs w:val="24"/>
          <w:lang w:val="en-US" w:eastAsia="zh-CN"/>
        </w:rPr>
      </w:pPr>
      <w:r>
        <w:rPr>
          <w:rFonts w:hint="eastAsia" w:ascii="微软雅黑" w:hAnsi="微软雅黑" w:eastAsia="微软雅黑" w:cs="微软雅黑"/>
          <w:b/>
          <w:kern w:val="0"/>
          <w:sz w:val="24"/>
          <w:szCs w:val="24"/>
          <w:lang w:val="en-US" w:eastAsia="zh-CN"/>
        </w:rPr>
        <w:t>三</w:t>
      </w:r>
      <w:r>
        <w:rPr>
          <w:rFonts w:hint="eastAsia" w:ascii="微软雅黑" w:hAnsi="微软雅黑" w:eastAsia="微软雅黑" w:cs="微软雅黑"/>
          <w:b/>
          <w:kern w:val="0"/>
          <w:sz w:val="24"/>
          <w:szCs w:val="24"/>
          <w:lang w:eastAsia="zh-CN"/>
        </w:rPr>
        <w:t>、</w:t>
      </w:r>
      <w:r>
        <w:rPr>
          <w:rFonts w:hint="eastAsia" w:ascii="微软雅黑" w:hAnsi="微软雅黑" w:eastAsia="微软雅黑" w:cs="微软雅黑"/>
          <w:b/>
          <w:kern w:val="0"/>
          <w:sz w:val="24"/>
          <w:szCs w:val="24"/>
        </w:rPr>
        <w:t>经济补偿</w:t>
      </w:r>
      <w:r>
        <w:rPr>
          <w:rFonts w:hint="eastAsia" w:ascii="微软雅黑" w:hAnsi="微软雅黑" w:eastAsia="微软雅黑" w:cs="微软雅黑"/>
          <w:b/>
          <w:kern w:val="0"/>
          <w:sz w:val="24"/>
          <w:szCs w:val="24"/>
          <w:lang w:val="en-US" w:eastAsia="zh-CN"/>
        </w:rPr>
        <w:t>与赔偿金</w:t>
      </w:r>
    </w:p>
    <w:p>
      <w:pPr>
        <w:pStyle w:val="14"/>
        <w:numPr>
          <w:ilvl w:val="0"/>
          <w:numId w:val="4"/>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用人单位需向劳动者支付经济补偿的情形有哪些？</w:t>
      </w:r>
    </w:p>
    <w:p>
      <w:pPr>
        <w:pStyle w:val="14"/>
        <w:numPr>
          <w:ilvl w:val="0"/>
          <w:numId w:val="4"/>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什么情况下用人单位需支付两倍的经济补偿？</w:t>
      </w:r>
    </w:p>
    <w:p>
      <w:pPr>
        <w:pStyle w:val="14"/>
        <w:numPr>
          <w:ilvl w:val="0"/>
          <w:numId w:val="4"/>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劳动者可否同时向用人单位主张经济补偿和赔偿金？</w:t>
      </w:r>
    </w:p>
    <w:p>
      <w:pPr>
        <w:pStyle w:val="14"/>
        <w:numPr>
          <w:ilvl w:val="0"/>
          <w:numId w:val="4"/>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经济补偿计算的基数及标准如何确定？</w:t>
      </w:r>
    </w:p>
    <w:p>
      <w:pPr>
        <w:pStyle w:val="14"/>
        <w:numPr>
          <w:ilvl w:val="0"/>
          <w:numId w:val="4"/>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解除前12个月内员工休过医疗期，其平均工资如何认定？</w:t>
      </w:r>
    </w:p>
    <w:p>
      <w:pPr>
        <w:pStyle w:val="14"/>
        <w:numPr>
          <w:ilvl w:val="0"/>
          <w:numId w:val="4"/>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经济补偿年限最高不超过十二年的适用范围？</w:t>
      </w:r>
    </w:p>
    <w:p>
      <w:pPr>
        <w:pStyle w:val="14"/>
        <w:numPr>
          <w:ilvl w:val="0"/>
          <w:numId w:val="4"/>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如何计算《劳动合同法》生效前后的经济补偿年限？</w:t>
      </w:r>
    </w:p>
    <w:p>
      <w:pPr>
        <w:pStyle w:val="14"/>
        <w:numPr>
          <w:ilvl w:val="0"/>
          <w:numId w:val="4"/>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如何理解“六个月以上不满一年的，按一年计算；不满六个月的，向劳动者支付半个月工资的经济补偿”？</w:t>
      </w:r>
    </w:p>
    <w:p>
      <w:pPr>
        <w:pStyle w:val="14"/>
        <w:numPr>
          <w:ilvl w:val="0"/>
          <w:numId w:val="4"/>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未提前30天通知解除的代通知金标准是多少？</w:t>
      </w:r>
    </w:p>
    <w:p>
      <w:pPr>
        <w:pStyle w:val="14"/>
        <w:numPr>
          <w:ilvl w:val="0"/>
          <w:numId w:val="4"/>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以劳动合同法第四十条即时解雇且不支付代通知金，是否属于违法解除？</w:t>
      </w:r>
    </w:p>
    <w:p>
      <w:pPr>
        <w:pStyle w:val="14"/>
        <w:numPr>
          <w:ilvl w:val="0"/>
          <w:numId w:val="4"/>
        </w:numPr>
        <w:spacing w:before="0" w:beforeAutospacing="0" w:after="0" w:afterAutospacing="0" w:line="300" w:lineRule="exact"/>
        <w:jc w:val="both"/>
        <w:rPr>
          <w:rStyle w:val="18"/>
          <w:rFonts w:hint="eastAsia" w:ascii="微软雅黑" w:hAnsi="微软雅黑" w:eastAsia="微软雅黑" w:cs="微软雅黑"/>
          <w:b w:val="0"/>
          <w:bCs w:val="0"/>
          <w:sz w:val="24"/>
          <w:szCs w:val="24"/>
          <w:lang w:val="en-US" w:eastAsia="zh-CN"/>
        </w:rPr>
      </w:pPr>
      <w:r>
        <w:rPr>
          <w:rStyle w:val="18"/>
          <w:rFonts w:hint="eastAsia" w:ascii="微软雅黑" w:hAnsi="微软雅黑" w:eastAsia="微软雅黑" w:cs="微软雅黑"/>
          <w:b w:val="0"/>
          <w:bCs w:val="0"/>
          <w:sz w:val="24"/>
          <w:szCs w:val="24"/>
          <w:lang w:val="en-US" w:eastAsia="zh-CN"/>
        </w:rPr>
        <w:t>违法解除下是否存在代通知金？</w:t>
      </w:r>
    </w:p>
    <w:p>
      <w:pPr>
        <w:pStyle w:val="14"/>
        <w:numPr>
          <w:numId w:val="0"/>
        </w:numPr>
        <w:spacing w:before="0" w:beforeAutospacing="0" w:after="0" w:afterAutospacing="0" w:line="300" w:lineRule="exact"/>
        <w:ind w:left="420" w:leftChars="0"/>
        <w:jc w:val="both"/>
        <w:rPr>
          <w:rStyle w:val="18"/>
          <w:rFonts w:hint="eastAsia" w:ascii="宋体" w:hAnsi="宋体" w:eastAsia="宋体" w:cs="宋体"/>
          <w:b w:val="0"/>
          <w:bCs w:val="0"/>
          <w:sz w:val="21"/>
          <w:szCs w:val="21"/>
          <w:lang w:val="en-US" w:eastAsia="zh-CN"/>
        </w:rPr>
      </w:pPr>
    </w:p>
    <w:p>
      <w:pPr>
        <w:pStyle w:val="14"/>
        <w:numPr>
          <w:numId w:val="0"/>
        </w:numPr>
        <w:spacing w:before="0" w:beforeAutospacing="0" w:after="0" w:afterAutospacing="0" w:line="300" w:lineRule="exact"/>
        <w:ind w:left="420" w:leftChars="0"/>
        <w:jc w:val="both"/>
        <w:rPr>
          <w:rStyle w:val="18"/>
          <w:rFonts w:hint="eastAsia" w:ascii="宋体" w:hAnsi="宋体" w:eastAsia="宋体" w:cs="宋体"/>
          <w:b w:val="0"/>
          <w:bCs w:val="0"/>
          <w:sz w:val="21"/>
          <w:szCs w:val="21"/>
          <w:lang w:val="en-US" w:eastAsia="zh-CN"/>
        </w:rPr>
      </w:pPr>
    </w:p>
    <w:p>
      <w:pPr>
        <w:autoSpaceDE w:val="0"/>
        <w:autoSpaceDN w:val="0"/>
        <w:adjustRightInd w:val="0"/>
        <w:ind w:right="16"/>
        <w:jc w:val="center"/>
        <w:rPr>
          <w:rFonts w:hint="eastAsia" w:ascii="微软雅黑" w:hAnsi="微软雅黑" w:eastAsia="微软雅黑" w:cs="微软雅黑"/>
          <w:b/>
          <w:spacing w:val="43"/>
          <w:kern w:val="0"/>
          <w:sz w:val="24"/>
          <w:szCs w:val="24"/>
        </w:rPr>
      </w:pPr>
      <w:r>
        <w:rPr>
          <w:rFonts w:hint="eastAsia" w:ascii="微软雅黑" w:hAnsi="微软雅黑" w:eastAsia="微软雅黑" w:cs="微软雅黑"/>
          <w:sz w:val="24"/>
          <w:szCs w:val="24"/>
        </w:rPr>
        <w:drawing>
          <wp:anchor distT="0" distB="0" distL="114300" distR="114300" simplePos="0" relativeHeight="251666432" behindDoc="0" locked="0" layoutInCell="1" allowOverlap="1">
            <wp:simplePos x="0" y="0"/>
            <wp:positionH relativeFrom="column">
              <wp:posOffset>3536315</wp:posOffset>
            </wp:positionH>
            <wp:positionV relativeFrom="paragraph">
              <wp:posOffset>256540</wp:posOffset>
            </wp:positionV>
            <wp:extent cx="1827530" cy="2291715"/>
            <wp:effectExtent l="0" t="0" r="1270" b="9525"/>
            <wp:wrapSquare wrapText="bothSides"/>
            <wp:docPr id="2454" name="图片 2454" descr="钟永棣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 name="图片 2454" descr="钟永棣3"/>
                    <pic:cNvPicPr>
                      <a:picLocks noChangeAspect="1" noChangeArrowheads="1"/>
                    </pic:cNvPicPr>
                  </pic:nvPicPr>
                  <pic:blipFill>
                    <a:blip r:embed="rId9" cstate="print"/>
                    <a:srcRect/>
                    <a:stretch>
                      <a:fillRect/>
                    </a:stretch>
                  </pic:blipFill>
                  <pic:spPr>
                    <a:xfrm>
                      <a:off x="0" y="0"/>
                      <a:ext cx="1827530" cy="2291715"/>
                    </a:xfrm>
                    <a:prstGeom prst="rect">
                      <a:avLst/>
                    </a:prstGeom>
                    <a:noFill/>
                    <a:ln w="9525">
                      <a:noFill/>
                      <a:miter lim="800000"/>
                      <a:headEnd/>
                      <a:tailEnd/>
                    </a:ln>
                  </pic:spPr>
                </pic:pic>
              </a:graphicData>
            </a:graphic>
          </wp:anchor>
        </w:drawing>
      </w:r>
      <w:r>
        <w:rPr>
          <w:rFonts w:hint="eastAsia" w:ascii="微软雅黑" w:hAnsi="微软雅黑" w:eastAsia="微软雅黑" w:cs="微软雅黑"/>
          <w:b/>
          <w:spacing w:val="43"/>
          <w:kern w:val="0"/>
          <w:sz w:val="24"/>
          <w:szCs w:val="24"/>
        </w:rPr>
        <w:t>老师简介</w:t>
      </w:r>
    </w:p>
    <w:p>
      <w:pPr>
        <w:autoSpaceDE w:val="0"/>
        <w:autoSpaceDN w:val="0"/>
        <w:adjustRightInd w:val="0"/>
        <w:ind w:right="16"/>
        <w:jc w:val="center"/>
        <w:rPr>
          <w:rFonts w:hint="eastAsia" w:ascii="微软雅黑" w:hAnsi="微软雅黑" w:eastAsia="微软雅黑" w:cs="微软雅黑"/>
          <w:b/>
          <w:spacing w:val="43"/>
          <w:kern w:val="0"/>
          <w:sz w:val="24"/>
          <w:szCs w:val="24"/>
        </w:rPr>
      </w:pPr>
      <w:r>
        <w:rPr>
          <w:rFonts w:hint="eastAsia" w:ascii="微软雅黑" w:hAnsi="微软雅黑" w:eastAsia="微软雅黑" w:cs="微软雅黑"/>
          <w:b/>
          <w:spacing w:val="43"/>
          <w:kern w:val="0"/>
          <w:sz w:val="24"/>
          <w:szCs w:val="24"/>
        </w:rPr>
        <w:t>钟永棣</w:t>
      </w:r>
      <w:bookmarkStart w:id="0" w:name="_GoBack"/>
      <w:bookmarkEnd w:id="0"/>
    </w:p>
    <w:p>
      <w:pPr>
        <w:spacing w:before="156" w:beforeLines="50" w:line="420" w:lineRule="exact"/>
        <w:ind w:firstLine="540" w:firstLineChars="225"/>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国内著名劳动法与劳动关系管理实战专家    </w:t>
      </w:r>
    </w:p>
    <w:p>
      <w:pPr>
        <w:spacing w:line="420" w:lineRule="exact"/>
        <w:ind w:firstLine="540" w:firstLineChars="225"/>
        <w:rPr>
          <w:rFonts w:hint="eastAsia" w:ascii="微软雅黑" w:hAnsi="微软雅黑" w:eastAsia="微软雅黑" w:cs="微软雅黑"/>
          <w:sz w:val="24"/>
          <w:szCs w:val="24"/>
        </w:rPr>
      </w:pPr>
      <w:r>
        <w:rPr>
          <w:rFonts w:hint="eastAsia" w:ascii="微软雅黑" w:hAnsi="微软雅黑" w:eastAsia="微软雅黑" w:cs="微软雅黑"/>
          <w:sz w:val="24"/>
          <w:szCs w:val="24"/>
        </w:rPr>
        <w:t>劳动仲裁员、劳动争议预防与应对专家</w:t>
      </w:r>
    </w:p>
    <w:p>
      <w:pPr>
        <w:spacing w:line="420" w:lineRule="exact"/>
        <w:ind w:firstLine="540" w:firstLineChars="225"/>
        <w:rPr>
          <w:rFonts w:hint="eastAsia" w:ascii="微软雅黑" w:hAnsi="微软雅黑" w:eastAsia="微软雅黑" w:cs="微软雅黑"/>
          <w:sz w:val="24"/>
          <w:szCs w:val="24"/>
        </w:rPr>
      </w:pPr>
      <w:r>
        <w:rPr>
          <w:rFonts w:hint="eastAsia" w:ascii="微软雅黑" w:hAnsi="微软雅黑" w:eastAsia="微软雅黑" w:cs="微软雅黑"/>
          <w:sz w:val="24"/>
          <w:szCs w:val="24"/>
        </w:rPr>
        <w:t>人力资源管理师、高级人力资源管理师</w:t>
      </w:r>
    </w:p>
    <w:p>
      <w:pPr>
        <w:spacing w:line="420" w:lineRule="exact"/>
        <w:ind w:firstLine="540" w:firstLineChars="225"/>
        <w:rPr>
          <w:rFonts w:hint="eastAsia" w:ascii="微软雅黑" w:hAnsi="微软雅黑" w:eastAsia="微软雅黑" w:cs="微软雅黑"/>
          <w:sz w:val="24"/>
          <w:szCs w:val="24"/>
        </w:rPr>
      </w:pPr>
      <w:r>
        <w:rPr>
          <w:rFonts w:hint="eastAsia" w:ascii="微软雅黑" w:hAnsi="微软雅黑" w:eastAsia="微软雅黑" w:cs="微软雅黑"/>
          <w:sz w:val="24"/>
          <w:szCs w:val="24"/>
        </w:rPr>
        <w:t>劳动关系协调师、高级劳动关系协调师</w:t>
      </w:r>
    </w:p>
    <w:p>
      <w:pPr>
        <w:spacing w:line="420" w:lineRule="exact"/>
        <w:ind w:firstLine="540" w:firstLineChars="225"/>
        <w:rPr>
          <w:rFonts w:hint="eastAsia" w:ascii="微软雅黑" w:hAnsi="微软雅黑" w:eastAsia="微软雅黑" w:cs="微软雅黑"/>
          <w:sz w:val="24"/>
          <w:szCs w:val="24"/>
        </w:rPr>
      </w:pPr>
      <w:r>
        <w:rPr>
          <w:rFonts w:hint="eastAsia" w:ascii="微软雅黑" w:hAnsi="微软雅黑" w:eastAsia="微软雅黑" w:cs="微软雅黑"/>
          <w:sz w:val="24"/>
          <w:szCs w:val="24"/>
        </w:rPr>
        <w:t>国内原创型、实战型、顾问型的培训师</w:t>
      </w:r>
    </w:p>
    <w:p>
      <w:pPr>
        <w:spacing w:line="420" w:lineRule="exact"/>
        <w:ind w:firstLine="540" w:firstLineChars="225"/>
        <w:rPr>
          <w:rFonts w:hint="eastAsia" w:ascii="微软雅黑" w:hAnsi="微软雅黑" w:eastAsia="微软雅黑" w:cs="微软雅黑"/>
          <w:sz w:val="24"/>
          <w:szCs w:val="24"/>
        </w:rPr>
      </w:pPr>
      <w:r>
        <w:rPr>
          <w:rFonts w:hint="eastAsia" w:ascii="微软雅黑" w:hAnsi="微软雅黑" w:eastAsia="微软雅黑" w:cs="微软雅黑"/>
          <w:sz w:val="24"/>
          <w:szCs w:val="24"/>
        </w:rPr>
        <w:t>国内第一批倡导、传播、实施“国家劳动法与企业薪酬绩效有机整合”的先行者。</w:t>
      </w:r>
    </w:p>
    <w:p>
      <w:pPr>
        <w:spacing w:line="420" w:lineRule="exact"/>
        <w:ind w:firstLine="540" w:firstLineChars="225"/>
        <w:rPr>
          <w:rFonts w:hint="eastAsia" w:ascii="微软雅黑" w:hAnsi="微软雅黑" w:eastAsia="微软雅黑" w:cs="微软雅黑"/>
          <w:sz w:val="24"/>
          <w:szCs w:val="24"/>
        </w:rPr>
      </w:pPr>
      <w:r>
        <w:rPr>
          <w:rFonts w:hint="eastAsia" w:ascii="微软雅黑" w:hAnsi="微软雅黑" w:eastAsia="微软雅黑" w:cs="微软雅黑"/>
          <w:sz w:val="24"/>
          <w:szCs w:val="24"/>
        </w:rPr>
        <w:t>现任“劳律通法律顾问服务中心”首席顾问，上海德禾翰通律师事务所董事顾问；</w:t>
      </w:r>
      <w:r>
        <w:rPr>
          <w:rStyle w:val="41"/>
          <w:rFonts w:hint="eastAsia" w:ascii="微软雅黑" w:hAnsi="微软雅黑" w:eastAsia="微软雅黑" w:cs="微软雅黑"/>
          <w:sz w:val="24"/>
          <w:szCs w:val="24"/>
        </w:rPr>
        <w:t>兼任时代光华培训机构、中华创世纪培训网、深圳外商投资企业协会、广州市人力资源市场服务中心、广州市劳动保障学会、广州市就业训练中心、广东省人力资源管理协会、香港工业总会、中山大学、华南理工大学、浙江大学等</w:t>
      </w:r>
      <w:r>
        <w:rPr>
          <w:rFonts w:hint="eastAsia" w:ascii="微软雅黑" w:hAnsi="微软雅黑" w:eastAsia="微软雅黑" w:cs="微软雅黑"/>
          <w:sz w:val="24"/>
          <w:szCs w:val="24"/>
        </w:rPr>
        <w:t>200多家培训公司、行业协会、有关机构的签约讲师、特聘顾问。</w:t>
      </w:r>
    </w:p>
    <w:p>
      <w:pPr>
        <w:spacing w:line="420" w:lineRule="exact"/>
        <w:ind w:firstLine="540" w:firstLineChars="225"/>
        <w:rPr>
          <w:rFonts w:hint="eastAsia" w:ascii="微软雅黑" w:hAnsi="微软雅黑" w:eastAsia="微软雅黑" w:cs="微软雅黑"/>
          <w:sz w:val="24"/>
          <w:szCs w:val="24"/>
        </w:rPr>
      </w:pPr>
      <w:r>
        <w:rPr>
          <w:rFonts w:hint="eastAsia" w:ascii="微软雅黑" w:hAnsi="微软雅黑" w:eastAsia="微软雅黑" w:cs="微软雅黑"/>
          <w:sz w:val="24"/>
          <w:szCs w:val="24"/>
        </w:rPr>
        <w:t>曾在《广州日报》、《南方都市报》、《中国社会科学报》、《人力资源》、《香港工业总会月刊》等报刊、杂志、媒体发表专业文章或采访稿100多篇。</w:t>
      </w:r>
    </w:p>
    <w:p>
      <w:pPr>
        <w:spacing w:line="420" w:lineRule="exact"/>
        <w:rPr>
          <w:rFonts w:hint="eastAsia" w:ascii="微软雅黑" w:hAnsi="微软雅黑" w:eastAsia="微软雅黑" w:cs="微软雅黑"/>
          <w:sz w:val="24"/>
          <w:szCs w:val="24"/>
        </w:rPr>
      </w:pPr>
    </w:p>
    <w:p>
      <w:pPr>
        <w:spacing w:line="420" w:lineRule="exact"/>
        <w:rPr>
          <w:rStyle w:val="42"/>
          <w:rFonts w:hint="eastAsia" w:ascii="微软雅黑" w:hAnsi="微软雅黑" w:eastAsia="微软雅黑" w:cs="微软雅黑"/>
          <w:b/>
          <w:color w:val="C00000"/>
          <w:sz w:val="24"/>
          <w:szCs w:val="24"/>
        </w:rPr>
      </w:pPr>
      <w:r>
        <w:rPr>
          <w:rStyle w:val="42"/>
          <w:rFonts w:hint="eastAsia" w:ascii="微软雅黑" w:hAnsi="微软雅黑" w:eastAsia="微软雅黑" w:cs="微软雅黑"/>
          <w:b/>
          <w:color w:val="C00000"/>
          <w:sz w:val="24"/>
          <w:szCs w:val="24"/>
        </w:rPr>
        <w:t>实战经历：</w:t>
      </w:r>
    </w:p>
    <w:p>
      <w:pPr>
        <w:spacing w:line="420" w:lineRule="exact"/>
        <w:ind w:firstLine="540" w:firstLineChars="225"/>
        <w:rPr>
          <w:rFonts w:hint="eastAsia" w:ascii="微软雅黑" w:hAnsi="微软雅黑" w:eastAsia="微软雅黑" w:cs="微软雅黑"/>
          <w:sz w:val="24"/>
          <w:szCs w:val="24"/>
        </w:rPr>
      </w:pPr>
      <w:r>
        <w:rPr>
          <w:rFonts w:hint="eastAsia" w:ascii="微软雅黑" w:hAnsi="微软雅黑" w:eastAsia="微软雅黑" w:cs="微软雅黑"/>
          <w:sz w:val="24"/>
          <w:szCs w:val="24"/>
        </w:rPr>
        <w:t>2000年至今，一直从事与劳动法、劳动关系、劳动争议有关的工作。</w:t>
      </w:r>
    </w:p>
    <w:p>
      <w:pPr>
        <w:spacing w:line="420" w:lineRule="exact"/>
        <w:ind w:firstLine="540" w:firstLineChars="225"/>
        <w:rPr>
          <w:rFonts w:hint="eastAsia" w:ascii="微软雅黑" w:hAnsi="微软雅黑" w:eastAsia="微软雅黑" w:cs="微软雅黑"/>
          <w:sz w:val="24"/>
          <w:szCs w:val="24"/>
        </w:rPr>
      </w:pPr>
      <w:r>
        <w:rPr>
          <w:rFonts w:hint="eastAsia" w:ascii="微软雅黑" w:hAnsi="微软雅黑" w:eastAsia="微软雅黑" w:cs="微软雅黑"/>
          <w:sz w:val="24"/>
          <w:szCs w:val="24"/>
        </w:rPr>
        <w:t>曾获“广州市优秀劳动仲裁员”称号，审判劳动争议案件400多宗；代理劳动争议500多宗，审查完善400多家企业的劳动用工管理规章制度。</w:t>
      </w:r>
    </w:p>
    <w:p>
      <w:pPr>
        <w:spacing w:line="420" w:lineRule="exact"/>
        <w:ind w:firstLine="540" w:firstLineChars="225"/>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钟老师深谙企业管理之道，并长期致力于劳动法律法规与薪酬绩效管理有机、完美整合的研究与实践，曾参与企业薪酬绩效咨询项目20多个。 </w:t>
      </w:r>
    </w:p>
    <w:p>
      <w:pPr>
        <w:spacing w:line="420" w:lineRule="exact"/>
        <w:ind w:firstLine="540" w:firstLineChars="225"/>
        <w:rPr>
          <w:rFonts w:hint="eastAsia" w:ascii="微软雅黑" w:hAnsi="微软雅黑" w:eastAsia="微软雅黑" w:cs="微软雅黑"/>
          <w:sz w:val="24"/>
          <w:szCs w:val="24"/>
        </w:rPr>
      </w:pPr>
      <w:r>
        <w:rPr>
          <w:rFonts w:hint="eastAsia" w:ascii="微软雅黑" w:hAnsi="微软雅黑" w:eastAsia="微软雅黑" w:cs="微软雅黑"/>
          <w:sz w:val="24"/>
          <w:szCs w:val="24"/>
        </w:rPr>
        <w:t>主讲劳动法、劳动关系公开课、内训课1000 多场次，受益企业达30000多家，直接受益学员70000多人；培训地点涉及20多个省会城市及沿海地区大城市。</w:t>
      </w:r>
    </w:p>
    <w:p>
      <w:pPr>
        <w:spacing w:line="420" w:lineRule="exact"/>
        <w:ind w:firstLine="540" w:firstLineChars="225"/>
        <w:rPr>
          <w:rFonts w:hint="eastAsia" w:ascii="微软雅黑" w:hAnsi="微软雅黑" w:eastAsia="微软雅黑" w:cs="微软雅黑"/>
          <w:sz w:val="24"/>
          <w:szCs w:val="24"/>
        </w:rPr>
      </w:pPr>
      <w:r>
        <w:rPr>
          <w:rFonts w:hint="eastAsia" w:ascii="微软雅黑" w:hAnsi="微软雅黑" w:eastAsia="微软雅黑" w:cs="微软雅黑"/>
          <w:sz w:val="24"/>
          <w:szCs w:val="24"/>
        </w:rPr>
        <w:t>个人长期担任30多家（累计200多家）企业的劳动法律顾问；以钟老师领衔的专家队伍，长期为企业提供劳动法律常年顾问及各种劳动关系管理专项咨询服务，客户满意度高达95%。</w:t>
      </w:r>
    </w:p>
    <w:p>
      <w:pPr>
        <w:spacing w:line="420" w:lineRule="exact"/>
        <w:rPr>
          <w:rStyle w:val="41"/>
          <w:rFonts w:hint="eastAsia" w:ascii="微软雅黑" w:hAnsi="微软雅黑" w:eastAsia="微软雅黑" w:cs="微软雅黑"/>
          <w:sz w:val="24"/>
          <w:szCs w:val="24"/>
        </w:rPr>
      </w:pPr>
    </w:p>
    <w:p>
      <w:pPr>
        <w:spacing w:line="420" w:lineRule="exact"/>
        <w:rPr>
          <w:rFonts w:hint="eastAsia" w:ascii="微软雅黑" w:hAnsi="微软雅黑" w:eastAsia="微软雅黑" w:cs="微软雅黑"/>
          <w:b/>
          <w:color w:val="C00000"/>
          <w:sz w:val="24"/>
          <w:szCs w:val="24"/>
        </w:rPr>
      </w:pPr>
      <w:r>
        <w:rPr>
          <w:rStyle w:val="41"/>
          <w:rFonts w:hint="eastAsia" w:ascii="微软雅黑" w:hAnsi="微软雅黑" w:eastAsia="微软雅黑" w:cs="微软雅黑"/>
          <w:b/>
          <w:color w:val="C00000"/>
          <w:sz w:val="24"/>
          <w:szCs w:val="24"/>
        </w:rPr>
        <w:t>实战技能：</w:t>
      </w:r>
    </w:p>
    <w:p>
      <w:pPr>
        <w:spacing w:line="420" w:lineRule="exact"/>
        <w:ind w:firstLine="540" w:firstLineChars="225"/>
        <w:rPr>
          <w:rFonts w:hint="eastAsia" w:ascii="微软雅黑" w:hAnsi="微软雅黑" w:eastAsia="微软雅黑" w:cs="微软雅黑"/>
          <w:sz w:val="24"/>
          <w:szCs w:val="24"/>
        </w:rPr>
      </w:pPr>
      <w:r>
        <w:rPr>
          <w:rFonts w:hint="eastAsia" w:ascii="微软雅黑" w:hAnsi="微软雅黑" w:eastAsia="微软雅黑" w:cs="微软雅黑"/>
          <w:sz w:val="24"/>
          <w:szCs w:val="24"/>
        </w:rPr>
        <w:t>精通劳动政策法律法规和劳动仲裁、诉讼程序，擅长劳动用工风险的系统预防与劳动争议案件的有效化解，善于把劳动法律法规与企业人力资源管理有机整合，通晓企业劳动争议防范机制的构建和劳动用工管理体系的修正完善。</w:t>
      </w:r>
    </w:p>
    <w:p>
      <w:pPr>
        <w:spacing w:line="420" w:lineRule="exact"/>
        <w:ind w:firstLine="540" w:firstLineChars="225"/>
        <w:rPr>
          <w:rFonts w:hint="eastAsia" w:ascii="微软雅黑" w:hAnsi="微软雅黑" w:eastAsia="微软雅黑" w:cs="微软雅黑"/>
          <w:sz w:val="24"/>
          <w:szCs w:val="24"/>
        </w:rPr>
      </w:pPr>
      <w:r>
        <w:rPr>
          <w:rFonts w:hint="eastAsia" w:ascii="微软雅黑" w:hAnsi="微软雅黑" w:eastAsia="微软雅黑" w:cs="微软雅黑"/>
          <w:sz w:val="24"/>
          <w:szCs w:val="24"/>
        </w:rPr>
        <w:t>钟老师经常在客户办公现场、培训现场为客户、学员即时起草、审查、修改相关制度、合同、文书，或分析具体案件的应对思路；钟老师独到的现场的专业功底，每次都赢得广大客户、学员发自内心的好评与100%的信服！</w:t>
      </w:r>
    </w:p>
    <w:p>
      <w:pPr>
        <w:spacing w:line="380" w:lineRule="exact"/>
        <w:rPr>
          <w:rFonts w:hint="eastAsia" w:ascii="微软雅黑" w:hAnsi="微软雅黑" w:eastAsia="微软雅黑" w:cs="微软雅黑"/>
          <w:b/>
          <w:color w:val="C00000"/>
          <w:sz w:val="24"/>
          <w:szCs w:val="24"/>
        </w:rPr>
      </w:pPr>
      <w:r>
        <w:rPr>
          <w:rStyle w:val="41"/>
          <w:rFonts w:hint="eastAsia" w:ascii="微软雅黑" w:hAnsi="微软雅黑" w:eastAsia="微软雅黑" w:cs="微软雅黑"/>
          <w:b/>
          <w:color w:val="C00000"/>
          <w:sz w:val="24"/>
          <w:szCs w:val="24"/>
        </w:rPr>
        <w:t>授课特点：</w:t>
      </w:r>
    </w:p>
    <w:p>
      <w:pPr>
        <w:spacing w:line="400" w:lineRule="exact"/>
        <w:ind w:firstLine="540" w:firstLineChars="225"/>
        <w:rPr>
          <w:rFonts w:hint="eastAsia" w:ascii="微软雅黑" w:hAnsi="微软雅黑" w:eastAsia="微软雅黑" w:cs="微软雅黑"/>
          <w:sz w:val="24"/>
          <w:szCs w:val="24"/>
        </w:rPr>
      </w:pPr>
      <w:r>
        <w:rPr>
          <w:rFonts w:hint="eastAsia" w:ascii="微软雅黑" w:hAnsi="微软雅黑" w:eastAsia="微软雅黑" w:cs="微软雅黑"/>
          <w:sz w:val="24"/>
          <w:szCs w:val="24"/>
        </w:rPr>
        <w:t>2008年至今，钟老师每年授课约100-130天。钟老师将枯燥的劳动政策法规溶入实际管理案例当中，将人力资源管理与劳动法有机地整合在一起；课程内容80%为真实案例、20%为必备的重点法条；学员参与讨论、互动，课程生动有趣，深入浅出，实战型超强，让学员即时学以致用！课程满意度高达95%，众多学员均表示：“第一次听到如此实战、实用、实效的劳动法课程！绝对干货！钟老师非常务实、不说教、没有商业味道，终于听到了让我不再后悔的精彩课程！”</w:t>
      </w:r>
    </w:p>
    <w:p>
      <w:pPr>
        <w:spacing w:line="360" w:lineRule="exact"/>
        <w:rPr>
          <w:rFonts w:hint="eastAsia" w:ascii="微软雅黑" w:hAnsi="微软雅黑" w:eastAsia="微软雅黑" w:cs="微软雅黑"/>
          <w:sz w:val="24"/>
          <w:szCs w:val="24"/>
        </w:rPr>
      </w:pPr>
    </w:p>
    <w:p>
      <w:pPr>
        <w:spacing w:line="360" w:lineRule="exact"/>
        <w:ind w:left="562" w:hanging="480" w:hangingChars="200"/>
        <w:rPr>
          <w:rFonts w:hint="eastAsia" w:ascii="微软雅黑" w:hAnsi="微软雅黑" w:eastAsia="微软雅黑" w:cs="微软雅黑"/>
          <w:b/>
          <w:color w:val="C00000"/>
          <w:sz w:val="24"/>
          <w:szCs w:val="24"/>
        </w:rPr>
      </w:pPr>
      <w:r>
        <w:rPr>
          <w:rStyle w:val="41"/>
          <w:rFonts w:hint="eastAsia" w:ascii="微软雅黑" w:hAnsi="微软雅黑" w:eastAsia="微软雅黑" w:cs="微软雅黑"/>
          <w:b/>
          <w:color w:val="C00000"/>
          <w:sz w:val="24"/>
          <w:szCs w:val="24"/>
        </w:rPr>
        <w:t>服务过的部分客户</w:t>
      </w:r>
      <w:r>
        <w:rPr>
          <w:rStyle w:val="41"/>
          <w:rFonts w:hint="eastAsia" w:ascii="微软雅黑" w:hAnsi="微软雅黑" w:eastAsia="微软雅黑" w:cs="微软雅黑"/>
          <w:color w:val="C00000"/>
          <w:sz w:val="24"/>
          <w:szCs w:val="24"/>
        </w:rPr>
        <w:t>（指内训、专项咨询、年度顾问）：</w:t>
      </w:r>
    </w:p>
    <w:p>
      <w:pPr>
        <w:spacing w:line="360" w:lineRule="exact"/>
        <w:ind w:left="1219" w:hanging="1215" w:hangingChars="506"/>
        <w:rPr>
          <w:rStyle w:val="43"/>
          <w:rFonts w:hint="eastAsia" w:ascii="微软雅黑" w:hAnsi="微软雅黑" w:eastAsia="微软雅黑" w:cs="微软雅黑"/>
          <w:color w:val="auto"/>
          <w:sz w:val="24"/>
          <w:szCs w:val="24"/>
        </w:rPr>
      </w:pPr>
      <w:r>
        <w:rPr>
          <w:rStyle w:val="43"/>
          <w:rFonts w:hint="eastAsia" w:ascii="微软雅黑" w:hAnsi="微软雅黑" w:eastAsia="微软雅黑" w:cs="微软雅黑"/>
          <w:b/>
          <w:color w:val="auto"/>
          <w:sz w:val="24"/>
          <w:szCs w:val="24"/>
        </w:rPr>
        <w:t>金融保险：</w:t>
      </w:r>
      <w:r>
        <w:rPr>
          <w:rStyle w:val="43"/>
          <w:rFonts w:hint="eastAsia" w:ascii="微软雅黑" w:hAnsi="微软雅黑" w:eastAsia="微软雅黑" w:cs="微软雅黑"/>
          <w:color w:val="auto"/>
          <w:sz w:val="24"/>
          <w:szCs w:val="24"/>
        </w:rPr>
        <w:t>建设银行、农业银行、工商银行、</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"http://www.laolvtong.com/news.php?act=page&amp;id=323&amp;nid=16" </w:instrText>
      </w:r>
      <w:r>
        <w:rPr>
          <w:rFonts w:hint="eastAsia" w:ascii="微软雅黑" w:hAnsi="微软雅黑" w:eastAsia="微软雅黑" w:cs="微软雅黑"/>
          <w:sz w:val="24"/>
          <w:szCs w:val="24"/>
        </w:rPr>
        <w:fldChar w:fldCharType="separate"/>
      </w:r>
      <w:r>
        <w:rPr>
          <w:rStyle w:val="43"/>
          <w:rFonts w:hint="eastAsia" w:ascii="微软雅黑" w:hAnsi="微软雅黑" w:eastAsia="微软雅黑" w:cs="微软雅黑"/>
          <w:color w:val="auto"/>
          <w:sz w:val="24"/>
          <w:szCs w:val="24"/>
        </w:rPr>
        <w:t>光大银行</w:t>
      </w:r>
      <w:r>
        <w:rPr>
          <w:rStyle w:val="43"/>
          <w:rFonts w:hint="eastAsia" w:ascii="微软雅黑" w:hAnsi="微软雅黑" w:eastAsia="微软雅黑" w:cs="微软雅黑"/>
          <w:color w:val="auto"/>
          <w:sz w:val="24"/>
          <w:szCs w:val="24"/>
        </w:rPr>
        <w:fldChar w:fldCharType="end"/>
      </w:r>
      <w:r>
        <w:rPr>
          <w:rStyle w:val="43"/>
          <w:rFonts w:hint="eastAsia" w:ascii="微软雅黑" w:hAnsi="微软雅黑" w:eastAsia="微软雅黑" w:cs="微软雅黑"/>
          <w:color w:val="auto"/>
          <w:sz w:val="24"/>
          <w:szCs w:val="24"/>
        </w:rPr>
        <w:t>、广东发展银行、</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"http://www.laolvtong.com/news.php?act=page&amp;id=393&amp;nid=16" </w:instrText>
      </w:r>
      <w:r>
        <w:rPr>
          <w:rFonts w:hint="eastAsia" w:ascii="微软雅黑" w:hAnsi="微软雅黑" w:eastAsia="微软雅黑" w:cs="微软雅黑"/>
          <w:sz w:val="24"/>
          <w:szCs w:val="24"/>
        </w:rPr>
        <w:fldChar w:fldCharType="separate"/>
      </w:r>
      <w:r>
        <w:rPr>
          <w:rStyle w:val="43"/>
          <w:rFonts w:hint="eastAsia" w:ascii="微软雅黑" w:hAnsi="微软雅黑" w:eastAsia="微软雅黑" w:cs="微软雅黑"/>
          <w:color w:val="auto"/>
          <w:sz w:val="24"/>
          <w:szCs w:val="24"/>
        </w:rPr>
        <w:t>邮政储蓄银行</w:t>
      </w:r>
      <w:r>
        <w:rPr>
          <w:rStyle w:val="43"/>
          <w:rFonts w:hint="eastAsia" w:ascii="微软雅黑" w:hAnsi="微软雅黑" w:eastAsia="微软雅黑" w:cs="微软雅黑"/>
          <w:color w:val="auto"/>
          <w:sz w:val="24"/>
          <w:szCs w:val="24"/>
        </w:rPr>
        <w:fldChar w:fldCharType="end"/>
      </w:r>
      <w:r>
        <w:rPr>
          <w:rStyle w:val="43"/>
          <w:rFonts w:hint="eastAsia" w:ascii="微软雅黑" w:hAnsi="微软雅黑" w:eastAsia="微软雅黑" w:cs="微软雅黑"/>
          <w:color w:val="auto"/>
          <w:sz w:val="24"/>
          <w:szCs w:val="24"/>
        </w:rPr>
        <w:t>、农村商业银行、中国人寿保险、</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"http://www.laolvtong.com/news.php?act=page&amp;id=296&amp;nid=16" </w:instrText>
      </w:r>
      <w:r>
        <w:rPr>
          <w:rFonts w:hint="eastAsia" w:ascii="微软雅黑" w:hAnsi="微软雅黑" w:eastAsia="微软雅黑" w:cs="微软雅黑"/>
          <w:sz w:val="24"/>
          <w:szCs w:val="24"/>
        </w:rPr>
        <w:fldChar w:fldCharType="separate"/>
      </w:r>
      <w:r>
        <w:rPr>
          <w:rStyle w:val="43"/>
          <w:rFonts w:hint="eastAsia" w:ascii="微软雅黑" w:hAnsi="微软雅黑" w:eastAsia="微软雅黑" w:cs="微软雅黑"/>
          <w:color w:val="auto"/>
          <w:sz w:val="24"/>
          <w:szCs w:val="24"/>
        </w:rPr>
        <w:t>华康保险</w:t>
      </w:r>
      <w:r>
        <w:rPr>
          <w:rStyle w:val="43"/>
          <w:rFonts w:hint="eastAsia" w:ascii="微软雅黑" w:hAnsi="微软雅黑" w:eastAsia="微软雅黑" w:cs="微软雅黑"/>
          <w:color w:val="auto"/>
          <w:sz w:val="24"/>
          <w:szCs w:val="24"/>
        </w:rPr>
        <w:fldChar w:fldCharType="end"/>
      </w:r>
      <w:r>
        <w:rPr>
          <w:rStyle w:val="43"/>
          <w:rFonts w:hint="eastAsia" w:ascii="微软雅黑" w:hAnsi="微软雅黑" w:eastAsia="微软雅黑" w:cs="微软雅黑"/>
          <w:color w:val="auto"/>
          <w:sz w:val="24"/>
          <w:szCs w:val="24"/>
        </w:rPr>
        <w:t>、中国太平保险、</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"http://www.laolvtong.com/news.php?act=page&amp;id=102&amp;nid=16" </w:instrText>
      </w:r>
      <w:r>
        <w:rPr>
          <w:rFonts w:hint="eastAsia" w:ascii="微软雅黑" w:hAnsi="微软雅黑" w:eastAsia="微软雅黑" w:cs="微软雅黑"/>
          <w:sz w:val="24"/>
          <w:szCs w:val="24"/>
        </w:rPr>
        <w:fldChar w:fldCharType="separate"/>
      </w:r>
      <w:r>
        <w:rPr>
          <w:rStyle w:val="43"/>
          <w:rFonts w:hint="eastAsia" w:ascii="微软雅黑" w:hAnsi="微软雅黑" w:eastAsia="微软雅黑" w:cs="微软雅黑"/>
          <w:color w:val="auto"/>
          <w:sz w:val="24"/>
          <w:szCs w:val="24"/>
        </w:rPr>
        <w:t>上海天旭投资</w:t>
      </w:r>
      <w:r>
        <w:rPr>
          <w:rStyle w:val="43"/>
          <w:rFonts w:hint="eastAsia" w:ascii="微软雅黑" w:hAnsi="微软雅黑" w:eastAsia="微软雅黑" w:cs="微软雅黑"/>
          <w:color w:val="auto"/>
          <w:sz w:val="24"/>
          <w:szCs w:val="24"/>
        </w:rPr>
        <w:fldChar w:fldCharType="end"/>
      </w:r>
    </w:p>
    <w:p>
      <w:pPr>
        <w:spacing w:line="360" w:lineRule="exact"/>
        <w:ind w:left="1231" w:hanging="1227" w:hangingChars="511"/>
        <w:rPr>
          <w:rStyle w:val="43"/>
          <w:rFonts w:hint="eastAsia" w:ascii="微软雅黑" w:hAnsi="微软雅黑" w:eastAsia="微软雅黑" w:cs="微软雅黑"/>
          <w:color w:val="auto"/>
          <w:sz w:val="24"/>
          <w:szCs w:val="24"/>
        </w:rPr>
      </w:pPr>
      <w:r>
        <w:rPr>
          <w:rStyle w:val="43"/>
          <w:rFonts w:hint="eastAsia" w:ascii="微软雅黑" w:hAnsi="微软雅黑" w:eastAsia="微软雅黑" w:cs="微软雅黑"/>
          <w:b/>
          <w:color w:val="auto"/>
          <w:sz w:val="24"/>
          <w:szCs w:val="24"/>
        </w:rPr>
        <w:t>网络通讯：</w:t>
      </w:r>
      <w:r>
        <w:rPr>
          <w:rStyle w:val="43"/>
          <w:rFonts w:hint="eastAsia" w:ascii="微软雅黑" w:hAnsi="微软雅黑" w:eastAsia="微软雅黑" w:cs="微软雅黑"/>
          <w:color w:val="auto"/>
          <w:sz w:val="24"/>
          <w:szCs w:val="24"/>
        </w:rPr>
        <w:t>广州电信、深圳移动、东莞移动、河北恒信移动、</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"http://www.laolvtong.com/news.php?act=page&amp;id=379&amp;nid=16" </w:instrText>
      </w:r>
      <w:r>
        <w:rPr>
          <w:rFonts w:hint="eastAsia" w:ascii="微软雅黑" w:hAnsi="微软雅黑" w:eastAsia="微软雅黑" w:cs="微软雅黑"/>
          <w:sz w:val="24"/>
          <w:szCs w:val="24"/>
        </w:rPr>
        <w:fldChar w:fldCharType="separate"/>
      </w:r>
      <w:r>
        <w:rPr>
          <w:rStyle w:val="43"/>
          <w:rFonts w:hint="eastAsia" w:ascii="微软雅黑" w:hAnsi="微软雅黑" w:eastAsia="微软雅黑" w:cs="微软雅黑"/>
          <w:color w:val="auto"/>
          <w:sz w:val="24"/>
          <w:szCs w:val="24"/>
        </w:rPr>
        <w:t>广东广电网络股份</w:t>
      </w:r>
      <w:r>
        <w:rPr>
          <w:rStyle w:val="43"/>
          <w:rFonts w:hint="eastAsia" w:ascii="微软雅黑" w:hAnsi="微软雅黑" w:eastAsia="微软雅黑" w:cs="微软雅黑"/>
          <w:color w:val="auto"/>
          <w:sz w:val="24"/>
          <w:szCs w:val="24"/>
        </w:rPr>
        <w:fldChar w:fldCharType="end"/>
      </w:r>
      <w:r>
        <w:rPr>
          <w:rStyle w:val="43"/>
          <w:rFonts w:hint="eastAsia" w:ascii="微软雅黑" w:hAnsi="微软雅黑" w:eastAsia="微软雅黑" w:cs="微软雅黑"/>
          <w:color w:val="auto"/>
          <w:sz w:val="24"/>
          <w:szCs w:val="24"/>
        </w:rPr>
        <w:t>、</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"http://www.laolvtong.com/news.php?act=page&amp;id=277&amp;nid=16" </w:instrText>
      </w:r>
      <w:r>
        <w:rPr>
          <w:rFonts w:hint="eastAsia" w:ascii="微软雅黑" w:hAnsi="微软雅黑" w:eastAsia="微软雅黑" w:cs="微软雅黑"/>
          <w:sz w:val="24"/>
          <w:szCs w:val="24"/>
        </w:rPr>
        <w:fldChar w:fldCharType="separate"/>
      </w:r>
      <w:r>
        <w:rPr>
          <w:rStyle w:val="43"/>
          <w:rFonts w:hint="eastAsia" w:ascii="微软雅黑" w:hAnsi="微软雅黑" w:eastAsia="微软雅黑" w:cs="微软雅黑"/>
          <w:color w:val="auto"/>
          <w:sz w:val="24"/>
          <w:szCs w:val="24"/>
        </w:rPr>
        <w:t>中国通信服务</w:t>
      </w:r>
      <w:r>
        <w:rPr>
          <w:rStyle w:val="43"/>
          <w:rFonts w:hint="eastAsia" w:ascii="微软雅黑" w:hAnsi="微软雅黑" w:eastAsia="微软雅黑" w:cs="微软雅黑"/>
          <w:color w:val="auto"/>
          <w:sz w:val="24"/>
          <w:szCs w:val="24"/>
        </w:rPr>
        <w:fldChar w:fldCharType="end"/>
      </w:r>
      <w:r>
        <w:rPr>
          <w:rStyle w:val="43"/>
          <w:rFonts w:hint="eastAsia" w:ascii="微软雅黑" w:hAnsi="微软雅黑" w:eastAsia="微软雅黑" w:cs="微软雅黑"/>
          <w:color w:val="auto"/>
          <w:sz w:val="24"/>
          <w:szCs w:val="24"/>
        </w:rPr>
        <w:t>、</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"http://www.laolvtong.com/news.php?act=page&amp;id=507&amp;nid=16" </w:instrText>
      </w:r>
      <w:r>
        <w:rPr>
          <w:rFonts w:hint="eastAsia" w:ascii="微软雅黑" w:hAnsi="微软雅黑" w:eastAsia="微软雅黑" w:cs="微软雅黑"/>
          <w:sz w:val="24"/>
          <w:szCs w:val="24"/>
        </w:rPr>
        <w:fldChar w:fldCharType="separate"/>
      </w:r>
      <w:r>
        <w:rPr>
          <w:rStyle w:val="43"/>
          <w:rFonts w:hint="eastAsia" w:ascii="微软雅黑" w:hAnsi="微软雅黑" w:eastAsia="微软雅黑" w:cs="微软雅黑"/>
          <w:color w:val="auto"/>
          <w:sz w:val="24"/>
          <w:szCs w:val="24"/>
        </w:rPr>
        <w:t>鹏博士集团</w:t>
      </w:r>
      <w:r>
        <w:rPr>
          <w:rStyle w:val="43"/>
          <w:rFonts w:hint="eastAsia" w:ascii="微软雅黑" w:hAnsi="微软雅黑" w:eastAsia="微软雅黑" w:cs="微软雅黑"/>
          <w:color w:val="auto"/>
          <w:sz w:val="24"/>
          <w:szCs w:val="24"/>
        </w:rPr>
        <w:fldChar w:fldCharType="end"/>
      </w:r>
    </w:p>
    <w:p>
      <w:pPr>
        <w:spacing w:line="360" w:lineRule="exact"/>
        <w:ind w:left="1219" w:hanging="1215" w:hangingChars="506"/>
        <w:rPr>
          <w:rStyle w:val="43"/>
          <w:rFonts w:hint="eastAsia" w:ascii="微软雅黑" w:hAnsi="微软雅黑" w:eastAsia="微软雅黑" w:cs="微软雅黑"/>
          <w:color w:val="auto"/>
          <w:sz w:val="24"/>
          <w:szCs w:val="24"/>
        </w:rPr>
      </w:pPr>
      <w:r>
        <w:rPr>
          <w:rStyle w:val="43"/>
          <w:rFonts w:hint="eastAsia" w:ascii="微软雅黑" w:hAnsi="微软雅黑" w:eastAsia="微软雅黑" w:cs="微软雅黑"/>
          <w:b/>
          <w:color w:val="auto"/>
          <w:sz w:val="24"/>
          <w:szCs w:val="24"/>
        </w:rPr>
        <w:t>医药医疗：</w:t>
      </w:r>
      <w:r>
        <w:rPr>
          <w:rStyle w:val="43"/>
          <w:rFonts w:hint="eastAsia" w:ascii="微软雅黑" w:hAnsi="微软雅黑" w:eastAsia="微软雅黑" w:cs="微软雅黑"/>
          <w:color w:val="auto"/>
          <w:sz w:val="24"/>
          <w:szCs w:val="24"/>
        </w:rPr>
        <w:t>广药集团、广东一品红药业、广东二天堂连锁、广东信东医药、广州中一药业、海南养生堂、河南安阳翔宇医疗设备、上海鸿森生物科技、云南鸿翔药业、福建福缘生物、河北神威药业、华东医药集团、长春海伯尔生物技术</w:t>
      </w:r>
    </w:p>
    <w:p>
      <w:pPr>
        <w:spacing w:line="360" w:lineRule="exact"/>
        <w:ind w:left="1219" w:hanging="1215" w:hangingChars="506"/>
        <w:rPr>
          <w:rStyle w:val="43"/>
          <w:rFonts w:hint="eastAsia" w:ascii="微软雅黑" w:hAnsi="微软雅黑" w:eastAsia="微软雅黑" w:cs="微软雅黑"/>
          <w:color w:val="auto"/>
          <w:sz w:val="24"/>
          <w:szCs w:val="24"/>
        </w:rPr>
      </w:pPr>
      <w:r>
        <w:rPr>
          <w:rStyle w:val="43"/>
          <w:rFonts w:hint="eastAsia" w:ascii="微软雅黑" w:hAnsi="微软雅黑" w:eastAsia="微软雅黑" w:cs="微软雅黑"/>
          <w:b/>
          <w:color w:val="auto"/>
          <w:sz w:val="24"/>
          <w:szCs w:val="24"/>
        </w:rPr>
        <w:t>电力能源：</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"http://www.laolvtong.com/news.php?act=page&amp;id=539&amp;nid=16" </w:instrText>
      </w:r>
      <w:r>
        <w:rPr>
          <w:rFonts w:hint="eastAsia" w:ascii="微软雅黑" w:hAnsi="微软雅黑" w:eastAsia="微软雅黑" w:cs="微软雅黑"/>
          <w:sz w:val="24"/>
          <w:szCs w:val="24"/>
        </w:rPr>
        <w:fldChar w:fldCharType="separate"/>
      </w:r>
      <w:r>
        <w:rPr>
          <w:rStyle w:val="43"/>
          <w:rFonts w:hint="eastAsia" w:ascii="微软雅黑" w:hAnsi="微软雅黑" w:eastAsia="微软雅黑" w:cs="微软雅黑"/>
          <w:color w:val="auto"/>
          <w:sz w:val="24"/>
          <w:szCs w:val="24"/>
        </w:rPr>
        <w:t>中国能源建设集团</w:t>
      </w:r>
      <w:r>
        <w:rPr>
          <w:rStyle w:val="43"/>
          <w:rFonts w:hint="eastAsia" w:ascii="微软雅黑" w:hAnsi="微软雅黑" w:eastAsia="微软雅黑" w:cs="微软雅黑"/>
          <w:color w:val="auto"/>
          <w:sz w:val="24"/>
          <w:szCs w:val="24"/>
        </w:rPr>
        <w:fldChar w:fldCharType="end"/>
      </w:r>
      <w:r>
        <w:rPr>
          <w:rStyle w:val="43"/>
          <w:rFonts w:hint="eastAsia" w:ascii="微软雅黑" w:hAnsi="微软雅黑" w:eastAsia="微软雅黑" w:cs="微软雅黑"/>
          <w:color w:val="auto"/>
          <w:sz w:val="24"/>
          <w:szCs w:val="24"/>
        </w:rPr>
        <w:t>、</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"http://www.laolvtong.com/news.php?act=page&amp;id=279&amp;nid=16" </w:instrText>
      </w:r>
      <w:r>
        <w:rPr>
          <w:rFonts w:hint="eastAsia" w:ascii="微软雅黑" w:hAnsi="微软雅黑" w:eastAsia="微软雅黑" w:cs="微软雅黑"/>
          <w:sz w:val="24"/>
          <w:szCs w:val="24"/>
        </w:rPr>
        <w:fldChar w:fldCharType="separate"/>
      </w:r>
      <w:r>
        <w:rPr>
          <w:rStyle w:val="43"/>
          <w:rFonts w:hint="eastAsia" w:ascii="微软雅黑" w:hAnsi="微软雅黑" w:eastAsia="微软雅黑" w:cs="微软雅黑"/>
          <w:color w:val="auto"/>
          <w:sz w:val="24"/>
          <w:szCs w:val="24"/>
        </w:rPr>
        <w:t>中国十七冶集团</w:t>
      </w:r>
      <w:r>
        <w:rPr>
          <w:rStyle w:val="43"/>
          <w:rFonts w:hint="eastAsia" w:ascii="微软雅黑" w:hAnsi="微软雅黑" w:eastAsia="微软雅黑" w:cs="微软雅黑"/>
          <w:color w:val="auto"/>
          <w:sz w:val="24"/>
          <w:szCs w:val="24"/>
        </w:rPr>
        <w:fldChar w:fldCharType="end"/>
      </w:r>
      <w:r>
        <w:rPr>
          <w:rStyle w:val="43"/>
          <w:rFonts w:hint="eastAsia" w:ascii="微软雅黑" w:hAnsi="微软雅黑" w:eastAsia="微软雅黑" w:cs="微软雅黑"/>
          <w:color w:val="auto"/>
          <w:sz w:val="24"/>
          <w:szCs w:val="24"/>
        </w:rPr>
        <w:t>、</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"http://www.laolvtong.com/news.php?act=page&amp;id=430&amp;nid=16" </w:instrText>
      </w:r>
      <w:r>
        <w:rPr>
          <w:rFonts w:hint="eastAsia" w:ascii="微软雅黑" w:hAnsi="微软雅黑" w:eastAsia="微软雅黑" w:cs="微软雅黑"/>
          <w:sz w:val="24"/>
          <w:szCs w:val="24"/>
        </w:rPr>
        <w:fldChar w:fldCharType="separate"/>
      </w:r>
      <w:r>
        <w:rPr>
          <w:rStyle w:val="43"/>
          <w:rFonts w:hint="eastAsia" w:ascii="微软雅黑" w:hAnsi="微软雅黑" w:eastAsia="微软雅黑" w:cs="微软雅黑"/>
          <w:color w:val="auto"/>
          <w:sz w:val="24"/>
          <w:szCs w:val="24"/>
        </w:rPr>
        <w:t>中广核集团</w:t>
      </w:r>
      <w:r>
        <w:rPr>
          <w:rStyle w:val="43"/>
          <w:rFonts w:hint="eastAsia" w:ascii="微软雅黑" w:hAnsi="微软雅黑" w:eastAsia="微软雅黑" w:cs="微软雅黑"/>
          <w:color w:val="auto"/>
          <w:sz w:val="24"/>
          <w:szCs w:val="24"/>
        </w:rPr>
        <w:fldChar w:fldCharType="end"/>
      </w:r>
      <w:r>
        <w:rPr>
          <w:rStyle w:val="43"/>
          <w:rFonts w:hint="eastAsia" w:ascii="微软雅黑" w:hAnsi="微软雅黑" w:eastAsia="微软雅黑" w:cs="微软雅黑"/>
          <w:color w:val="auto"/>
          <w:sz w:val="24"/>
          <w:szCs w:val="24"/>
        </w:rPr>
        <w:t>、青海黄河水电开发、广东电网、广州供电局、湖北电网、郑州电力、贵州电网、</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"http://www.laolvtong.com/news.php?act=page&amp;id=402&amp;nid=16" </w:instrText>
      </w:r>
      <w:r>
        <w:rPr>
          <w:rFonts w:hint="eastAsia" w:ascii="微软雅黑" w:hAnsi="微软雅黑" w:eastAsia="微软雅黑" w:cs="微软雅黑"/>
          <w:sz w:val="24"/>
          <w:szCs w:val="24"/>
        </w:rPr>
        <w:fldChar w:fldCharType="separate"/>
      </w:r>
      <w:r>
        <w:rPr>
          <w:rStyle w:val="43"/>
          <w:rFonts w:hint="eastAsia" w:ascii="微软雅黑" w:hAnsi="微软雅黑" w:eastAsia="微软雅黑" w:cs="微软雅黑"/>
          <w:color w:val="auto"/>
          <w:sz w:val="24"/>
          <w:szCs w:val="24"/>
        </w:rPr>
        <w:t>云南煤化工集团</w:t>
      </w:r>
      <w:r>
        <w:rPr>
          <w:rStyle w:val="43"/>
          <w:rFonts w:hint="eastAsia" w:ascii="微软雅黑" w:hAnsi="微软雅黑" w:eastAsia="微软雅黑" w:cs="微软雅黑"/>
          <w:color w:val="auto"/>
          <w:sz w:val="24"/>
          <w:szCs w:val="24"/>
        </w:rPr>
        <w:fldChar w:fldCharType="end"/>
      </w:r>
      <w:r>
        <w:rPr>
          <w:rStyle w:val="43"/>
          <w:rFonts w:hint="eastAsia" w:ascii="微软雅黑" w:hAnsi="微软雅黑" w:eastAsia="微软雅黑" w:cs="微软雅黑"/>
          <w:color w:val="auto"/>
          <w:sz w:val="24"/>
          <w:szCs w:val="24"/>
        </w:rPr>
        <w:t>、</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"http://www.laolvtong.com/news.php?act=page&amp;id=321&amp;nid=16" </w:instrText>
      </w:r>
      <w:r>
        <w:rPr>
          <w:rFonts w:hint="eastAsia" w:ascii="微软雅黑" w:hAnsi="微软雅黑" w:eastAsia="微软雅黑" w:cs="微软雅黑"/>
          <w:sz w:val="24"/>
          <w:szCs w:val="24"/>
        </w:rPr>
        <w:fldChar w:fldCharType="separate"/>
      </w:r>
      <w:r>
        <w:rPr>
          <w:rStyle w:val="43"/>
          <w:rFonts w:hint="eastAsia" w:ascii="微软雅黑" w:hAnsi="微软雅黑" w:eastAsia="微软雅黑" w:cs="微软雅黑"/>
          <w:color w:val="auto"/>
          <w:sz w:val="24"/>
          <w:szCs w:val="24"/>
        </w:rPr>
        <w:t>云南驰宏锌锗股份</w:t>
      </w:r>
      <w:r>
        <w:rPr>
          <w:rStyle w:val="43"/>
          <w:rFonts w:hint="eastAsia" w:ascii="微软雅黑" w:hAnsi="微软雅黑" w:eastAsia="微软雅黑" w:cs="微软雅黑"/>
          <w:color w:val="auto"/>
          <w:sz w:val="24"/>
          <w:szCs w:val="24"/>
        </w:rPr>
        <w:fldChar w:fldCharType="end"/>
      </w:r>
      <w:r>
        <w:rPr>
          <w:rStyle w:val="43"/>
          <w:rFonts w:hint="eastAsia" w:ascii="微软雅黑" w:hAnsi="微软雅黑" w:eastAsia="微软雅黑" w:cs="微软雅黑"/>
          <w:color w:val="auto"/>
          <w:sz w:val="24"/>
          <w:szCs w:val="24"/>
        </w:rPr>
        <w:t>、南方电网、苏州协鑫光伏、内蒙古电力集团</w:t>
      </w:r>
    </w:p>
    <w:p>
      <w:pPr>
        <w:spacing w:line="360" w:lineRule="exact"/>
        <w:ind w:left="1178" w:hanging="1174" w:hangingChars="489"/>
        <w:rPr>
          <w:rStyle w:val="43"/>
          <w:rFonts w:hint="eastAsia" w:ascii="微软雅黑" w:hAnsi="微软雅黑" w:eastAsia="微软雅黑" w:cs="微软雅黑"/>
          <w:color w:val="auto"/>
          <w:sz w:val="24"/>
          <w:szCs w:val="24"/>
        </w:rPr>
      </w:pPr>
      <w:r>
        <w:rPr>
          <w:rStyle w:val="43"/>
          <w:rFonts w:hint="eastAsia" w:ascii="微软雅黑" w:hAnsi="微软雅黑" w:eastAsia="微软雅黑" w:cs="微软雅黑"/>
          <w:b/>
          <w:color w:val="auto"/>
          <w:sz w:val="24"/>
          <w:szCs w:val="24"/>
        </w:rPr>
        <w:t>汽车工业：</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"http://www.laolvtong.com/news.php?act=page&amp;id=351&amp;nid=16" </w:instrText>
      </w:r>
      <w:r>
        <w:rPr>
          <w:rFonts w:hint="eastAsia" w:ascii="微软雅黑" w:hAnsi="微软雅黑" w:eastAsia="微软雅黑" w:cs="微软雅黑"/>
          <w:sz w:val="24"/>
          <w:szCs w:val="24"/>
        </w:rPr>
        <w:fldChar w:fldCharType="separate"/>
      </w:r>
      <w:r>
        <w:rPr>
          <w:rStyle w:val="43"/>
          <w:rFonts w:hint="eastAsia" w:ascii="微软雅黑" w:hAnsi="微软雅黑" w:eastAsia="微软雅黑" w:cs="微软雅黑"/>
          <w:color w:val="auto"/>
          <w:sz w:val="24"/>
          <w:szCs w:val="24"/>
        </w:rPr>
        <w:t>比亚迪汽车</w:t>
      </w:r>
      <w:r>
        <w:rPr>
          <w:rStyle w:val="43"/>
          <w:rFonts w:hint="eastAsia" w:ascii="微软雅黑" w:hAnsi="微软雅黑" w:eastAsia="微软雅黑" w:cs="微软雅黑"/>
          <w:color w:val="auto"/>
          <w:sz w:val="24"/>
          <w:szCs w:val="24"/>
        </w:rPr>
        <w:fldChar w:fldCharType="end"/>
      </w:r>
      <w:r>
        <w:rPr>
          <w:rStyle w:val="43"/>
          <w:rFonts w:hint="eastAsia" w:ascii="微软雅黑" w:hAnsi="微软雅黑" w:eastAsia="微软雅黑" w:cs="微软雅黑"/>
          <w:color w:val="auto"/>
          <w:sz w:val="24"/>
          <w:szCs w:val="24"/>
        </w:rPr>
        <w:t>、广汽部件、广州五羊摩托、广州捷士多部件、广州昭和汽车部件、风神集团、佳通轮胎、青岛赛轮金宇集团、江门大长江集团</w:t>
      </w:r>
    </w:p>
    <w:p>
      <w:pPr>
        <w:spacing w:line="360" w:lineRule="exact"/>
        <w:ind w:left="1219" w:hanging="1215" w:hangingChars="506"/>
        <w:rPr>
          <w:rFonts w:hint="eastAsia" w:ascii="微软雅黑" w:hAnsi="微软雅黑" w:eastAsia="微软雅黑" w:cs="微软雅黑"/>
          <w:sz w:val="24"/>
          <w:szCs w:val="24"/>
        </w:rPr>
      </w:pPr>
      <w:r>
        <w:rPr>
          <w:rStyle w:val="43"/>
          <w:rFonts w:hint="eastAsia" w:ascii="微软雅黑" w:hAnsi="微软雅黑" w:eastAsia="微软雅黑" w:cs="微软雅黑"/>
          <w:b/>
          <w:color w:val="auto"/>
          <w:sz w:val="24"/>
          <w:szCs w:val="24"/>
        </w:rPr>
        <w:t>涂料化工：</w:t>
      </w:r>
      <w:r>
        <w:rPr>
          <w:rStyle w:val="43"/>
          <w:rFonts w:hint="eastAsia" w:ascii="微软雅黑" w:hAnsi="微软雅黑" w:eastAsia="微软雅黑" w:cs="微软雅黑"/>
          <w:color w:val="auto"/>
          <w:sz w:val="24"/>
          <w:szCs w:val="24"/>
        </w:rPr>
        <w:t>广东化建集团、</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"http://www.laolvtong.com/news.php?act=page&amp;id=505&amp;nid=16" </w:instrText>
      </w:r>
      <w:r>
        <w:rPr>
          <w:rFonts w:hint="eastAsia" w:ascii="微软雅黑" w:hAnsi="微软雅黑" w:eastAsia="微软雅黑" w:cs="微软雅黑"/>
          <w:sz w:val="24"/>
          <w:szCs w:val="24"/>
        </w:rPr>
        <w:fldChar w:fldCharType="separate"/>
      </w:r>
      <w:r>
        <w:rPr>
          <w:rStyle w:val="43"/>
          <w:rFonts w:hint="eastAsia" w:ascii="微软雅黑" w:hAnsi="微软雅黑" w:eastAsia="微软雅黑" w:cs="微软雅黑"/>
          <w:color w:val="auto"/>
          <w:sz w:val="24"/>
          <w:szCs w:val="24"/>
        </w:rPr>
        <w:t>广州日华化学</w:t>
      </w:r>
      <w:r>
        <w:rPr>
          <w:rStyle w:val="43"/>
          <w:rFonts w:hint="eastAsia" w:ascii="微软雅黑" w:hAnsi="微软雅黑" w:eastAsia="微软雅黑" w:cs="微软雅黑"/>
          <w:color w:val="auto"/>
          <w:sz w:val="24"/>
          <w:szCs w:val="24"/>
        </w:rPr>
        <w:fldChar w:fldCharType="end"/>
      </w:r>
      <w:r>
        <w:rPr>
          <w:rStyle w:val="43"/>
          <w:rFonts w:hint="eastAsia" w:ascii="微软雅黑" w:hAnsi="微软雅黑" w:eastAsia="微软雅黑" w:cs="微软雅黑"/>
          <w:color w:val="auto"/>
          <w:sz w:val="24"/>
          <w:szCs w:val="24"/>
        </w:rPr>
        <w:t>、广州馨杰添加剂、江门瑞期化工、</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"http://www.laolvtong.com/news.php?act=page&amp;id=491&amp;nid=16" </w:instrText>
      </w:r>
      <w:r>
        <w:rPr>
          <w:rFonts w:hint="eastAsia" w:ascii="微软雅黑" w:hAnsi="微软雅黑" w:eastAsia="微软雅黑" w:cs="微软雅黑"/>
          <w:sz w:val="24"/>
          <w:szCs w:val="24"/>
        </w:rPr>
        <w:fldChar w:fldCharType="separate"/>
      </w:r>
      <w:r>
        <w:rPr>
          <w:rStyle w:val="43"/>
          <w:rFonts w:hint="eastAsia" w:ascii="微软雅黑" w:hAnsi="微软雅黑" w:eastAsia="微软雅黑" w:cs="微软雅黑"/>
          <w:color w:val="auto"/>
          <w:sz w:val="24"/>
          <w:szCs w:val="24"/>
        </w:rPr>
        <w:t>建韬化工集团</w:t>
      </w:r>
      <w:r>
        <w:rPr>
          <w:rStyle w:val="43"/>
          <w:rFonts w:hint="eastAsia" w:ascii="微软雅黑" w:hAnsi="微软雅黑" w:eastAsia="微软雅黑" w:cs="微软雅黑"/>
          <w:color w:val="auto"/>
          <w:sz w:val="24"/>
          <w:szCs w:val="24"/>
        </w:rPr>
        <w:fldChar w:fldCharType="end"/>
      </w:r>
      <w:r>
        <w:rPr>
          <w:rStyle w:val="43"/>
          <w:rFonts w:hint="eastAsia" w:ascii="微软雅黑" w:hAnsi="微软雅黑" w:eastAsia="微软雅黑" w:cs="微软雅黑"/>
          <w:color w:val="auto"/>
          <w:sz w:val="24"/>
          <w:szCs w:val="24"/>
        </w:rPr>
        <w:t>、</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"http://www.laolvtong.com/news.php?act=page&amp;id=439&amp;nid=16" </w:instrText>
      </w:r>
      <w:r>
        <w:rPr>
          <w:rFonts w:hint="eastAsia" w:ascii="微软雅黑" w:hAnsi="微软雅黑" w:eastAsia="微软雅黑" w:cs="微软雅黑"/>
          <w:sz w:val="24"/>
          <w:szCs w:val="24"/>
        </w:rPr>
        <w:fldChar w:fldCharType="separate"/>
      </w:r>
      <w:r>
        <w:rPr>
          <w:rStyle w:val="43"/>
          <w:rFonts w:hint="eastAsia" w:ascii="微软雅黑" w:hAnsi="微软雅黑" w:eastAsia="微软雅黑" w:cs="微软雅黑"/>
          <w:color w:val="auto"/>
          <w:sz w:val="24"/>
          <w:szCs w:val="24"/>
        </w:rPr>
        <w:t>阿克苏诺贝尔涂料</w:t>
      </w:r>
      <w:r>
        <w:rPr>
          <w:rStyle w:val="43"/>
          <w:rFonts w:hint="eastAsia" w:ascii="微软雅黑" w:hAnsi="微软雅黑" w:eastAsia="微软雅黑" w:cs="微软雅黑"/>
          <w:color w:val="auto"/>
          <w:sz w:val="24"/>
          <w:szCs w:val="24"/>
        </w:rPr>
        <w:fldChar w:fldCharType="end"/>
      </w:r>
      <w:r>
        <w:rPr>
          <w:rFonts w:hint="eastAsia" w:ascii="微软雅黑" w:hAnsi="微软雅黑" w:eastAsia="微软雅黑" w:cs="微软雅黑"/>
          <w:sz w:val="24"/>
          <w:szCs w:val="24"/>
        </w:rPr>
        <w:t>、江苏苏博特化工、山东长信化学</w:t>
      </w:r>
    </w:p>
    <w:p>
      <w:pPr>
        <w:spacing w:line="360" w:lineRule="exact"/>
        <w:ind w:left="1253" w:hanging="1249" w:hangingChars="520"/>
        <w:rPr>
          <w:rStyle w:val="43"/>
          <w:rFonts w:hint="eastAsia" w:ascii="微软雅黑" w:hAnsi="微软雅黑" w:eastAsia="微软雅黑" w:cs="微软雅黑"/>
          <w:color w:val="auto"/>
          <w:sz w:val="24"/>
          <w:szCs w:val="24"/>
        </w:rPr>
      </w:pPr>
      <w:r>
        <w:rPr>
          <w:rStyle w:val="43"/>
          <w:rFonts w:hint="eastAsia" w:ascii="微软雅黑" w:hAnsi="微软雅黑" w:eastAsia="微软雅黑" w:cs="微软雅黑"/>
          <w:b/>
          <w:color w:val="auto"/>
          <w:sz w:val="24"/>
          <w:szCs w:val="24"/>
        </w:rPr>
        <w:t>家电电器：</w:t>
      </w:r>
      <w:r>
        <w:rPr>
          <w:rStyle w:val="43"/>
          <w:rFonts w:hint="eastAsia" w:ascii="微软雅黑" w:hAnsi="微软雅黑" w:eastAsia="微软雅黑" w:cs="微软雅黑"/>
          <w:color w:val="auto"/>
          <w:sz w:val="24"/>
          <w:szCs w:val="24"/>
        </w:rPr>
        <w:t>江苏大全集团、美的集团、施耐德电气、</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"http://www.laolvtong.com/news.php?act=page&amp;id=364&amp;nid=16" </w:instrText>
      </w:r>
      <w:r>
        <w:rPr>
          <w:rFonts w:hint="eastAsia" w:ascii="微软雅黑" w:hAnsi="微软雅黑" w:eastAsia="微软雅黑" w:cs="微软雅黑"/>
          <w:sz w:val="24"/>
          <w:szCs w:val="24"/>
        </w:rPr>
        <w:fldChar w:fldCharType="separate"/>
      </w:r>
      <w:r>
        <w:rPr>
          <w:rStyle w:val="43"/>
          <w:rFonts w:hint="eastAsia" w:ascii="微软雅黑" w:hAnsi="微软雅黑" w:eastAsia="微软雅黑" w:cs="微软雅黑"/>
          <w:color w:val="auto"/>
          <w:sz w:val="24"/>
          <w:szCs w:val="24"/>
        </w:rPr>
        <w:t>欧普照明</w:t>
      </w:r>
      <w:r>
        <w:rPr>
          <w:rStyle w:val="43"/>
          <w:rFonts w:hint="eastAsia" w:ascii="微软雅黑" w:hAnsi="微软雅黑" w:eastAsia="微软雅黑" w:cs="微软雅黑"/>
          <w:color w:val="auto"/>
          <w:sz w:val="24"/>
          <w:szCs w:val="24"/>
        </w:rPr>
        <w:fldChar w:fldCharType="end"/>
      </w:r>
    </w:p>
    <w:p>
      <w:pPr>
        <w:spacing w:line="360" w:lineRule="exact"/>
        <w:ind w:left="1195" w:hanging="1191" w:hangingChars="496"/>
        <w:rPr>
          <w:rStyle w:val="43"/>
          <w:rFonts w:hint="eastAsia" w:ascii="微软雅黑" w:hAnsi="微软雅黑" w:eastAsia="微软雅黑" w:cs="微软雅黑"/>
          <w:color w:val="auto"/>
          <w:sz w:val="24"/>
          <w:szCs w:val="24"/>
        </w:rPr>
      </w:pPr>
      <w:r>
        <w:rPr>
          <w:rStyle w:val="43"/>
          <w:rFonts w:hint="eastAsia" w:ascii="微软雅黑" w:hAnsi="微软雅黑" w:eastAsia="微软雅黑" w:cs="微软雅黑"/>
          <w:b/>
          <w:color w:val="auto"/>
          <w:sz w:val="24"/>
          <w:szCs w:val="24"/>
        </w:rPr>
        <w:t>机械设备：</w:t>
      </w:r>
      <w:r>
        <w:rPr>
          <w:rStyle w:val="43"/>
          <w:rFonts w:hint="eastAsia" w:ascii="微软雅黑" w:hAnsi="微软雅黑" w:eastAsia="微软雅黑" w:cs="微软雅黑"/>
          <w:color w:val="auto"/>
          <w:sz w:val="24"/>
          <w:szCs w:val="24"/>
        </w:rPr>
        <w:t>三一重工、海南鑫木机械、广东</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"http://www.laolvtong.com/news.php?act=page&amp;id=412&amp;nid=16" </w:instrText>
      </w:r>
      <w:r>
        <w:rPr>
          <w:rFonts w:hint="eastAsia" w:ascii="微软雅黑" w:hAnsi="微软雅黑" w:eastAsia="微软雅黑" w:cs="微软雅黑"/>
          <w:sz w:val="24"/>
          <w:szCs w:val="24"/>
        </w:rPr>
        <w:fldChar w:fldCharType="separate"/>
      </w:r>
      <w:r>
        <w:rPr>
          <w:rStyle w:val="43"/>
          <w:rFonts w:hint="eastAsia" w:ascii="微软雅黑" w:hAnsi="微软雅黑" w:eastAsia="微软雅黑" w:cs="微软雅黑"/>
          <w:color w:val="auto"/>
          <w:sz w:val="24"/>
          <w:szCs w:val="24"/>
        </w:rPr>
        <w:t>信昌机器</w:t>
      </w:r>
      <w:r>
        <w:rPr>
          <w:rStyle w:val="43"/>
          <w:rFonts w:hint="eastAsia" w:ascii="微软雅黑" w:hAnsi="微软雅黑" w:eastAsia="微软雅黑" w:cs="微软雅黑"/>
          <w:color w:val="auto"/>
          <w:sz w:val="24"/>
          <w:szCs w:val="24"/>
        </w:rPr>
        <w:fldChar w:fldCharType="end"/>
      </w:r>
      <w:r>
        <w:rPr>
          <w:rStyle w:val="43"/>
          <w:rFonts w:hint="eastAsia" w:ascii="微软雅黑" w:hAnsi="微软雅黑" w:eastAsia="微软雅黑" w:cs="微软雅黑"/>
          <w:color w:val="auto"/>
          <w:sz w:val="24"/>
          <w:szCs w:val="24"/>
        </w:rPr>
        <w:t>、</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"http://www.laolvtong.com/news.php?act=page&amp;id=261&amp;nid=16" </w:instrText>
      </w:r>
      <w:r>
        <w:rPr>
          <w:rFonts w:hint="eastAsia" w:ascii="微软雅黑" w:hAnsi="微软雅黑" w:eastAsia="微软雅黑" w:cs="微软雅黑"/>
          <w:sz w:val="24"/>
          <w:szCs w:val="24"/>
        </w:rPr>
        <w:fldChar w:fldCharType="separate"/>
      </w:r>
      <w:r>
        <w:rPr>
          <w:rStyle w:val="43"/>
          <w:rFonts w:hint="eastAsia" w:ascii="微软雅黑" w:hAnsi="微软雅黑" w:eastAsia="微软雅黑" w:cs="微软雅黑"/>
          <w:color w:val="auto"/>
          <w:sz w:val="24"/>
          <w:szCs w:val="24"/>
        </w:rPr>
        <w:t>北京京城控股</w:t>
      </w:r>
      <w:r>
        <w:rPr>
          <w:rStyle w:val="43"/>
          <w:rFonts w:hint="eastAsia" w:ascii="微软雅黑" w:hAnsi="微软雅黑" w:eastAsia="微软雅黑" w:cs="微软雅黑"/>
          <w:color w:val="auto"/>
          <w:sz w:val="24"/>
          <w:szCs w:val="24"/>
        </w:rPr>
        <w:fldChar w:fldCharType="end"/>
      </w:r>
      <w:r>
        <w:rPr>
          <w:rStyle w:val="43"/>
          <w:rFonts w:hint="eastAsia" w:ascii="微软雅黑" w:hAnsi="微软雅黑" w:eastAsia="微软雅黑" w:cs="微软雅黑"/>
          <w:color w:val="auto"/>
          <w:sz w:val="24"/>
          <w:szCs w:val="24"/>
        </w:rPr>
        <w:t>、</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"http://www.laolvtong.com/news.php?act=page&amp;id=502&amp;nid=16" </w:instrText>
      </w:r>
      <w:r>
        <w:rPr>
          <w:rFonts w:hint="eastAsia" w:ascii="微软雅黑" w:hAnsi="微软雅黑" w:eastAsia="微软雅黑" w:cs="微软雅黑"/>
          <w:sz w:val="24"/>
          <w:szCs w:val="24"/>
        </w:rPr>
        <w:fldChar w:fldCharType="separate"/>
      </w:r>
      <w:r>
        <w:rPr>
          <w:rStyle w:val="43"/>
          <w:rFonts w:hint="eastAsia" w:ascii="微软雅黑" w:hAnsi="微软雅黑" w:eastAsia="微软雅黑" w:cs="微软雅黑"/>
          <w:color w:val="auto"/>
          <w:sz w:val="24"/>
          <w:szCs w:val="24"/>
        </w:rPr>
        <w:t>广州无线电集团</w:t>
      </w:r>
      <w:r>
        <w:rPr>
          <w:rStyle w:val="43"/>
          <w:rFonts w:hint="eastAsia" w:ascii="微软雅黑" w:hAnsi="微软雅黑" w:eastAsia="微软雅黑" w:cs="微软雅黑"/>
          <w:color w:val="auto"/>
          <w:sz w:val="24"/>
          <w:szCs w:val="24"/>
        </w:rPr>
        <w:fldChar w:fldCharType="end"/>
      </w:r>
      <w:r>
        <w:rPr>
          <w:rStyle w:val="43"/>
          <w:rFonts w:hint="eastAsia" w:ascii="微软雅黑" w:hAnsi="微软雅黑" w:eastAsia="微软雅黑" w:cs="微软雅黑"/>
          <w:color w:val="auto"/>
          <w:sz w:val="24"/>
          <w:szCs w:val="24"/>
        </w:rPr>
        <w:t>、广州南洋电器、上海皓世管道、山东常林集团、广州盈动冷冻设备制造、佛山朗特电机、东莞鸿图精密压铸、</w:t>
      </w:r>
      <w:r>
        <w:rPr>
          <w:rFonts w:hint="eastAsia" w:ascii="微软雅黑" w:hAnsi="微软雅黑" w:eastAsia="微软雅黑" w:cs="微软雅黑"/>
          <w:kern w:val="0"/>
          <w:sz w:val="24"/>
          <w:szCs w:val="24"/>
        </w:rPr>
        <w:t>东莞鸿图金属压铸电器、巨涛海洋工程</w:t>
      </w:r>
    </w:p>
    <w:p>
      <w:pPr>
        <w:spacing w:line="360" w:lineRule="exact"/>
        <w:ind w:left="1219" w:hanging="1215" w:hangingChars="506"/>
        <w:rPr>
          <w:rStyle w:val="43"/>
          <w:rFonts w:hint="eastAsia" w:ascii="微软雅黑" w:hAnsi="微软雅黑" w:eastAsia="微软雅黑" w:cs="微软雅黑"/>
          <w:color w:val="auto"/>
          <w:sz w:val="24"/>
          <w:szCs w:val="24"/>
        </w:rPr>
      </w:pPr>
      <w:r>
        <w:rPr>
          <w:rStyle w:val="43"/>
          <w:rFonts w:hint="eastAsia" w:ascii="微软雅黑" w:hAnsi="微软雅黑" w:eastAsia="微软雅黑" w:cs="微软雅黑"/>
          <w:b/>
          <w:color w:val="auto"/>
          <w:sz w:val="24"/>
          <w:szCs w:val="24"/>
        </w:rPr>
        <w:t>电子五金：</w:t>
      </w:r>
      <w:r>
        <w:rPr>
          <w:rStyle w:val="43"/>
          <w:rFonts w:hint="eastAsia" w:ascii="微软雅黑" w:hAnsi="微软雅黑" w:eastAsia="微软雅黑" w:cs="微软雅黑"/>
          <w:color w:val="auto"/>
          <w:sz w:val="24"/>
          <w:szCs w:val="24"/>
        </w:rPr>
        <w:t>广州刚辉五金橡塑、广州吉声琴业、</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"http://www.laolvtong.com/news.php?act=page&amp;id=506&amp;nid=16" </w:instrText>
      </w:r>
      <w:r>
        <w:rPr>
          <w:rFonts w:hint="eastAsia" w:ascii="微软雅黑" w:hAnsi="微软雅黑" w:eastAsia="微软雅黑" w:cs="微软雅黑"/>
          <w:sz w:val="24"/>
          <w:szCs w:val="24"/>
        </w:rPr>
        <w:fldChar w:fldCharType="separate"/>
      </w:r>
      <w:r>
        <w:rPr>
          <w:rStyle w:val="43"/>
          <w:rFonts w:hint="eastAsia" w:ascii="微软雅黑" w:hAnsi="微软雅黑" w:eastAsia="微软雅黑" w:cs="微软雅黑"/>
          <w:color w:val="auto"/>
          <w:sz w:val="24"/>
          <w:szCs w:val="24"/>
        </w:rPr>
        <w:t>广州爱浦电子</w:t>
      </w:r>
      <w:r>
        <w:rPr>
          <w:rStyle w:val="43"/>
          <w:rFonts w:hint="eastAsia" w:ascii="微软雅黑" w:hAnsi="微软雅黑" w:eastAsia="微软雅黑" w:cs="微软雅黑"/>
          <w:color w:val="auto"/>
          <w:sz w:val="24"/>
          <w:szCs w:val="24"/>
        </w:rPr>
        <w:fldChar w:fldCharType="end"/>
      </w:r>
      <w:r>
        <w:rPr>
          <w:rStyle w:val="43"/>
          <w:rFonts w:hint="eastAsia" w:ascii="微软雅黑" w:hAnsi="微软雅黑" w:eastAsia="微软雅黑" w:cs="微软雅黑"/>
          <w:color w:val="auto"/>
          <w:sz w:val="24"/>
          <w:szCs w:val="24"/>
        </w:rPr>
        <w:t>、广州雾峰灯光、深圳佳韵丰舞台设备、深圳高士线业、深圳歌腾科技、深圳天瑞电子、深圳新确科技、威利塑胶电子（惠州）、惠州宏枫实业、鸿伟电子（惠州）、佛山宏利电子、周立功单片机、</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"http://www.laolvtong.com/news.php?act=page&amp;id=96&amp;nid=16" </w:instrText>
      </w:r>
      <w:r>
        <w:rPr>
          <w:rFonts w:hint="eastAsia" w:ascii="微软雅黑" w:hAnsi="微软雅黑" w:eastAsia="微软雅黑" w:cs="微软雅黑"/>
          <w:sz w:val="24"/>
          <w:szCs w:val="24"/>
        </w:rPr>
        <w:fldChar w:fldCharType="separate"/>
      </w:r>
      <w:r>
        <w:rPr>
          <w:rStyle w:val="43"/>
          <w:rFonts w:hint="eastAsia" w:ascii="微软雅黑" w:hAnsi="微软雅黑" w:eastAsia="微软雅黑" w:cs="微软雅黑"/>
          <w:color w:val="auto"/>
          <w:sz w:val="24"/>
          <w:szCs w:val="24"/>
        </w:rPr>
        <w:t>安科特科技公司</w:t>
      </w:r>
      <w:r>
        <w:rPr>
          <w:rStyle w:val="43"/>
          <w:rFonts w:hint="eastAsia" w:ascii="微软雅黑" w:hAnsi="微软雅黑" w:eastAsia="微软雅黑" w:cs="微软雅黑"/>
          <w:color w:val="auto"/>
          <w:sz w:val="24"/>
          <w:szCs w:val="24"/>
        </w:rPr>
        <w:fldChar w:fldCharType="end"/>
      </w:r>
      <w:r>
        <w:rPr>
          <w:rStyle w:val="43"/>
          <w:rFonts w:hint="eastAsia" w:ascii="微软雅黑" w:hAnsi="微软雅黑" w:eastAsia="微软雅黑" w:cs="微软雅黑"/>
          <w:color w:val="auto"/>
          <w:sz w:val="24"/>
          <w:szCs w:val="24"/>
        </w:rPr>
        <w:t>、广州爱浦电子、广州恒星电线</w:t>
      </w:r>
    </w:p>
    <w:p>
      <w:pPr>
        <w:spacing w:line="360" w:lineRule="exact"/>
        <w:ind w:left="1219" w:hanging="1215" w:hangingChars="506"/>
        <w:rPr>
          <w:rStyle w:val="43"/>
          <w:rFonts w:hint="eastAsia" w:ascii="微软雅黑" w:hAnsi="微软雅黑" w:eastAsia="微软雅黑" w:cs="微软雅黑"/>
          <w:color w:val="auto"/>
          <w:sz w:val="24"/>
          <w:szCs w:val="24"/>
        </w:rPr>
      </w:pPr>
      <w:r>
        <w:rPr>
          <w:rStyle w:val="43"/>
          <w:rFonts w:hint="eastAsia" w:ascii="微软雅黑" w:hAnsi="微软雅黑" w:eastAsia="微软雅黑" w:cs="微软雅黑"/>
          <w:b/>
          <w:color w:val="auto"/>
          <w:sz w:val="24"/>
          <w:szCs w:val="24"/>
        </w:rPr>
        <w:t>服装皮具：</w:t>
      </w:r>
      <w:r>
        <w:rPr>
          <w:rStyle w:val="43"/>
          <w:rFonts w:hint="eastAsia" w:ascii="微软雅黑" w:hAnsi="微软雅黑" w:eastAsia="微软雅黑" w:cs="微软雅黑"/>
          <w:color w:val="auto"/>
          <w:sz w:val="24"/>
          <w:szCs w:val="24"/>
        </w:rPr>
        <w:t>香港晶苑集团、佛山富德纺织、广州帝豪纺织、中山华泰服装、欧时力服装、大连叮特来服饰、广州东魅皮具、深圳卡奥莱仕服装、上海天井皮具、惠州利多皮具、广东</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"http://www.laolvtong.com/news.php?act=page&amp;id=258&amp;nid=16" </w:instrText>
      </w:r>
      <w:r>
        <w:rPr>
          <w:rFonts w:hint="eastAsia" w:ascii="微软雅黑" w:hAnsi="微软雅黑" w:eastAsia="微软雅黑" w:cs="微软雅黑"/>
          <w:sz w:val="24"/>
          <w:szCs w:val="24"/>
        </w:rPr>
        <w:fldChar w:fldCharType="separate"/>
      </w:r>
      <w:r>
        <w:rPr>
          <w:rStyle w:val="43"/>
          <w:rFonts w:hint="eastAsia" w:ascii="微软雅黑" w:hAnsi="微软雅黑" w:eastAsia="微软雅黑" w:cs="微软雅黑"/>
          <w:color w:val="auto"/>
          <w:sz w:val="24"/>
          <w:szCs w:val="24"/>
        </w:rPr>
        <w:t>索典服饰</w:t>
      </w:r>
      <w:r>
        <w:rPr>
          <w:rStyle w:val="43"/>
          <w:rFonts w:hint="eastAsia" w:ascii="微软雅黑" w:hAnsi="微软雅黑" w:eastAsia="微软雅黑" w:cs="微软雅黑"/>
          <w:color w:val="auto"/>
          <w:sz w:val="24"/>
          <w:szCs w:val="24"/>
        </w:rPr>
        <w:fldChar w:fldCharType="end"/>
      </w:r>
      <w:r>
        <w:rPr>
          <w:rStyle w:val="43"/>
          <w:rFonts w:hint="eastAsia" w:ascii="微软雅黑" w:hAnsi="微软雅黑" w:eastAsia="微软雅黑" w:cs="微软雅黑"/>
          <w:color w:val="auto"/>
          <w:sz w:val="24"/>
          <w:szCs w:val="24"/>
        </w:rPr>
        <w:t>、香港亿宝集团、李宁广东公司、广州怡全皮制品、佛山超俊针织、广州纺织工贸企业集团、广州尚如服装设计、广州美致制衣</w:t>
      </w:r>
    </w:p>
    <w:p>
      <w:pPr>
        <w:spacing w:line="360" w:lineRule="exact"/>
        <w:ind w:left="1231" w:hanging="1227" w:hangingChars="511"/>
        <w:rPr>
          <w:rStyle w:val="43"/>
          <w:rFonts w:hint="eastAsia" w:ascii="微软雅黑" w:hAnsi="微软雅黑" w:eastAsia="微软雅黑" w:cs="微软雅黑"/>
          <w:b/>
          <w:color w:val="auto"/>
          <w:sz w:val="24"/>
          <w:szCs w:val="24"/>
        </w:rPr>
      </w:pPr>
      <w:r>
        <w:rPr>
          <w:rStyle w:val="43"/>
          <w:rFonts w:hint="eastAsia" w:ascii="微软雅黑" w:hAnsi="微软雅黑" w:eastAsia="微软雅黑" w:cs="微软雅黑"/>
          <w:b/>
          <w:color w:val="auto"/>
          <w:sz w:val="24"/>
          <w:szCs w:val="24"/>
        </w:rPr>
        <w:t>木艺家具：</w:t>
      </w:r>
      <w:r>
        <w:rPr>
          <w:rStyle w:val="43"/>
          <w:rFonts w:hint="eastAsia" w:ascii="微软雅黑" w:hAnsi="微软雅黑" w:eastAsia="微软雅黑" w:cs="微软雅黑"/>
          <w:color w:val="auto"/>
          <w:sz w:val="24"/>
          <w:szCs w:val="24"/>
        </w:rPr>
        <w:t>广州晨华木艺厂、东莞京木木制品、东莞创盈家具、广州德尔达五金家具</w:t>
      </w:r>
    </w:p>
    <w:p>
      <w:pPr>
        <w:spacing w:line="360" w:lineRule="exact"/>
        <w:ind w:left="1231" w:hanging="1227" w:hangingChars="511"/>
        <w:rPr>
          <w:rFonts w:hint="eastAsia" w:ascii="微软雅黑" w:hAnsi="微软雅黑" w:eastAsia="微软雅黑" w:cs="微软雅黑"/>
          <w:b/>
          <w:bCs/>
          <w:sz w:val="24"/>
          <w:szCs w:val="24"/>
        </w:rPr>
      </w:pPr>
      <w:r>
        <w:rPr>
          <w:rStyle w:val="43"/>
          <w:rFonts w:hint="eastAsia" w:ascii="微软雅黑" w:hAnsi="微软雅黑" w:eastAsia="微软雅黑" w:cs="微软雅黑"/>
          <w:b/>
          <w:color w:val="auto"/>
          <w:sz w:val="24"/>
          <w:szCs w:val="24"/>
        </w:rPr>
        <w:t>食品饮料：</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"http://www.laolvtong.com/news.php?act=page&amp;id=299&amp;nid=16" </w:instrText>
      </w:r>
      <w:r>
        <w:rPr>
          <w:rFonts w:hint="eastAsia" w:ascii="微软雅黑" w:hAnsi="微软雅黑" w:eastAsia="微软雅黑" w:cs="微软雅黑"/>
          <w:sz w:val="24"/>
          <w:szCs w:val="24"/>
        </w:rPr>
        <w:fldChar w:fldCharType="separate"/>
      </w:r>
      <w:r>
        <w:rPr>
          <w:rStyle w:val="43"/>
          <w:rFonts w:hint="eastAsia" w:ascii="微软雅黑" w:hAnsi="微软雅黑" w:eastAsia="微软雅黑" w:cs="微软雅黑"/>
          <w:color w:val="auto"/>
          <w:sz w:val="24"/>
          <w:szCs w:val="24"/>
        </w:rPr>
        <w:t>蒙牛</w:t>
      </w:r>
      <w:r>
        <w:rPr>
          <w:rStyle w:val="43"/>
          <w:rFonts w:hint="eastAsia" w:ascii="微软雅黑" w:hAnsi="微软雅黑" w:eastAsia="微软雅黑" w:cs="微软雅黑"/>
          <w:color w:val="auto"/>
          <w:sz w:val="24"/>
          <w:szCs w:val="24"/>
        </w:rPr>
        <w:fldChar w:fldCharType="end"/>
      </w:r>
      <w:r>
        <w:rPr>
          <w:rStyle w:val="43"/>
          <w:rFonts w:hint="eastAsia" w:ascii="微软雅黑" w:hAnsi="微软雅黑" w:eastAsia="微软雅黑" w:cs="微软雅黑"/>
          <w:color w:val="auto"/>
          <w:sz w:val="24"/>
          <w:szCs w:val="24"/>
        </w:rPr>
        <w:t>奶粉、益海嘉里集团、中粮集团、广州蔬果集团、广东中烟集团、</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"http://www.laolvtong.com/news.php?act=page&amp;id=448&amp;nid=16" </w:instrText>
      </w:r>
      <w:r>
        <w:rPr>
          <w:rFonts w:hint="eastAsia" w:ascii="微软雅黑" w:hAnsi="微软雅黑" w:eastAsia="微软雅黑" w:cs="微软雅黑"/>
          <w:sz w:val="24"/>
          <w:szCs w:val="24"/>
        </w:rPr>
        <w:fldChar w:fldCharType="separate"/>
      </w:r>
      <w:r>
        <w:rPr>
          <w:rStyle w:val="43"/>
          <w:rFonts w:hint="eastAsia" w:ascii="微软雅黑" w:hAnsi="微软雅黑" w:eastAsia="微软雅黑" w:cs="微软雅黑"/>
          <w:color w:val="auto"/>
          <w:sz w:val="24"/>
          <w:szCs w:val="24"/>
        </w:rPr>
        <w:t>湖南省烟草专卖局</w:t>
      </w:r>
      <w:r>
        <w:rPr>
          <w:rStyle w:val="43"/>
          <w:rFonts w:hint="eastAsia" w:ascii="微软雅黑" w:hAnsi="微软雅黑" w:eastAsia="微软雅黑" w:cs="微软雅黑"/>
          <w:color w:val="auto"/>
          <w:sz w:val="24"/>
          <w:szCs w:val="24"/>
        </w:rPr>
        <w:fldChar w:fldCharType="end"/>
      </w:r>
      <w:r>
        <w:rPr>
          <w:rFonts w:hint="eastAsia" w:ascii="微软雅黑" w:hAnsi="微软雅黑" w:eastAsia="微软雅黑" w:cs="微软雅黑"/>
          <w:sz w:val="24"/>
          <w:szCs w:val="24"/>
        </w:rPr>
        <w:t>、华润雪花啤酒</w:t>
      </w:r>
    </w:p>
    <w:p>
      <w:pPr>
        <w:spacing w:line="360" w:lineRule="exact"/>
        <w:ind w:left="1210" w:hanging="1205" w:hangingChars="502"/>
        <w:rPr>
          <w:rStyle w:val="43"/>
          <w:rFonts w:hint="eastAsia" w:ascii="微软雅黑" w:hAnsi="微软雅黑" w:eastAsia="微软雅黑" w:cs="微软雅黑"/>
          <w:color w:val="auto"/>
          <w:sz w:val="24"/>
          <w:szCs w:val="24"/>
        </w:rPr>
      </w:pPr>
      <w:r>
        <w:rPr>
          <w:rStyle w:val="43"/>
          <w:rFonts w:hint="eastAsia" w:ascii="微软雅黑" w:hAnsi="微软雅黑" w:eastAsia="微软雅黑" w:cs="微软雅黑"/>
          <w:b/>
          <w:color w:val="auto"/>
          <w:sz w:val="24"/>
          <w:szCs w:val="24"/>
        </w:rPr>
        <w:t>建筑工程：</w:t>
      </w:r>
      <w:r>
        <w:rPr>
          <w:rStyle w:val="43"/>
          <w:rFonts w:hint="eastAsia" w:ascii="微软雅黑" w:hAnsi="微软雅黑" w:eastAsia="微软雅黑" w:cs="微软雅黑"/>
          <w:color w:val="auto"/>
          <w:sz w:val="24"/>
          <w:szCs w:val="24"/>
        </w:rPr>
        <w:t>中铁集团、深圳中咨监理、深圳水务监理、广州万安建设监理、上海广寰建筑、广州泰昌消防、广州日晖园林、广州金通工程建造、广东新广集团、广东德正工程、</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"http://www.laolvtong.com/news.php?act=page&amp;id=92&amp;nid=16" </w:instrText>
      </w:r>
      <w:r>
        <w:rPr>
          <w:rFonts w:hint="eastAsia" w:ascii="微软雅黑" w:hAnsi="微软雅黑" w:eastAsia="微软雅黑" w:cs="微软雅黑"/>
          <w:sz w:val="24"/>
          <w:szCs w:val="24"/>
        </w:rPr>
        <w:fldChar w:fldCharType="separate"/>
      </w:r>
      <w:r>
        <w:rPr>
          <w:rStyle w:val="43"/>
          <w:rFonts w:hint="eastAsia" w:ascii="微软雅黑" w:hAnsi="微软雅黑" w:eastAsia="微软雅黑" w:cs="微软雅黑"/>
          <w:color w:val="auto"/>
          <w:sz w:val="24"/>
          <w:szCs w:val="24"/>
        </w:rPr>
        <w:t>上海宝源装潢设计</w:t>
      </w:r>
      <w:r>
        <w:rPr>
          <w:rStyle w:val="43"/>
          <w:rFonts w:hint="eastAsia" w:ascii="微软雅黑" w:hAnsi="微软雅黑" w:eastAsia="微软雅黑" w:cs="微软雅黑"/>
          <w:color w:val="auto"/>
          <w:sz w:val="24"/>
          <w:szCs w:val="24"/>
        </w:rPr>
        <w:fldChar w:fldCharType="end"/>
      </w:r>
      <w:r>
        <w:rPr>
          <w:rStyle w:val="43"/>
          <w:rFonts w:hint="eastAsia" w:ascii="微软雅黑" w:hAnsi="微软雅黑" w:eastAsia="微软雅黑" w:cs="微软雅黑"/>
          <w:color w:val="auto"/>
          <w:sz w:val="24"/>
          <w:szCs w:val="24"/>
        </w:rPr>
        <w:t>、上海天创工程、上海艺佳建筑、前海建筑</w:t>
      </w:r>
    </w:p>
    <w:p>
      <w:pPr>
        <w:spacing w:line="360" w:lineRule="exact"/>
        <w:ind w:left="1210" w:hanging="1205" w:hangingChars="502"/>
        <w:rPr>
          <w:rStyle w:val="43"/>
          <w:rFonts w:hint="eastAsia" w:ascii="微软雅黑" w:hAnsi="微软雅黑" w:eastAsia="微软雅黑" w:cs="微软雅黑"/>
          <w:color w:val="auto"/>
          <w:sz w:val="24"/>
          <w:szCs w:val="24"/>
        </w:rPr>
      </w:pPr>
      <w:r>
        <w:rPr>
          <w:rStyle w:val="43"/>
          <w:rFonts w:hint="eastAsia" w:ascii="微软雅黑" w:hAnsi="微软雅黑" w:eastAsia="微软雅黑" w:cs="微软雅黑"/>
          <w:b/>
          <w:color w:val="auto"/>
          <w:sz w:val="24"/>
          <w:szCs w:val="24"/>
        </w:rPr>
        <w:t>建材设备：</w:t>
      </w:r>
      <w:r>
        <w:rPr>
          <w:rStyle w:val="43"/>
          <w:rFonts w:hint="eastAsia" w:ascii="微软雅黑" w:hAnsi="微软雅黑" w:eastAsia="微软雅黑" w:cs="微软雅黑"/>
          <w:color w:val="auto"/>
          <w:sz w:val="24"/>
          <w:szCs w:val="24"/>
        </w:rPr>
        <w:t>深圳华全建筑、东莞建平建材、东莞富家石建材、云浮粤华建材实业、唐山冀东水泥</w:t>
      </w:r>
    </w:p>
    <w:p>
      <w:pPr>
        <w:spacing w:line="360" w:lineRule="exact"/>
        <w:ind w:left="1243" w:hanging="1239" w:hangingChars="516"/>
        <w:rPr>
          <w:rStyle w:val="43"/>
          <w:rFonts w:hint="eastAsia" w:ascii="微软雅黑" w:hAnsi="微软雅黑" w:eastAsia="微软雅黑" w:cs="微软雅黑"/>
          <w:color w:val="auto"/>
          <w:sz w:val="24"/>
          <w:szCs w:val="24"/>
        </w:rPr>
      </w:pPr>
      <w:r>
        <w:rPr>
          <w:rStyle w:val="43"/>
          <w:rFonts w:hint="eastAsia" w:ascii="微软雅黑" w:hAnsi="微软雅黑" w:eastAsia="微软雅黑" w:cs="微软雅黑"/>
          <w:b/>
          <w:color w:val="auto"/>
          <w:sz w:val="24"/>
          <w:szCs w:val="24"/>
        </w:rPr>
        <w:t>地产物业：</w:t>
      </w:r>
      <w:r>
        <w:rPr>
          <w:rStyle w:val="43"/>
          <w:rFonts w:hint="eastAsia" w:ascii="微软雅黑" w:hAnsi="微软雅黑" w:eastAsia="微软雅黑" w:cs="微软雅黑"/>
          <w:color w:val="auto"/>
          <w:sz w:val="24"/>
          <w:szCs w:val="24"/>
        </w:rPr>
        <w:t>中海地产、利海集团、珠江实业、</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"http://www.laolvtong.com/news.php?act=page&amp;id=504&amp;nid=16" </w:instrText>
      </w:r>
      <w:r>
        <w:rPr>
          <w:rFonts w:hint="eastAsia" w:ascii="微软雅黑" w:hAnsi="微软雅黑" w:eastAsia="微软雅黑" w:cs="微软雅黑"/>
          <w:sz w:val="24"/>
          <w:szCs w:val="24"/>
        </w:rPr>
        <w:fldChar w:fldCharType="separate"/>
      </w:r>
      <w:r>
        <w:rPr>
          <w:rStyle w:val="43"/>
          <w:rFonts w:hint="eastAsia" w:ascii="微软雅黑" w:hAnsi="微软雅黑" w:eastAsia="微软雅黑" w:cs="微软雅黑"/>
          <w:color w:val="auto"/>
          <w:sz w:val="24"/>
          <w:szCs w:val="24"/>
        </w:rPr>
        <w:t>中天海康集团</w:t>
      </w:r>
      <w:r>
        <w:rPr>
          <w:rStyle w:val="43"/>
          <w:rFonts w:hint="eastAsia" w:ascii="微软雅黑" w:hAnsi="微软雅黑" w:eastAsia="微软雅黑" w:cs="微软雅黑"/>
          <w:color w:val="auto"/>
          <w:sz w:val="24"/>
          <w:szCs w:val="24"/>
        </w:rPr>
        <w:fldChar w:fldCharType="end"/>
      </w:r>
      <w:r>
        <w:rPr>
          <w:rStyle w:val="43"/>
          <w:rFonts w:hint="eastAsia" w:ascii="微软雅黑" w:hAnsi="微软雅黑" w:eastAsia="微软雅黑" w:cs="微软雅黑"/>
          <w:color w:val="auto"/>
          <w:sz w:val="24"/>
          <w:szCs w:val="24"/>
        </w:rPr>
        <w:t>、</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"http://www.laolvtong.com/news.php?act=page&amp;id=228&amp;nid=16" </w:instrText>
      </w:r>
      <w:r>
        <w:rPr>
          <w:rFonts w:hint="eastAsia" w:ascii="微软雅黑" w:hAnsi="微软雅黑" w:eastAsia="微软雅黑" w:cs="微软雅黑"/>
          <w:sz w:val="24"/>
          <w:szCs w:val="24"/>
        </w:rPr>
        <w:fldChar w:fldCharType="separate"/>
      </w:r>
      <w:r>
        <w:rPr>
          <w:rStyle w:val="43"/>
          <w:rFonts w:hint="eastAsia" w:ascii="微软雅黑" w:hAnsi="微软雅黑" w:eastAsia="微软雅黑" w:cs="微软雅黑"/>
          <w:color w:val="auto"/>
          <w:sz w:val="24"/>
          <w:szCs w:val="24"/>
        </w:rPr>
        <w:t>沿海地产</w:t>
      </w:r>
      <w:r>
        <w:rPr>
          <w:rStyle w:val="43"/>
          <w:rFonts w:hint="eastAsia" w:ascii="微软雅黑" w:hAnsi="微软雅黑" w:eastAsia="微软雅黑" w:cs="微软雅黑"/>
          <w:color w:val="auto"/>
          <w:sz w:val="24"/>
          <w:szCs w:val="24"/>
        </w:rPr>
        <w:fldChar w:fldCharType="end"/>
      </w:r>
      <w:r>
        <w:rPr>
          <w:rStyle w:val="43"/>
          <w:rFonts w:hint="eastAsia" w:ascii="微软雅黑" w:hAnsi="微软雅黑" w:eastAsia="微软雅黑" w:cs="微软雅黑"/>
          <w:color w:val="auto"/>
          <w:sz w:val="24"/>
          <w:szCs w:val="24"/>
        </w:rPr>
        <w:t>、广东方圆地产、广州三新地产、广州天银物业、</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"http://www.laolvtong.com/news.php?act=page&amp;id=227&amp;nid=16" </w:instrText>
      </w:r>
      <w:r>
        <w:rPr>
          <w:rFonts w:hint="eastAsia" w:ascii="微软雅黑" w:hAnsi="微软雅黑" w:eastAsia="微软雅黑" w:cs="微软雅黑"/>
          <w:sz w:val="24"/>
          <w:szCs w:val="24"/>
        </w:rPr>
        <w:fldChar w:fldCharType="separate"/>
      </w:r>
      <w:r>
        <w:rPr>
          <w:rStyle w:val="43"/>
          <w:rFonts w:hint="eastAsia" w:ascii="微软雅黑" w:hAnsi="微软雅黑" w:eastAsia="微软雅黑" w:cs="微软雅黑"/>
          <w:color w:val="auto"/>
          <w:sz w:val="24"/>
          <w:szCs w:val="24"/>
        </w:rPr>
        <w:t>深圳东部华侨城</w:t>
      </w:r>
      <w:r>
        <w:rPr>
          <w:rStyle w:val="43"/>
          <w:rFonts w:hint="eastAsia" w:ascii="微软雅黑" w:hAnsi="微软雅黑" w:eastAsia="微软雅黑" w:cs="微软雅黑"/>
          <w:color w:val="auto"/>
          <w:sz w:val="24"/>
          <w:szCs w:val="24"/>
        </w:rPr>
        <w:fldChar w:fldCharType="end"/>
      </w:r>
      <w:r>
        <w:rPr>
          <w:rStyle w:val="43"/>
          <w:rFonts w:hint="eastAsia" w:ascii="微软雅黑" w:hAnsi="微软雅黑" w:eastAsia="微软雅黑" w:cs="微软雅黑"/>
          <w:color w:val="auto"/>
          <w:sz w:val="24"/>
          <w:szCs w:val="24"/>
        </w:rPr>
        <w:t>、珠海口岸广场、成都</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"http://www.laolvtong.com/news.php?act=page&amp;id=435&amp;nid=16" </w:instrText>
      </w:r>
      <w:r>
        <w:rPr>
          <w:rFonts w:hint="eastAsia" w:ascii="微软雅黑" w:hAnsi="微软雅黑" w:eastAsia="微软雅黑" w:cs="微软雅黑"/>
          <w:sz w:val="24"/>
          <w:szCs w:val="24"/>
        </w:rPr>
        <w:fldChar w:fldCharType="separate"/>
      </w:r>
      <w:r>
        <w:rPr>
          <w:rStyle w:val="43"/>
          <w:rFonts w:hint="eastAsia" w:ascii="微软雅黑" w:hAnsi="微软雅黑" w:eastAsia="微软雅黑" w:cs="微软雅黑"/>
          <w:color w:val="auto"/>
          <w:sz w:val="24"/>
          <w:szCs w:val="24"/>
        </w:rPr>
        <w:t>置信集团</w:t>
      </w:r>
      <w:r>
        <w:rPr>
          <w:rStyle w:val="43"/>
          <w:rFonts w:hint="eastAsia" w:ascii="微软雅黑" w:hAnsi="微软雅黑" w:eastAsia="微软雅黑" w:cs="微软雅黑"/>
          <w:color w:val="auto"/>
          <w:sz w:val="24"/>
          <w:szCs w:val="24"/>
        </w:rPr>
        <w:fldChar w:fldCharType="end"/>
      </w:r>
      <w:r>
        <w:rPr>
          <w:rStyle w:val="43"/>
          <w:rFonts w:hint="eastAsia" w:ascii="微软雅黑" w:hAnsi="微软雅黑" w:eastAsia="微软雅黑" w:cs="微软雅黑"/>
          <w:color w:val="auto"/>
          <w:sz w:val="24"/>
          <w:szCs w:val="24"/>
        </w:rPr>
        <w:t>、</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"http://www.laolvtong.com/news.php?act=page&amp;id=297&amp;nid=16" </w:instrText>
      </w:r>
      <w:r>
        <w:rPr>
          <w:rFonts w:hint="eastAsia" w:ascii="微软雅黑" w:hAnsi="微软雅黑" w:eastAsia="微软雅黑" w:cs="微软雅黑"/>
          <w:sz w:val="24"/>
          <w:szCs w:val="24"/>
        </w:rPr>
        <w:fldChar w:fldCharType="separate"/>
      </w:r>
      <w:r>
        <w:rPr>
          <w:rStyle w:val="43"/>
          <w:rFonts w:hint="eastAsia" w:ascii="微软雅黑" w:hAnsi="微软雅黑" w:eastAsia="微软雅黑" w:cs="微软雅黑"/>
          <w:color w:val="auto"/>
          <w:sz w:val="24"/>
          <w:szCs w:val="24"/>
        </w:rPr>
        <w:t>天津辉信房地产</w:t>
      </w:r>
      <w:r>
        <w:rPr>
          <w:rStyle w:val="43"/>
          <w:rFonts w:hint="eastAsia" w:ascii="微软雅黑" w:hAnsi="微软雅黑" w:eastAsia="微软雅黑" w:cs="微软雅黑"/>
          <w:color w:val="auto"/>
          <w:sz w:val="24"/>
          <w:szCs w:val="24"/>
        </w:rPr>
        <w:fldChar w:fldCharType="end"/>
      </w:r>
      <w:r>
        <w:rPr>
          <w:rStyle w:val="43"/>
          <w:rFonts w:hint="eastAsia" w:ascii="微软雅黑" w:hAnsi="微软雅黑" w:eastAsia="微软雅黑" w:cs="微软雅黑"/>
          <w:color w:val="auto"/>
          <w:sz w:val="24"/>
          <w:szCs w:val="24"/>
        </w:rPr>
        <w:t>、北京联东集团、广东</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"http://www.laolvtong.com/news.php?act=page&amp;id=225&amp;nid=16" </w:instrText>
      </w:r>
      <w:r>
        <w:rPr>
          <w:rFonts w:hint="eastAsia" w:ascii="微软雅黑" w:hAnsi="微软雅黑" w:eastAsia="微软雅黑" w:cs="微软雅黑"/>
          <w:sz w:val="24"/>
          <w:szCs w:val="24"/>
        </w:rPr>
        <w:fldChar w:fldCharType="separate"/>
      </w:r>
      <w:r>
        <w:rPr>
          <w:rStyle w:val="43"/>
          <w:rFonts w:hint="eastAsia" w:ascii="微软雅黑" w:hAnsi="微软雅黑" w:eastAsia="微软雅黑" w:cs="微软雅黑"/>
          <w:color w:val="auto"/>
          <w:sz w:val="24"/>
          <w:szCs w:val="24"/>
        </w:rPr>
        <w:t>信源集团</w:t>
      </w:r>
      <w:r>
        <w:rPr>
          <w:rStyle w:val="43"/>
          <w:rFonts w:hint="eastAsia" w:ascii="微软雅黑" w:hAnsi="微软雅黑" w:eastAsia="微软雅黑" w:cs="微软雅黑"/>
          <w:color w:val="auto"/>
          <w:sz w:val="24"/>
          <w:szCs w:val="24"/>
        </w:rPr>
        <w:fldChar w:fldCharType="end"/>
      </w:r>
    </w:p>
    <w:p>
      <w:pPr>
        <w:spacing w:line="360" w:lineRule="exact"/>
        <w:ind w:left="1265" w:hanging="1261" w:hangingChars="525"/>
        <w:rPr>
          <w:rStyle w:val="43"/>
          <w:rFonts w:hint="eastAsia" w:ascii="微软雅黑" w:hAnsi="微软雅黑" w:eastAsia="微软雅黑" w:cs="微软雅黑"/>
          <w:color w:val="auto"/>
          <w:sz w:val="24"/>
          <w:szCs w:val="24"/>
        </w:rPr>
      </w:pPr>
      <w:r>
        <w:rPr>
          <w:rStyle w:val="43"/>
          <w:rFonts w:hint="eastAsia" w:ascii="微软雅黑" w:hAnsi="微软雅黑" w:eastAsia="微软雅黑" w:cs="微软雅黑"/>
          <w:b/>
          <w:color w:val="auto"/>
          <w:sz w:val="24"/>
          <w:szCs w:val="24"/>
        </w:rPr>
        <w:t>餐饮酒店：</w:t>
      </w:r>
      <w:r>
        <w:rPr>
          <w:rStyle w:val="43"/>
          <w:rFonts w:hint="eastAsia" w:ascii="微软雅黑" w:hAnsi="微软雅黑" w:eastAsia="微软雅黑" w:cs="微软雅黑"/>
          <w:color w:val="auto"/>
          <w:sz w:val="24"/>
          <w:szCs w:val="24"/>
        </w:rPr>
        <w:t>广州佰搭果连锁、深圳川味堂连锁、深圳占美茶餐厅连锁、</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"http://www.laolvtong.com/news.php?act=page&amp;id=82&amp;nid=16" </w:instrText>
      </w:r>
      <w:r>
        <w:rPr>
          <w:rFonts w:hint="eastAsia" w:ascii="微软雅黑" w:hAnsi="微软雅黑" w:eastAsia="微软雅黑" w:cs="微软雅黑"/>
          <w:sz w:val="24"/>
          <w:szCs w:val="24"/>
        </w:rPr>
        <w:fldChar w:fldCharType="separate"/>
      </w:r>
      <w:r>
        <w:rPr>
          <w:rStyle w:val="43"/>
          <w:rFonts w:hint="eastAsia" w:ascii="微软雅黑" w:hAnsi="微软雅黑" w:eastAsia="微软雅黑" w:cs="微软雅黑"/>
          <w:color w:val="auto"/>
          <w:sz w:val="24"/>
          <w:szCs w:val="24"/>
        </w:rPr>
        <w:t>大禾寿司</w:t>
      </w:r>
      <w:r>
        <w:rPr>
          <w:rStyle w:val="43"/>
          <w:rFonts w:hint="eastAsia" w:ascii="微软雅黑" w:hAnsi="微软雅黑" w:eastAsia="微软雅黑" w:cs="微软雅黑"/>
          <w:color w:val="auto"/>
          <w:sz w:val="24"/>
          <w:szCs w:val="24"/>
        </w:rPr>
        <w:fldChar w:fldCharType="end"/>
      </w:r>
      <w:r>
        <w:rPr>
          <w:rFonts w:hint="eastAsia" w:ascii="微软雅黑" w:hAnsi="微软雅黑" w:eastAsia="微软雅黑" w:cs="微软雅黑"/>
          <w:sz w:val="24"/>
          <w:szCs w:val="24"/>
        </w:rPr>
        <w:t>、</w:t>
      </w:r>
      <w:r>
        <w:rPr>
          <w:rStyle w:val="43"/>
          <w:rFonts w:hint="eastAsia" w:ascii="微软雅黑" w:hAnsi="微软雅黑" w:eastAsia="微软雅黑" w:cs="微软雅黑"/>
          <w:color w:val="auto"/>
          <w:sz w:val="24"/>
          <w:szCs w:val="24"/>
        </w:rPr>
        <w:t>广州帕宁酒店、广州新翠苑酒家、广州唐会休闲、广州水晶宫休闲、广州炳胜餐饮集团、广州富隆酒窖、广州嘉华海鲜酒楼、新南方集团、厦门佰翔酒店</w:t>
      </w:r>
    </w:p>
    <w:p>
      <w:pPr>
        <w:spacing w:line="360" w:lineRule="exact"/>
        <w:ind w:left="1219" w:hanging="1215" w:hangingChars="506"/>
        <w:rPr>
          <w:rStyle w:val="43"/>
          <w:rFonts w:hint="eastAsia" w:ascii="微软雅黑" w:hAnsi="微软雅黑" w:eastAsia="微软雅黑" w:cs="微软雅黑"/>
          <w:color w:val="auto"/>
          <w:sz w:val="24"/>
          <w:szCs w:val="24"/>
        </w:rPr>
      </w:pPr>
      <w:r>
        <w:rPr>
          <w:rStyle w:val="43"/>
          <w:rFonts w:hint="eastAsia" w:ascii="微软雅黑" w:hAnsi="微软雅黑" w:eastAsia="微软雅黑" w:cs="微软雅黑"/>
          <w:b/>
          <w:color w:val="auto"/>
          <w:sz w:val="24"/>
          <w:szCs w:val="24"/>
        </w:rPr>
        <w:t>贸易销售：</w:t>
      </w:r>
      <w:r>
        <w:rPr>
          <w:rStyle w:val="43"/>
          <w:rFonts w:hint="eastAsia" w:ascii="微软雅黑" w:hAnsi="微软雅黑" w:eastAsia="微软雅黑" w:cs="微软雅黑"/>
          <w:color w:val="auto"/>
          <w:sz w:val="24"/>
          <w:szCs w:val="24"/>
        </w:rPr>
        <w:t>香港周大福、深圳康元会电子、深圳爱施德股份、深圳华创伟业、广州松厦冷气、爬山虎户外用品、深圳酷动数码、深圳梦展望集团、广州豪特商用地垫、浙江新大集团、济南禹欣泰体育用品、东莞施格懋贸易</w:t>
      </w:r>
    </w:p>
    <w:p>
      <w:pPr>
        <w:spacing w:line="360" w:lineRule="exact"/>
        <w:ind w:left="1219" w:hanging="1215" w:hangingChars="506"/>
        <w:rPr>
          <w:rStyle w:val="43"/>
          <w:rFonts w:hint="eastAsia" w:ascii="微软雅黑" w:hAnsi="微软雅黑" w:eastAsia="微软雅黑" w:cs="微软雅黑"/>
          <w:color w:val="auto"/>
          <w:sz w:val="24"/>
          <w:szCs w:val="24"/>
        </w:rPr>
      </w:pPr>
      <w:r>
        <w:rPr>
          <w:rStyle w:val="43"/>
          <w:rFonts w:hint="eastAsia" w:ascii="微软雅黑" w:hAnsi="微软雅黑" w:eastAsia="微软雅黑" w:cs="微软雅黑"/>
          <w:b/>
          <w:color w:val="auto"/>
          <w:sz w:val="24"/>
          <w:szCs w:val="24"/>
        </w:rPr>
        <w:t>物流运输：</w:t>
      </w:r>
      <w:r>
        <w:rPr>
          <w:rStyle w:val="43"/>
          <w:rFonts w:hint="eastAsia" w:ascii="微软雅黑" w:hAnsi="微软雅黑" w:eastAsia="微软雅黑" w:cs="微软雅黑"/>
          <w:color w:val="auto"/>
          <w:sz w:val="24"/>
          <w:szCs w:val="24"/>
        </w:rPr>
        <w:t>深圳运发集团、</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"http://www.laolvtong.com/news.php?act=page&amp;id=453&amp;nid=16" </w:instrText>
      </w:r>
      <w:r>
        <w:rPr>
          <w:rFonts w:hint="eastAsia" w:ascii="微软雅黑" w:hAnsi="微软雅黑" w:eastAsia="微软雅黑" w:cs="微软雅黑"/>
          <w:sz w:val="24"/>
          <w:szCs w:val="24"/>
        </w:rPr>
        <w:fldChar w:fldCharType="separate"/>
      </w:r>
      <w:r>
        <w:rPr>
          <w:rStyle w:val="43"/>
          <w:rFonts w:hint="eastAsia" w:ascii="微软雅黑" w:hAnsi="微软雅黑" w:eastAsia="微软雅黑" w:cs="微软雅黑"/>
          <w:color w:val="auto"/>
          <w:sz w:val="24"/>
          <w:szCs w:val="24"/>
        </w:rPr>
        <w:t>深圳东部公交</w:t>
      </w:r>
      <w:r>
        <w:rPr>
          <w:rStyle w:val="43"/>
          <w:rFonts w:hint="eastAsia" w:ascii="微软雅黑" w:hAnsi="微软雅黑" w:eastAsia="微软雅黑" w:cs="微软雅黑"/>
          <w:color w:val="auto"/>
          <w:sz w:val="24"/>
          <w:szCs w:val="24"/>
        </w:rPr>
        <w:fldChar w:fldCharType="end"/>
      </w:r>
      <w:r>
        <w:rPr>
          <w:rStyle w:val="43"/>
          <w:rFonts w:hint="eastAsia" w:ascii="微软雅黑" w:hAnsi="微软雅黑" w:eastAsia="微软雅黑" w:cs="微软雅黑"/>
          <w:color w:val="auto"/>
          <w:sz w:val="24"/>
          <w:szCs w:val="24"/>
        </w:rPr>
        <w:t>、广东南粤物流、深圳机场、中远物流、深圳鸿亚船务、中国速递物流、国药物流、广州赛时货运、江门南洋船舶、广东交通集团、深圳蛇口船务、珠江船务物流、广东邮政、广州邮政</w:t>
      </w:r>
    </w:p>
    <w:p>
      <w:pPr>
        <w:spacing w:line="360" w:lineRule="exact"/>
        <w:ind w:left="1253" w:hanging="1249" w:hangingChars="520"/>
        <w:rPr>
          <w:rStyle w:val="43"/>
          <w:rFonts w:hint="eastAsia" w:ascii="微软雅黑" w:hAnsi="微软雅黑" w:eastAsia="微软雅黑" w:cs="微软雅黑"/>
          <w:b/>
          <w:color w:val="auto"/>
          <w:sz w:val="24"/>
          <w:szCs w:val="24"/>
        </w:rPr>
      </w:pPr>
      <w:r>
        <w:rPr>
          <w:rStyle w:val="43"/>
          <w:rFonts w:hint="eastAsia" w:ascii="微软雅黑" w:hAnsi="微软雅黑" w:eastAsia="微软雅黑" w:cs="微软雅黑"/>
          <w:b/>
          <w:color w:val="auto"/>
          <w:sz w:val="24"/>
          <w:szCs w:val="24"/>
        </w:rPr>
        <w:t>培训教育：</w:t>
      </w:r>
      <w:r>
        <w:rPr>
          <w:rStyle w:val="43"/>
          <w:rFonts w:hint="eastAsia" w:ascii="微软雅黑" w:hAnsi="微软雅黑" w:eastAsia="微软雅黑" w:cs="微软雅黑"/>
          <w:color w:val="auto"/>
          <w:sz w:val="24"/>
          <w:szCs w:val="24"/>
        </w:rPr>
        <w:t>益策培训机构、广州智慧行培训、广州金泉小学、广东达德教育集团、暨南大学、武汉学院</w:t>
      </w:r>
    </w:p>
    <w:p>
      <w:pPr>
        <w:spacing w:line="360" w:lineRule="exact"/>
        <w:ind w:left="1265" w:hanging="1261" w:hangingChars="525"/>
        <w:rPr>
          <w:rStyle w:val="43"/>
          <w:rFonts w:hint="eastAsia" w:ascii="微软雅黑" w:hAnsi="微软雅黑" w:eastAsia="微软雅黑" w:cs="微软雅黑"/>
          <w:color w:val="auto"/>
          <w:sz w:val="24"/>
          <w:szCs w:val="24"/>
        </w:rPr>
      </w:pPr>
      <w:r>
        <w:rPr>
          <w:rStyle w:val="43"/>
          <w:rFonts w:hint="eastAsia" w:ascii="微软雅黑" w:hAnsi="微软雅黑" w:eastAsia="微软雅黑" w:cs="微软雅黑"/>
          <w:b/>
          <w:color w:val="auto"/>
          <w:sz w:val="24"/>
          <w:szCs w:val="24"/>
        </w:rPr>
        <w:t>广告媒体：</w:t>
      </w:r>
      <w:r>
        <w:rPr>
          <w:rStyle w:val="43"/>
          <w:rFonts w:hint="eastAsia" w:ascii="微软雅黑" w:hAnsi="微软雅黑" w:eastAsia="微软雅黑" w:cs="微软雅黑"/>
          <w:color w:val="auto"/>
          <w:sz w:val="24"/>
          <w:szCs w:val="24"/>
        </w:rPr>
        <w:t>深圳九天广告、广州一闻广告、广州源尚广告、广州太阳村广告、高晋国际、羊城晚报</w:t>
      </w:r>
    </w:p>
    <w:p>
      <w:pPr>
        <w:spacing w:line="360" w:lineRule="exact"/>
        <w:ind w:left="1265" w:hanging="1261" w:hangingChars="525"/>
        <w:rPr>
          <w:rStyle w:val="43"/>
          <w:rFonts w:hint="eastAsia" w:ascii="微软雅黑" w:hAnsi="微软雅黑" w:eastAsia="微软雅黑" w:cs="微软雅黑"/>
          <w:b/>
          <w:color w:val="auto"/>
          <w:sz w:val="24"/>
          <w:szCs w:val="24"/>
        </w:rPr>
      </w:pPr>
      <w:r>
        <w:rPr>
          <w:rStyle w:val="43"/>
          <w:rFonts w:hint="eastAsia" w:ascii="微软雅黑" w:hAnsi="微软雅黑" w:eastAsia="微软雅黑" w:cs="微软雅黑"/>
          <w:b/>
          <w:color w:val="auto"/>
          <w:sz w:val="24"/>
          <w:szCs w:val="24"/>
        </w:rPr>
        <w:t>商旅服务：</w:t>
      </w:r>
      <w:r>
        <w:rPr>
          <w:rStyle w:val="43"/>
          <w:rFonts w:hint="eastAsia" w:ascii="微软雅黑" w:hAnsi="微软雅黑" w:eastAsia="微软雅黑" w:cs="微软雅黑"/>
          <w:color w:val="auto"/>
          <w:sz w:val="24"/>
          <w:szCs w:val="24"/>
        </w:rPr>
        <w:t>携程旅行网、纵横天地旅行网</w:t>
      </w:r>
    </w:p>
    <w:p>
      <w:pPr>
        <w:spacing w:line="360" w:lineRule="exact"/>
        <w:rPr>
          <w:rStyle w:val="43"/>
          <w:rFonts w:hint="eastAsia" w:ascii="微软雅黑" w:hAnsi="微软雅黑" w:eastAsia="微软雅黑" w:cs="微软雅黑"/>
          <w:color w:val="auto"/>
          <w:sz w:val="24"/>
          <w:szCs w:val="24"/>
        </w:rPr>
      </w:pPr>
      <w:r>
        <w:rPr>
          <w:rStyle w:val="43"/>
          <w:rFonts w:hint="eastAsia" w:ascii="微软雅黑" w:hAnsi="微软雅黑" w:eastAsia="微软雅黑" w:cs="微软雅黑"/>
          <w:b/>
          <w:color w:val="auto"/>
          <w:sz w:val="24"/>
          <w:szCs w:val="24"/>
        </w:rPr>
        <w:t>畜牧家禽：</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"http://www.laolvtong.com/news.php?act=page&amp;id=378&amp;nid=16" </w:instrText>
      </w:r>
      <w:r>
        <w:rPr>
          <w:rFonts w:hint="eastAsia" w:ascii="微软雅黑" w:hAnsi="微软雅黑" w:eastAsia="微软雅黑" w:cs="微软雅黑"/>
          <w:sz w:val="24"/>
          <w:szCs w:val="24"/>
        </w:rPr>
        <w:fldChar w:fldCharType="separate"/>
      </w:r>
      <w:r>
        <w:rPr>
          <w:rStyle w:val="43"/>
          <w:rFonts w:hint="eastAsia" w:ascii="微软雅黑" w:hAnsi="微软雅黑" w:eastAsia="微软雅黑" w:cs="微软雅黑"/>
          <w:color w:val="auto"/>
          <w:sz w:val="24"/>
          <w:szCs w:val="24"/>
        </w:rPr>
        <w:t>广东华农温氏集团</w:t>
      </w:r>
      <w:r>
        <w:rPr>
          <w:rStyle w:val="43"/>
          <w:rFonts w:hint="eastAsia" w:ascii="微软雅黑" w:hAnsi="微软雅黑" w:eastAsia="微软雅黑" w:cs="微软雅黑"/>
          <w:color w:val="auto"/>
          <w:sz w:val="24"/>
          <w:szCs w:val="24"/>
        </w:rPr>
        <w:fldChar w:fldCharType="end"/>
      </w:r>
      <w:r>
        <w:rPr>
          <w:rStyle w:val="43"/>
          <w:rFonts w:hint="eastAsia" w:ascii="微软雅黑" w:hAnsi="微软雅黑" w:eastAsia="微软雅黑" w:cs="微软雅黑"/>
          <w:color w:val="auto"/>
          <w:sz w:val="24"/>
          <w:szCs w:val="24"/>
        </w:rPr>
        <w:t>、广东旺大生物集团、广州江丰实业、浙江海亮集团</w:t>
      </w:r>
    </w:p>
    <w:p>
      <w:pPr>
        <w:spacing w:line="360" w:lineRule="exact"/>
        <w:ind w:left="1265" w:hanging="1261" w:hangingChars="525"/>
        <w:rPr>
          <w:rStyle w:val="43"/>
          <w:rFonts w:hint="eastAsia" w:ascii="微软雅黑" w:hAnsi="微软雅黑" w:eastAsia="微软雅黑" w:cs="微软雅黑"/>
          <w:b/>
          <w:color w:val="auto"/>
          <w:sz w:val="24"/>
          <w:szCs w:val="24"/>
        </w:rPr>
      </w:pPr>
      <w:r>
        <w:rPr>
          <w:rStyle w:val="43"/>
          <w:rFonts w:hint="eastAsia" w:ascii="微软雅黑" w:hAnsi="微软雅黑" w:eastAsia="微软雅黑" w:cs="微软雅黑"/>
          <w:b/>
          <w:color w:val="auto"/>
          <w:sz w:val="24"/>
          <w:szCs w:val="24"/>
        </w:rPr>
        <w:t>公共事业：</w:t>
      </w:r>
      <w:r>
        <w:rPr>
          <w:rStyle w:val="43"/>
          <w:rFonts w:hint="eastAsia" w:ascii="微软雅黑" w:hAnsi="微软雅黑" w:eastAsia="微软雅黑" w:cs="微软雅黑"/>
          <w:color w:val="auto"/>
          <w:sz w:val="24"/>
          <w:szCs w:val="24"/>
        </w:rPr>
        <w:t>深圳布吉供水、佛山公用事业控股、鹤山路灯公司</w:t>
      </w:r>
    </w:p>
    <w:p>
      <w:pPr>
        <w:spacing w:line="360" w:lineRule="exact"/>
        <w:rPr>
          <w:rFonts w:hint="eastAsia" w:ascii="微软雅黑" w:hAnsi="微软雅黑" w:eastAsia="微软雅黑" w:cs="微软雅黑"/>
          <w:sz w:val="24"/>
          <w:szCs w:val="24"/>
        </w:rPr>
      </w:pPr>
    </w:p>
    <w:p>
      <w:pPr>
        <w:spacing w:line="360" w:lineRule="exact"/>
        <w:rPr>
          <w:rFonts w:hint="eastAsia" w:ascii="微软雅黑" w:hAnsi="微软雅黑" w:eastAsia="微软雅黑" w:cs="微软雅黑"/>
          <w:b/>
          <w:color w:val="C00000"/>
          <w:sz w:val="24"/>
          <w:szCs w:val="24"/>
        </w:rPr>
      </w:pPr>
      <w:r>
        <w:rPr>
          <w:rFonts w:hint="eastAsia" w:ascii="微软雅黑" w:hAnsi="微软雅黑" w:eastAsia="微软雅黑" w:cs="微软雅黑"/>
          <w:b/>
          <w:color w:val="C00000"/>
          <w:sz w:val="24"/>
          <w:szCs w:val="24"/>
        </w:rPr>
        <w:t>曾参加过钟老师公开课的部分企业：</w:t>
      </w:r>
    </w:p>
    <w:p>
      <w:pPr>
        <w:spacing w:line="36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中国移动、中国经济周刊、中国南方电网、中国农业大学、中山大学、中广核能源、万科地产、蒙牛乳业、珠江啤酒、中国银行、华商银行、广发证卷、兴业银行、中信银行、中荷人寿保险、中兴通讯、中石化、中海油、百年糊涂酒业、保利房地产、富力地产、雅居乐地产、安踏、金蝶软件、晨光乳业、广州地铁、立白集团、蓝月亮、比亚迪汽车、志高空调、广州电视台、白云山制药、金发科技、加多宝、华为、东芝医疗、广东省电影公司、珠江电影制片、北京航空院、中国旅行社、百事（中国）、华润建筑、七星集团、狮王、内蒙古西拉沐沦（集团）、中国海洋石油总公司、挪威国家石油公司、金宸地产、安粮控股、天正集团、深圳巴士集团股份、NETSFIM（北京）农业科技、内蒙古金哈达煤炭化工、中国科学院、广州汽车集团、康佳集团、北京航空所、深圳邮政局、可口可乐、通用电气、松下电器、中南大学、酒钢集团、本田汽车、一嗨租车、米其林轮胎、索尼、世纪龙信息网络、艾默生、TCL、创维电器、国药集团、吉林烟草、捷豹路虎汽车、马士基集装箱、用友软件、建滔化工集团、富士通、三一重工等几万家企业。</w:t>
      </w:r>
    </w:p>
    <w:p>
      <w:pPr>
        <w:spacing w:before="156" w:beforeLines="50" w:line="400" w:lineRule="exact"/>
        <w:rPr>
          <w:rFonts w:hint="eastAsia" w:ascii="微软雅黑" w:hAnsi="微软雅黑" w:eastAsia="微软雅黑" w:cs="微软雅黑"/>
          <w:b/>
          <w:sz w:val="24"/>
          <w:szCs w:val="24"/>
        </w:rPr>
      </w:pPr>
      <w:r>
        <w:rPr>
          <w:rFonts w:hint="eastAsia" w:ascii="微软雅黑" w:hAnsi="微软雅黑" w:eastAsia="微软雅黑" w:cs="微软雅黑"/>
          <w:sz w:val="24"/>
          <w:szCs w:val="24"/>
        </w:rPr>
        <w:t>-----</w:t>
      </w:r>
      <w:r>
        <w:rPr>
          <w:rFonts w:hint="eastAsia" w:ascii="微软雅黑" w:hAnsi="微软雅黑" w:eastAsia="微软雅黑" w:cs="微软雅黑"/>
          <w:b/>
          <w:sz w:val="24"/>
          <w:szCs w:val="24"/>
        </w:rPr>
        <w:t>钟永棣老师，2010年授课100天，</w:t>
      </w:r>
      <w:r>
        <w:rPr>
          <w:rFonts w:hint="eastAsia" w:ascii="微软雅黑" w:hAnsi="微软雅黑" w:eastAsia="微软雅黑" w:cs="微软雅黑"/>
          <w:b/>
          <w:kern w:val="0"/>
          <w:sz w:val="24"/>
          <w:szCs w:val="24"/>
        </w:rPr>
        <w:t>2011年授课120天，2012年授课130天，2013年授课133天，2014年授课130天，2015年授课120天，2016年讲授129天，2017年授课130天，2018年已预约90天！</w:t>
      </w:r>
    </w:p>
    <w:p>
      <w:pPr>
        <w:spacing w:before="156" w:beforeLines="50" w:line="400" w:lineRule="exact"/>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王牌课程：</w:t>
      </w:r>
    </w:p>
    <w:p>
      <w:pPr>
        <w:spacing w:line="400" w:lineRule="exact"/>
        <w:ind w:firstLine="588" w:firstLineChars="245"/>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（可根据客户实际需求订制相关课程）</w:t>
      </w:r>
    </w:p>
    <w:p>
      <w:pPr>
        <w:spacing w:line="380" w:lineRule="exact"/>
        <w:ind w:firstLine="540" w:firstLineChars="225"/>
        <w:rPr>
          <w:rFonts w:hint="eastAsia" w:ascii="微软雅黑" w:hAnsi="微软雅黑" w:eastAsia="微软雅黑" w:cs="微软雅黑"/>
          <w:sz w:val="24"/>
          <w:szCs w:val="24"/>
        </w:rPr>
      </w:pPr>
      <w:r>
        <w:rPr>
          <w:rFonts w:hint="eastAsia" w:ascii="微软雅黑" w:hAnsi="微软雅黑" w:eastAsia="微软雅黑" w:cs="微软雅黑"/>
          <w:sz w:val="24"/>
          <w:szCs w:val="24"/>
        </w:rPr>
        <w:t>《新劳动合同法下的劳动争议热点、难点、疑点问题全解与应对》</w:t>
      </w:r>
    </w:p>
    <w:p>
      <w:pPr>
        <w:spacing w:line="380" w:lineRule="exact"/>
        <w:ind w:firstLine="540" w:firstLineChars="225"/>
        <w:rPr>
          <w:rFonts w:hint="eastAsia" w:ascii="微软雅黑" w:hAnsi="微软雅黑" w:eastAsia="微软雅黑" w:cs="微软雅黑"/>
          <w:sz w:val="24"/>
          <w:szCs w:val="24"/>
        </w:rPr>
      </w:pPr>
      <w:r>
        <w:rPr>
          <w:rFonts w:hint="eastAsia" w:ascii="微软雅黑" w:hAnsi="微软雅黑" w:eastAsia="微软雅黑" w:cs="微软雅黑"/>
          <w:sz w:val="24"/>
          <w:szCs w:val="24"/>
        </w:rPr>
        <w:t>《企业HR如何全方位有效预防和化解劳动用工风险》</w:t>
      </w:r>
    </w:p>
    <w:p>
      <w:pPr>
        <w:spacing w:line="380" w:lineRule="exact"/>
        <w:ind w:firstLine="540" w:firstLineChars="225"/>
        <w:rPr>
          <w:rFonts w:hint="eastAsia" w:ascii="微软雅黑" w:hAnsi="微软雅黑" w:eastAsia="微软雅黑" w:cs="微软雅黑"/>
          <w:sz w:val="24"/>
          <w:szCs w:val="24"/>
        </w:rPr>
      </w:pPr>
      <w:r>
        <w:rPr>
          <w:rFonts w:hint="eastAsia" w:ascii="微软雅黑" w:hAnsi="微软雅黑" w:eastAsia="微软雅黑" w:cs="微软雅黑"/>
          <w:sz w:val="24"/>
          <w:szCs w:val="24"/>
        </w:rPr>
        <w:t>《部门经理\中高层必备的劳动法律常识与风险防范策略》</w:t>
      </w:r>
    </w:p>
    <w:p>
      <w:pPr>
        <w:spacing w:line="380" w:lineRule="exact"/>
        <w:ind w:firstLine="540" w:firstLineChars="225"/>
        <w:rPr>
          <w:rFonts w:hint="eastAsia" w:ascii="微软雅黑" w:hAnsi="微软雅黑" w:eastAsia="微软雅黑" w:cs="微软雅黑"/>
          <w:sz w:val="24"/>
          <w:szCs w:val="24"/>
        </w:rPr>
      </w:pPr>
      <w:r>
        <w:rPr>
          <w:rFonts w:hint="eastAsia" w:ascii="微软雅黑" w:hAnsi="微软雅黑" w:eastAsia="微软雅黑" w:cs="微软雅黑"/>
          <w:sz w:val="24"/>
          <w:szCs w:val="24"/>
        </w:rPr>
        <w:t>《劳动合同订立、变更、解除、终止、续订实操技巧》</w:t>
      </w:r>
    </w:p>
    <w:p>
      <w:pPr>
        <w:spacing w:line="380" w:lineRule="exact"/>
        <w:ind w:firstLine="540" w:firstLineChars="225"/>
        <w:rPr>
          <w:rFonts w:hint="eastAsia" w:ascii="微软雅黑" w:hAnsi="微软雅黑" w:eastAsia="微软雅黑" w:cs="微软雅黑"/>
          <w:sz w:val="24"/>
          <w:szCs w:val="24"/>
        </w:rPr>
      </w:pPr>
      <w:r>
        <w:rPr>
          <w:rFonts w:hint="eastAsia" w:ascii="微软雅黑" w:hAnsi="微软雅黑" w:eastAsia="微软雅黑" w:cs="微软雅黑"/>
          <w:sz w:val="24"/>
          <w:szCs w:val="24"/>
        </w:rPr>
        <w:t>《劳动合同、用工协议、规章制度、员工手册撰写技巧》</w:t>
      </w:r>
    </w:p>
    <w:p>
      <w:pPr>
        <w:spacing w:line="380" w:lineRule="exact"/>
        <w:ind w:firstLine="540" w:firstLineChars="225"/>
        <w:rPr>
          <w:rFonts w:hint="eastAsia" w:ascii="微软雅黑" w:hAnsi="微软雅黑" w:eastAsia="微软雅黑" w:cs="微软雅黑"/>
          <w:sz w:val="24"/>
          <w:szCs w:val="24"/>
        </w:rPr>
      </w:pPr>
      <w:r>
        <w:rPr>
          <w:rFonts w:hint="eastAsia" w:ascii="微软雅黑" w:hAnsi="微软雅黑" w:eastAsia="微软雅黑" w:cs="微软雅黑"/>
          <w:sz w:val="24"/>
          <w:szCs w:val="24"/>
        </w:rPr>
        <w:t>《如何界定与处理不合格、不胜任工作、严重失职、违纪违规的员工》</w:t>
      </w:r>
    </w:p>
    <w:p>
      <w:pPr>
        <w:spacing w:line="380" w:lineRule="exact"/>
        <w:ind w:firstLine="540" w:firstLineChars="225"/>
        <w:rPr>
          <w:rFonts w:hint="eastAsia" w:ascii="微软雅黑" w:hAnsi="微软雅黑" w:eastAsia="微软雅黑" w:cs="微软雅黑"/>
          <w:sz w:val="24"/>
          <w:szCs w:val="24"/>
        </w:rPr>
      </w:pPr>
      <w:r>
        <w:rPr>
          <w:rFonts w:hint="eastAsia" w:ascii="微软雅黑" w:hAnsi="微软雅黑" w:eastAsia="微软雅黑" w:cs="微软雅黑"/>
          <w:sz w:val="24"/>
          <w:szCs w:val="24"/>
        </w:rPr>
        <w:t>《&lt;社会保险法&gt;、&lt;工伤保险条例&gt;精准解读与工伤争议、调解、赔偿》</w:t>
      </w:r>
    </w:p>
    <w:p>
      <w:pPr>
        <w:spacing w:line="380" w:lineRule="exact"/>
        <w:ind w:firstLine="540" w:firstLineChars="225"/>
        <w:rPr>
          <w:rFonts w:hint="eastAsia" w:ascii="微软雅黑" w:hAnsi="微软雅黑" w:eastAsia="微软雅黑" w:cs="微软雅黑"/>
          <w:sz w:val="24"/>
          <w:szCs w:val="24"/>
        </w:rPr>
      </w:pPr>
      <w:r>
        <w:rPr>
          <w:rFonts w:hint="eastAsia" w:ascii="微软雅黑" w:hAnsi="微软雅黑" w:eastAsia="微软雅黑" w:cs="微软雅黑"/>
          <w:sz w:val="24"/>
          <w:szCs w:val="24"/>
        </w:rPr>
        <w:t>《企业薪酬与绩效管理体系的法律风险防范策略》</w:t>
      </w:r>
    </w:p>
    <w:p>
      <w:pPr>
        <w:spacing w:line="380" w:lineRule="exact"/>
        <w:ind w:firstLine="540" w:firstLineChars="225"/>
        <w:rPr>
          <w:rFonts w:hint="eastAsia" w:ascii="微软雅黑" w:hAnsi="微软雅黑" w:eastAsia="微软雅黑" w:cs="微软雅黑"/>
          <w:sz w:val="24"/>
          <w:szCs w:val="24"/>
        </w:rPr>
      </w:pPr>
      <w:r>
        <w:rPr>
          <w:rFonts w:hint="eastAsia" w:ascii="微软雅黑" w:hAnsi="微软雅黑" w:eastAsia="微软雅黑" w:cs="微软雅黑"/>
          <w:sz w:val="24"/>
          <w:szCs w:val="24"/>
        </w:rPr>
        <w:t>《企业核心岗位人力资源管理法律风险防范策略》</w:t>
      </w:r>
    </w:p>
    <w:p>
      <w:pPr>
        <w:pStyle w:val="14"/>
        <w:numPr>
          <w:numId w:val="0"/>
        </w:numPr>
        <w:spacing w:before="0" w:beforeAutospacing="0" w:after="0" w:afterAutospacing="0" w:line="300" w:lineRule="exact"/>
        <w:ind w:left="420" w:leftChars="0"/>
        <w:jc w:val="both"/>
        <w:rPr>
          <w:rStyle w:val="18"/>
          <w:rFonts w:hint="eastAsia" w:ascii="宋体" w:hAnsi="宋体" w:eastAsia="宋体" w:cs="宋体"/>
          <w:b w:val="0"/>
          <w:bCs w:val="0"/>
          <w:sz w:val="21"/>
          <w:szCs w:val="21"/>
          <w:lang w:val="en-US" w:eastAsia="zh-CN"/>
        </w:rPr>
      </w:pPr>
    </w:p>
    <w:p>
      <w:pPr>
        <w:pStyle w:val="14"/>
        <w:numPr>
          <w:numId w:val="0"/>
        </w:numPr>
        <w:spacing w:before="0" w:beforeAutospacing="0" w:after="0" w:afterAutospacing="0" w:line="300" w:lineRule="exact"/>
        <w:ind w:left="420" w:leftChars="0"/>
        <w:jc w:val="both"/>
        <w:rPr>
          <w:rStyle w:val="18"/>
          <w:rFonts w:hint="eastAsia" w:ascii="宋体" w:hAnsi="宋体" w:eastAsia="宋体" w:cs="宋体"/>
          <w:b w:val="0"/>
          <w:bCs w:val="0"/>
          <w:sz w:val="21"/>
          <w:szCs w:val="21"/>
          <w:lang w:val="en-US" w:eastAsia="zh-CN"/>
        </w:rPr>
      </w:pPr>
    </w:p>
    <w:p>
      <w:pPr>
        <w:pStyle w:val="14"/>
        <w:numPr>
          <w:numId w:val="0"/>
        </w:numPr>
        <w:spacing w:before="0" w:beforeAutospacing="0" w:after="0" w:afterAutospacing="0" w:line="300" w:lineRule="exact"/>
        <w:ind w:left="420" w:leftChars="0"/>
        <w:jc w:val="both"/>
        <w:rPr>
          <w:rStyle w:val="18"/>
          <w:rFonts w:hint="eastAsia" w:ascii="宋体" w:hAnsi="宋体" w:eastAsia="宋体" w:cs="宋体"/>
          <w:b w:val="0"/>
          <w:bCs w:val="0"/>
          <w:sz w:val="21"/>
          <w:szCs w:val="21"/>
          <w:lang w:val="en-US" w:eastAsia="zh-CN"/>
        </w:rPr>
      </w:pPr>
    </w:p>
    <w:p>
      <w:pPr>
        <w:spacing w:line="360" w:lineRule="auto"/>
        <w:jc w:val="center"/>
        <w:rPr>
          <w:rFonts w:ascii="微软雅黑" w:hAnsi="微软雅黑" w:eastAsia="微软雅黑"/>
          <w:b/>
          <w:bCs/>
          <w:sz w:val="28"/>
          <w:szCs w:val="28"/>
        </w:rPr>
      </w:pPr>
      <w:r>
        <w:rPr>
          <w:rFonts w:hint="eastAsia" w:ascii="微软雅黑" w:hAnsi="微软雅黑" w:eastAsia="微软雅黑"/>
          <w:b/>
          <w:bCs/>
          <w:sz w:val="28"/>
          <w:szCs w:val="28"/>
        </w:rPr>
        <w:t>《劳动法之违纪违规、解除终止、经济补偿》报名表</w:t>
      </w:r>
    </w:p>
    <w:p>
      <w:pPr>
        <w:spacing w:line="360" w:lineRule="exact"/>
        <w:rPr>
          <w:rFonts w:ascii="微软雅黑" w:hAnsi="微软雅黑" w:eastAsia="微软雅黑"/>
          <w:b/>
          <w:sz w:val="18"/>
          <w:szCs w:val="18"/>
        </w:rPr>
      </w:pPr>
      <w:r>
        <w:rPr>
          <w:rFonts w:hint="eastAsia" w:ascii="微软雅黑" w:hAnsi="微软雅黑" w:eastAsia="微软雅黑"/>
          <w:b/>
          <w:sz w:val="18"/>
          <w:szCs w:val="18"/>
        </w:rPr>
        <w:t xml:space="preserve">填好下表后邮箱至：                              联系方式： </w:t>
      </w:r>
    </w:p>
    <w:p>
      <w:pPr>
        <w:spacing w:line="360" w:lineRule="exact"/>
        <w:rPr>
          <w:rFonts w:ascii="微软雅黑" w:hAnsi="微软雅黑" w:eastAsia="微软雅黑"/>
          <w:b/>
          <w:sz w:val="18"/>
          <w:szCs w:val="18"/>
        </w:rPr>
      </w:pPr>
    </w:p>
    <w:tbl>
      <w:tblPr>
        <w:tblStyle w:val="15"/>
        <w:tblW w:w="8229" w:type="dxa"/>
        <w:tblInd w:w="108" w:type="dxa"/>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Layout w:type="fixed"/>
        <w:tblCellMar>
          <w:top w:w="0" w:type="dxa"/>
          <w:left w:w="108" w:type="dxa"/>
          <w:bottom w:w="0" w:type="dxa"/>
          <w:right w:w="108" w:type="dxa"/>
        </w:tblCellMar>
      </w:tblPr>
      <w:tblGrid>
        <w:gridCol w:w="1418"/>
        <w:gridCol w:w="1004"/>
        <w:gridCol w:w="1454"/>
        <w:gridCol w:w="1800"/>
        <w:gridCol w:w="2553"/>
      </w:tblGrid>
      <w:tr>
        <w:tblPrEx>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CellMar>
            <w:top w:w="0" w:type="dxa"/>
            <w:left w:w="108" w:type="dxa"/>
            <w:bottom w:w="0" w:type="dxa"/>
            <w:right w:w="108" w:type="dxa"/>
          </w:tblCellMar>
        </w:tblPrEx>
        <w:trPr>
          <w:trHeight w:val="551" w:hRule="atLeast"/>
        </w:trPr>
        <w:tc>
          <w:tcPr>
            <w:tcW w:w="1418" w:type="dxa"/>
            <w:tcBorders>
              <w:tl2br w:val="nil"/>
              <w:tr2bl w:val="nil"/>
            </w:tcBorders>
            <w:vAlign w:val="center"/>
          </w:tcPr>
          <w:p>
            <w:pPr>
              <w:spacing w:line="400" w:lineRule="exact"/>
              <w:jc w:val="center"/>
              <w:rPr>
                <w:rStyle w:val="21"/>
                <w:rFonts w:ascii="微软雅黑" w:hAnsi="微软雅黑" w:eastAsia="微软雅黑"/>
                <w:b w:val="0"/>
                <w:bCs w:val="0"/>
                <w:sz w:val="18"/>
                <w:szCs w:val="18"/>
              </w:rPr>
            </w:pPr>
            <w:r>
              <w:rPr>
                <w:rFonts w:hint="eastAsia" w:ascii="微软雅黑" w:hAnsi="微软雅黑" w:eastAsia="微软雅黑"/>
                <w:sz w:val="18"/>
                <w:szCs w:val="18"/>
              </w:rPr>
              <w:t>单位名称</w:t>
            </w:r>
          </w:p>
        </w:tc>
        <w:tc>
          <w:tcPr>
            <w:tcW w:w="2458" w:type="dxa"/>
            <w:gridSpan w:val="2"/>
            <w:tcBorders>
              <w:tl2br w:val="nil"/>
              <w:tr2bl w:val="nil"/>
            </w:tcBorders>
            <w:vAlign w:val="center"/>
          </w:tcPr>
          <w:p>
            <w:pPr>
              <w:spacing w:line="400" w:lineRule="exact"/>
              <w:jc w:val="center"/>
              <w:rPr>
                <w:rStyle w:val="21"/>
                <w:rFonts w:ascii="微软雅黑" w:hAnsi="微软雅黑" w:eastAsia="微软雅黑"/>
                <w:b w:val="0"/>
                <w:bCs w:val="0"/>
                <w:sz w:val="18"/>
                <w:szCs w:val="18"/>
              </w:rPr>
            </w:pPr>
          </w:p>
        </w:tc>
        <w:tc>
          <w:tcPr>
            <w:tcW w:w="4353" w:type="dxa"/>
            <w:gridSpan w:val="2"/>
            <w:tcBorders>
              <w:tl2br w:val="nil"/>
              <w:tr2bl w:val="nil"/>
            </w:tcBorders>
            <w:vAlign w:val="center"/>
          </w:tcPr>
          <w:p>
            <w:pPr>
              <w:spacing w:line="400" w:lineRule="exact"/>
              <w:jc w:val="center"/>
              <w:rPr>
                <w:rStyle w:val="21"/>
                <w:rFonts w:ascii="微软雅黑" w:hAnsi="微软雅黑" w:eastAsia="微软雅黑"/>
                <w:b w:val="0"/>
                <w:bCs w:val="0"/>
                <w:sz w:val="18"/>
                <w:szCs w:val="18"/>
              </w:rPr>
            </w:pPr>
            <w:r>
              <w:rPr>
                <w:rFonts w:hint="eastAsia" w:ascii="微软雅黑" w:hAnsi="微软雅黑" w:eastAsia="微软雅黑"/>
                <w:sz w:val="18"/>
                <w:szCs w:val="18"/>
              </w:rPr>
              <w:t>企业类型： □外资 □台资 □港资 □民营 □其它</w:t>
            </w:r>
          </w:p>
        </w:tc>
      </w:tr>
      <w:tr>
        <w:tblPrEx>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CellMar>
            <w:top w:w="0" w:type="dxa"/>
            <w:left w:w="108" w:type="dxa"/>
            <w:bottom w:w="0" w:type="dxa"/>
            <w:right w:w="108" w:type="dxa"/>
          </w:tblCellMar>
        </w:tblPrEx>
        <w:trPr>
          <w:trHeight w:val="468" w:hRule="atLeast"/>
        </w:trPr>
        <w:tc>
          <w:tcPr>
            <w:tcW w:w="1418" w:type="dxa"/>
            <w:tcBorders>
              <w:tl2br w:val="nil"/>
              <w:tr2bl w:val="nil"/>
            </w:tcBorders>
            <w:vAlign w:val="center"/>
          </w:tcPr>
          <w:p>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联 系 人</w:t>
            </w:r>
          </w:p>
        </w:tc>
        <w:tc>
          <w:tcPr>
            <w:tcW w:w="2458" w:type="dxa"/>
            <w:gridSpan w:val="2"/>
            <w:tcBorders>
              <w:tl2br w:val="nil"/>
              <w:tr2bl w:val="nil"/>
            </w:tcBorders>
            <w:vAlign w:val="center"/>
          </w:tcPr>
          <w:p>
            <w:pPr>
              <w:spacing w:line="400" w:lineRule="exact"/>
              <w:jc w:val="center"/>
              <w:rPr>
                <w:rStyle w:val="21"/>
                <w:rFonts w:ascii="微软雅黑" w:hAnsi="微软雅黑" w:eastAsia="微软雅黑"/>
                <w:b w:val="0"/>
                <w:bCs w:val="0"/>
                <w:sz w:val="18"/>
                <w:szCs w:val="18"/>
              </w:rPr>
            </w:pPr>
          </w:p>
        </w:tc>
        <w:tc>
          <w:tcPr>
            <w:tcW w:w="1800" w:type="dxa"/>
            <w:tcBorders>
              <w:tl2br w:val="nil"/>
              <w:tr2bl w:val="nil"/>
            </w:tcBorders>
            <w:vAlign w:val="center"/>
          </w:tcPr>
          <w:p>
            <w:pPr>
              <w:spacing w:line="400" w:lineRule="exact"/>
              <w:jc w:val="center"/>
              <w:rPr>
                <w:rStyle w:val="21"/>
                <w:rFonts w:ascii="微软雅黑" w:hAnsi="微软雅黑" w:eastAsia="微软雅黑"/>
                <w:b w:val="0"/>
                <w:bCs w:val="0"/>
                <w:sz w:val="18"/>
                <w:szCs w:val="18"/>
              </w:rPr>
            </w:pPr>
            <w:r>
              <w:rPr>
                <w:rStyle w:val="21"/>
                <w:rFonts w:ascii="微软雅黑" w:hAnsi="微软雅黑" w:eastAsia="微软雅黑"/>
                <w:b w:val="0"/>
                <w:bCs w:val="0"/>
                <w:sz w:val="18"/>
                <w:szCs w:val="18"/>
              </w:rPr>
              <w:t>公司地址</w:t>
            </w:r>
          </w:p>
        </w:tc>
        <w:tc>
          <w:tcPr>
            <w:tcW w:w="2553" w:type="dxa"/>
            <w:tcBorders>
              <w:tl2br w:val="nil"/>
              <w:tr2bl w:val="nil"/>
            </w:tcBorders>
            <w:vAlign w:val="center"/>
          </w:tcPr>
          <w:p>
            <w:pPr>
              <w:spacing w:line="400" w:lineRule="exact"/>
              <w:jc w:val="center"/>
              <w:rPr>
                <w:rStyle w:val="21"/>
                <w:rFonts w:ascii="微软雅黑" w:hAnsi="微软雅黑" w:eastAsia="微软雅黑"/>
                <w:b w:val="0"/>
                <w:bCs w:val="0"/>
                <w:sz w:val="18"/>
                <w:szCs w:val="18"/>
              </w:rPr>
            </w:pPr>
          </w:p>
        </w:tc>
      </w:tr>
      <w:tr>
        <w:tblPrEx>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CellMar>
            <w:top w:w="0" w:type="dxa"/>
            <w:left w:w="108" w:type="dxa"/>
            <w:bottom w:w="0" w:type="dxa"/>
            <w:right w:w="108" w:type="dxa"/>
          </w:tblCellMar>
        </w:tblPrEx>
        <w:trPr>
          <w:trHeight w:val="468" w:hRule="atLeast"/>
        </w:trPr>
        <w:tc>
          <w:tcPr>
            <w:tcW w:w="1418" w:type="dxa"/>
            <w:tcBorders>
              <w:tl2br w:val="nil"/>
              <w:tr2bl w:val="nil"/>
            </w:tcBorders>
            <w:vAlign w:val="center"/>
          </w:tcPr>
          <w:p>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联系电话</w:t>
            </w:r>
          </w:p>
        </w:tc>
        <w:tc>
          <w:tcPr>
            <w:tcW w:w="2458" w:type="dxa"/>
            <w:gridSpan w:val="2"/>
            <w:tcBorders>
              <w:tl2br w:val="nil"/>
              <w:tr2bl w:val="nil"/>
            </w:tcBorders>
            <w:vAlign w:val="center"/>
          </w:tcPr>
          <w:p>
            <w:pPr>
              <w:spacing w:line="400" w:lineRule="exact"/>
              <w:jc w:val="center"/>
              <w:rPr>
                <w:rStyle w:val="21"/>
                <w:rFonts w:ascii="微软雅黑" w:hAnsi="微软雅黑" w:eastAsia="微软雅黑"/>
                <w:b w:val="0"/>
                <w:bCs w:val="0"/>
                <w:sz w:val="18"/>
                <w:szCs w:val="18"/>
              </w:rPr>
            </w:pPr>
          </w:p>
        </w:tc>
        <w:tc>
          <w:tcPr>
            <w:tcW w:w="1800" w:type="dxa"/>
            <w:tcBorders>
              <w:tl2br w:val="nil"/>
              <w:tr2bl w:val="nil"/>
            </w:tcBorders>
            <w:vAlign w:val="center"/>
          </w:tcPr>
          <w:p>
            <w:pPr>
              <w:spacing w:line="400" w:lineRule="exact"/>
              <w:jc w:val="center"/>
              <w:rPr>
                <w:rStyle w:val="21"/>
                <w:rFonts w:ascii="微软雅黑" w:hAnsi="微软雅黑" w:eastAsia="微软雅黑"/>
                <w:b w:val="0"/>
                <w:bCs w:val="0"/>
                <w:sz w:val="18"/>
                <w:szCs w:val="18"/>
              </w:rPr>
            </w:pPr>
            <w:r>
              <w:rPr>
                <w:rStyle w:val="21"/>
                <w:rFonts w:ascii="微软雅黑" w:hAnsi="微软雅黑" w:eastAsia="微软雅黑"/>
                <w:b w:val="0"/>
                <w:bCs w:val="0"/>
                <w:sz w:val="18"/>
                <w:szCs w:val="18"/>
              </w:rPr>
              <w:t>E-mail</w:t>
            </w:r>
          </w:p>
        </w:tc>
        <w:tc>
          <w:tcPr>
            <w:tcW w:w="2553" w:type="dxa"/>
            <w:tcBorders>
              <w:tl2br w:val="nil"/>
              <w:tr2bl w:val="nil"/>
            </w:tcBorders>
            <w:vAlign w:val="center"/>
          </w:tcPr>
          <w:p>
            <w:pPr>
              <w:spacing w:line="400" w:lineRule="exact"/>
              <w:jc w:val="center"/>
              <w:rPr>
                <w:rStyle w:val="21"/>
                <w:rFonts w:ascii="微软雅黑" w:hAnsi="微软雅黑" w:eastAsia="微软雅黑"/>
                <w:b w:val="0"/>
                <w:bCs w:val="0"/>
                <w:sz w:val="18"/>
                <w:szCs w:val="18"/>
              </w:rPr>
            </w:pPr>
          </w:p>
        </w:tc>
      </w:tr>
      <w:tr>
        <w:tblPrEx>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CellMar>
            <w:top w:w="0" w:type="dxa"/>
            <w:left w:w="108" w:type="dxa"/>
            <w:bottom w:w="0" w:type="dxa"/>
            <w:right w:w="108" w:type="dxa"/>
          </w:tblCellMar>
        </w:tblPrEx>
        <w:trPr>
          <w:trHeight w:val="465" w:hRule="atLeast"/>
        </w:trPr>
        <w:tc>
          <w:tcPr>
            <w:tcW w:w="1418" w:type="dxa"/>
            <w:tcBorders>
              <w:tl2br w:val="nil"/>
              <w:tr2bl w:val="nil"/>
            </w:tcBorders>
            <w:vAlign w:val="center"/>
          </w:tcPr>
          <w:p>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参会人数</w:t>
            </w:r>
          </w:p>
        </w:tc>
        <w:tc>
          <w:tcPr>
            <w:tcW w:w="2458" w:type="dxa"/>
            <w:gridSpan w:val="2"/>
            <w:tcBorders>
              <w:tl2br w:val="nil"/>
              <w:tr2bl w:val="nil"/>
            </w:tcBorders>
            <w:vAlign w:val="center"/>
          </w:tcPr>
          <w:p>
            <w:pPr>
              <w:spacing w:line="400" w:lineRule="exact"/>
              <w:ind w:firstLine="450" w:firstLineChars="250"/>
              <w:jc w:val="center"/>
              <w:rPr>
                <w:rFonts w:ascii="微软雅黑" w:hAnsi="微软雅黑" w:eastAsia="微软雅黑"/>
                <w:sz w:val="18"/>
                <w:szCs w:val="18"/>
              </w:rPr>
            </w:pPr>
            <w:r>
              <w:rPr>
                <w:rFonts w:hint="eastAsia" w:ascii="微软雅黑" w:hAnsi="微软雅黑" w:eastAsia="微软雅黑"/>
                <w:sz w:val="18"/>
                <w:szCs w:val="18"/>
              </w:rPr>
              <w:t>人</w:t>
            </w:r>
          </w:p>
        </w:tc>
        <w:tc>
          <w:tcPr>
            <w:tcW w:w="1800" w:type="dxa"/>
            <w:tcBorders>
              <w:tl2br w:val="nil"/>
              <w:tr2bl w:val="nil"/>
            </w:tcBorders>
            <w:vAlign w:val="center"/>
          </w:tcPr>
          <w:p>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参会费用</w:t>
            </w:r>
          </w:p>
        </w:tc>
        <w:tc>
          <w:tcPr>
            <w:tcW w:w="2553" w:type="dxa"/>
            <w:tcBorders>
              <w:tl2br w:val="nil"/>
              <w:tr2bl w:val="nil"/>
            </w:tcBorders>
            <w:vAlign w:val="center"/>
          </w:tcPr>
          <w:p>
            <w:pPr>
              <w:spacing w:line="400" w:lineRule="exact"/>
              <w:ind w:firstLine="360" w:firstLineChars="200"/>
              <w:jc w:val="center"/>
              <w:rPr>
                <w:rFonts w:ascii="微软雅黑" w:hAnsi="微软雅黑" w:eastAsia="微软雅黑"/>
                <w:sz w:val="18"/>
                <w:szCs w:val="18"/>
              </w:rPr>
            </w:pPr>
            <w:r>
              <w:rPr>
                <w:rFonts w:hint="eastAsia" w:ascii="微软雅黑" w:hAnsi="微软雅黑" w:eastAsia="微软雅黑"/>
                <w:sz w:val="18"/>
                <w:szCs w:val="18"/>
              </w:rPr>
              <w:t>￥_______元</w:t>
            </w:r>
          </w:p>
        </w:tc>
      </w:tr>
      <w:tr>
        <w:tblPrEx>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CellMar>
            <w:top w:w="0" w:type="dxa"/>
            <w:left w:w="108" w:type="dxa"/>
            <w:bottom w:w="0" w:type="dxa"/>
            <w:right w:w="108" w:type="dxa"/>
          </w:tblCellMar>
        </w:tblPrEx>
        <w:trPr>
          <w:trHeight w:val="375" w:hRule="atLeast"/>
        </w:trPr>
        <w:tc>
          <w:tcPr>
            <w:tcW w:w="1418" w:type="dxa"/>
            <w:vMerge w:val="restart"/>
            <w:tcBorders>
              <w:tl2br w:val="nil"/>
              <w:tr2bl w:val="nil"/>
            </w:tcBorders>
            <w:vAlign w:val="center"/>
          </w:tcPr>
          <w:p>
            <w:pPr>
              <w:widowControl/>
              <w:jc w:val="center"/>
              <w:rPr>
                <w:sz w:val="18"/>
                <w:szCs w:val="18"/>
              </w:rPr>
            </w:pPr>
          </w:p>
          <w:p>
            <w:pPr>
              <w:widowControl/>
              <w:jc w:val="center"/>
              <w:rPr>
                <w:rFonts w:ascii="微软雅黑" w:hAnsi="微软雅黑" w:eastAsia="微软雅黑"/>
                <w:sz w:val="18"/>
                <w:szCs w:val="18"/>
              </w:rPr>
            </w:pPr>
            <w:r>
              <w:rPr>
                <w:rFonts w:hint="eastAsia" w:ascii="微软雅黑" w:hAnsi="微软雅黑" w:eastAsia="微软雅黑"/>
                <w:sz w:val="18"/>
                <w:szCs w:val="18"/>
              </w:rPr>
              <w:t>参会学员</w:t>
            </w:r>
          </w:p>
        </w:tc>
        <w:tc>
          <w:tcPr>
            <w:tcW w:w="1004" w:type="dxa"/>
            <w:tcBorders>
              <w:tl2br w:val="nil"/>
              <w:tr2bl w:val="nil"/>
            </w:tcBorders>
            <w:vAlign w:val="center"/>
          </w:tcPr>
          <w:p>
            <w:pPr>
              <w:jc w:val="center"/>
              <w:rPr>
                <w:rStyle w:val="21"/>
                <w:b w:val="0"/>
                <w:bCs w:val="0"/>
                <w:sz w:val="18"/>
                <w:szCs w:val="18"/>
              </w:rPr>
            </w:pPr>
            <w:r>
              <w:rPr>
                <w:rStyle w:val="21"/>
                <w:rFonts w:hint="eastAsia" w:ascii="微软雅黑" w:hAnsi="微软雅黑" w:eastAsia="微软雅黑" w:cs="微软雅黑"/>
                <w:b w:val="0"/>
                <w:bCs w:val="0"/>
                <w:sz w:val="18"/>
                <w:szCs w:val="18"/>
              </w:rPr>
              <w:t>姓名</w:t>
            </w:r>
          </w:p>
        </w:tc>
        <w:tc>
          <w:tcPr>
            <w:tcW w:w="1454" w:type="dxa"/>
            <w:tcBorders>
              <w:tl2br w:val="nil"/>
              <w:tr2bl w:val="nil"/>
            </w:tcBorders>
            <w:vAlign w:val="center"/>
          </w:tcPr>
          <w:p>
            <w:pPr>
              <w:jc w:val="center"/>
              <w:rPr>
                <w:rStyle w:val="21"/>
                <w:b w:val="0"/>
                <w:bCs w:val="0"/>
                <w:sz w:val="18"/>
                <w:szCs w:val="18"/>
              </w:rPr>
            </w:pPr>
            <w:r>
              <w:rPr>
                <w:rStyle w:val="21"/>
                <w:rFonts w:hint="eastAsia" w:ascii="微软雅黑" w:hAnsi="微软雅黑" w:eastAsia="微软雅黑" w:cs="微软雅黑"/>
                <w:b w:val="0"/>
                <w:bCs w:val="0"/>
                <w:sz w:val="18"/>
                <w:szCs w:val="18"/>
              </w:rPr>
              <w:t>电话</w:t>
            </w:r>
          </w:p>
        </w:tc>
        <w:tc>
          <w:tcPr>
            <w:tcW w:w="1800" w:type="dxa"/>
            <w:tcBorders>
              <w:tl2br w:val="nil"/>
              <w:tr2bl w:val="nil"/>
            </w:tcBorders>
            <w:vAlign w:val="center"/>
          </w:tcPr>
          <w:p>
            <w:pPr>
              <w:jc w:val="center"/>
              <w:rPr>
                <w:rStyle w:val="21"/>
                <w:b w:val="0"/>
                <w:bCs w:val="0"/>
                <w:sz w:val="18"/>
                <w:szCs w:val="18"/>
              </w:rPr>
            </w:pPr>
            <w:r>
              <w:rPr>
                <w:rStyle w:val="21"/>
                <w:rFonts w:hint="eastAsia" w:ascii="微软雅黑" w:hAnsi="微软雅黑" w:eastAsia="微软雅黑" w:cs="微软雅黑"/>
                <w:b w:val="0"/>
                <w:bCs w:val="0"/>
                <w:sz w:val="18"/>
                <w:szCs w:val="18"/>
              </w:rPr>
              <w:t>职位</w:t>
            </w:r>
          </w:p>
        </w:tc>
        <w:tc>
          <w:tcPr>
            <w:tcW w:w="2553" w:type="dxa"/>
            <w:tcBorders>
              <w:tl2br w:val="nil"/>
              <w:tr2bl w:val="nil"/>
            </w:tcBorders>
            <w:vAlign w:val="center"/>
          </w:tcPr>
          <w:p>
            <w:pPr>
              <w:jc w:val="center"/>
              <w:rPr>
                <w:rStyle w:val="21"/>
                <w:b w:val="0"/>
                <w:bCs w:val="0"/>
                <w:sz w:val="18"/>
                <w:szCs w:val="18"/>
              </w:rPr>
            </w:pPr>
            <w:r>
              <w:rPr>
                <w:rStyle w:val="21"/>
                <w:rFonts w:hint="eastAsia" w:ascii="微软雅黑" w:hAnsi="微软雅黑" w:eastAsia="微软雅黑" w:cs="微软雅黑"/>
                <w:b w:val="0"/>
                <w:bCs w:val="0"/>
                <w:sz w:val="18"/>
                <w:szCs w:val="18"/>
              </w:rPr>
              <w:t>邮箱</w:t>
            </w:r>
          </w:p>
        </w:tc>
      </w:tr>
      <w:tr>
        <w:tblPrEx>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CellMar>
            <w:top w:w="0" w:type="dxa"/>
            <w:left w:w="108" w:type="dxa"/>
            <w:bottom w:w="0" w:type="dxa"/>
            <w:right w:w="108" w:type="dxa"/>
          </w:tblCellMar>
        </w:tblPrEx>
        <w:trPr>
          <w:trHeight w:val="267" w:hRule="atLeast"/>
        </w:trPr>
        <w:tc>
          <w:tcPr>
            <w:tcW w:w="1418" w:type="dxa"/>
            <w:vMerge w:val="continue"/>
            <w:tcBorders>
              <w:tl2br w:val="nil"/>
              <w:tr2bl w:val="nil"/>
            </w:tcBorders>
            <w:vAlign w:val="center"/>
          </w:tcPr>
          <w:p>
            <w:pPr>
              <w:widowControl/>
              <w:jc w:val="center"/>
            </w:pPr>
          </w:p>
        </w:tc>
        <w:tc>
          <w:tcPr>
            <w:tcW w:w="1004" w:type="dxa"/>
            <w:tcBorders>
              <w:tl2br w:val="nil"/>
              <w:tr2bl w:val="nil"/>
            </w:tcBorders>
            <w:vAlign w:val="center"/>
          </w:tcPr>
          <w:p>
            <w:pPr>
              <w:jc w:val="center"/>
              <w:rPr>
                <w:rStyle w:val="21"/>
                <w:b w:val="0"/>
                <w:bCs w:val="0"/>
              </w:rPr>
            </w:pPr>
          </w:p>
        </w:tc>
        <w:tc>
          <w:tcPr>
            <w:tcW w:w="1454" w:type="dxa"/>
            <w:tcBorders>
              <w:tl2br w:val="nil"/>
              <w:tr2bl w:val="nil"/>
            </w:tcBorders>
            <w:vAlign w:val="center"/>
          </w:tcPr>
          <w:p>
            <w:pPr>
              <w:jc w:val="center"/>
              <w:rPr>
                <w:rStyle w:val="21"/>
                <w:b w:val="0"/>
                <w:bCs w:val="0"/>
              </w:rPr>
            </w:pPr>
          </w:p>
        </w:tc>
        <w:tc>
          <w:tcPr>
            <w:tcW w:w="1800" w:type="dxa"/>
            <w:tcBorders>
              <w:tl2br w:val="nil"/>
              <w:tr2bl w:val="nil"/>
            </w:tcBorders>
            <w:vAlign w:val="center"/>
          </w:tcPr>
          <w:p>
            <w:pPr>
              <w:jc w:val="center"/>
              <w:rPr>
                <w:rStyle w:val="21"/>
                <w:b w:val="0"/>
                <w:bCs w:val="0"/>
              </w:rPr>
            </w:pPr>
          </w:p>
        </w:tc>
        <w:tc>
          <w:tcPr>
            <w:tcW w:w="2553" w:type="dxa"/>
            <w:tcBorders>
              <w:tl2br w:val="nil"/>
              <w:tr2bl w:val="nil"/>
            </w:tcBorders>
            <w:vAlign w:val="center"/>
          </w:tcPr>
          <w:p>
            <w:pPr>
              <w:jc w:val="center"/>
              <w:rPr>
                <w:rStyle w:val="21"/>
                <w:b w:val="0"/>
                <w:bCs w:val="0"/>
              </w:rPr>
            </w:pPr>
          </w:p>
        </w:tc>
      </w:tr>
      <w:tr>
        <w:tblPrEx>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CellMar>
            <w:top w:w="0" w:type="dxa"/>
            <w:left w:w="108" w:type="dxa"/>
            <w:bottom w:w="0" w:type="dxa"/>
            <w:right w:w="108" w:type="dxa"/>
          </w:tblCellMar>
        </w:tblPrEx>
        <w:trPr>
          <w:trHeight w:val="356" w:hRule="atLeast"/>
        </w:trPr>
        <w:tc>
          <w:tcPr>
            <w:tcW w:w="1418" w:type="dxa"/>
            <w:vMerge w:val="continue"/>
            <w:tcBorders>
              <w:tl2br w:val="nil"/>
              <w:tr2bl w:val="nil"/>
            </w:tcBorders>
            <w:vAlign w:val="center"/>
          </w:tcPr>
          <w:p>
            <w:pPr>
              <w:widowControl/>
              <w:jc w:val="center"/>
            </w:pPr>
          </w:p>
        </w:tc>
        <w:tc>
          <w:tcPr>
            <w:tcW w:w="1004" w:type="dxa"/>
            <w:tcBorders>
              <w:tl2br w:val="nil"/>
              <w:tr2bl w:val="nil"/>
            </w:tcBorders>
            <w:vAlign w:val="center"/>
          </w:tcPr>
          <w:p>
            <w:pPr>
              <w:jc w:val="center"/>
              <w:rPr>
                <w:rStyle w:val="21"/>
                <w:b w:val="0"/>
                <w:bCs w:val="0"/>
              </w:rPr>
            </w:pPr>
          </w:p>
        </w:tc>
        <w:tc>
          <w:tcPr>
            <w:tcW w:w="1454" w:type="dxa"/>
            <w:tcBorders>
              <w:tl2br w:val="nil"/>
              <w:tr2bl w:val="nil"/>
            </w:tcBorders>
            <w:vAlign w:val="center"/>
          </w:tcPr>
          <w:p>
            <w:pPr>
              <w:jc w:val="center"/>
              <w:rPr>
                <w:rStyle w:val="21"/>
                <w:b w:val="0"/>
                <w:bCs w:val="0"/>
              </w:rPr>
            </w:pPr>
          </w:p>
        </w:tc>
        <w:tc>
          <w:tcPr>
            <w:tcW w:w="1800" w:type="dxa"/>
            <w:tcBorders>
              <w:tl2br w:val="nil"/>
              <w:tr2bl w:val="nil"/>
            </w:tcBorders>
            <w:vAlign w:val="center"/>
          </w:tcPr>
          <w:p>
            <w:pPr>
              <w:jc w:val="center"/>
              <w:rPr>
                <w:rStyle w:val="21"/>
                <w:b w:val="0"/>
                <w:bCs w:val="0"/>
              </w:rPr>
            </w:pPr>
          </w:p>
        </w:tc>
        <w:tc>
          <w:tcPr>
            <w:tcW w:w="2553" w:type="dxa"/>
            <w:tcBorders>
              <w:tl2br w:val="nil"/>
              <w:tr2bl w:val="nil"/>
            </w:tcBorders>
            <w:vAlign w:val="center"/>
          </w:tcPr>
          <w:p>
            <w:pPr>
              <w:jc w:val="center"/>
              <w:rPr>
                <w:rStyle w:val="21"/>
                <w:b w:val="0"/>
                <w:bCs w:val="0"/>
              </w:rPr>
            </w:pPr>
          </w:p>
        </w:tc>
      </w:tr>
    </w:tbl>
    <w:p/>
    <w:tbl>
      <w:tblPr>
        <w:tblStyle w:val="15"/>
        <w:tblpPr w:leftFromText="180" w:rightFromText="180" w:vertAnchor="text" w:horzAnchor="page" w:tblpX="1953" w:tblpY="239"/>
        <w:tblOverlap w:val="never"/>
        <w:tblW w:w="8195" w:type="dxa"/>
        <w:tblInd w:w="0" w:type="dxa"/>
        <w:tblBorders>
          <w:top w:val="single" w:color="A4A4A4" w:themeColor="background1" w:themeShade="A5" w:sz="4" w:space="0"/>
          <w:left w:val="single" w:color="A4A4A4" w:themeColor="background1" w:themeShade="A5" w:sz="4" w:space="0"/>
          <w:bottom w:val="single" w:color="A4A4A4" w:themeColor="background1" w:themeShade="A5" w:sz="4" w:space="0"/>
          <w:right w:val="single" w:color="A4A4A4" w:themeColor="background1" w:themeShade="A5" w:sz="4" w:space="0"/>
          <w:insideH w:val="single" w:color="A4A4A4" w:themeColor="background1" w:themeShade="A5" w:sz="4" w:space="0"/>
          <w:insideV w:val="single" w:color="A4A4A4" w:themeColor="background1" w:themeShade="A5" w:sz="4" w:space="0"/>
        </w:tblBorders>
        <w:tblLayout w:type="fixed"/>
        <w:tblCellMar>
          <w:top w:w="0" w:type="dxa"/>
          <w:left w:w="108" w:type="dxa"/>
          <w:bottom w:w="0" w:type="dxa"/>
          <w:right w:w="108" w:type="dxa"/>
        </w:tblCellMar>
      </w:tblPr>
      <w:tblGrid>
        <w:gridCol w:w="1391"/>
        <w:gridCol w:w="1276"/>
        <w:gridCol w:w="1984"/>
        <w:gridCol w:w="1701"/>
        <w:gridCol w:w="1843"/>
      </w:tblGrid>
      <w:tr>
        <w:tblPrEx>
          <w:tblBorders>
            <w:top w:val="single" w:color="A4A4A4" w:themeColor="background1" w:themeShade="A5" w:sz="4" w:space="0"/>
            <w:left w:val="single" w:color="A4A4A4" w:themeColor="background1" w:themeShade="A5" w:sz="4" w:space="0"/>
            <w:bottom w:val="single" w:color="A4A4A4" w:themeColor="background1" w:themeShade="A5" w:sz="4" w:space="0"/>
            <w:right w:val="single" w:color="A4A4A4" w:themeColor="background1" w:themeShade="A5" w:sz="4" w:space="0"/>
            <w:insideH w:val="single" w:color="A4A4A4" w:themeColor="background1" w:themeShade="A5" w:sz="4" w:space="0"/>
            <w:insideV w:val="single" w:color="A4A4A4" w:themeColor="background1" w:themeShade="A5" w:sz="4" w:space="0"/>
          </w:tblBorders>
          <w:tblCellMar>
            <w:top w:w="0" w:type="dxa"/>
            <w:left w:w="108" w:type="dxa"/>
            <w:bottom w:w="0" w:type="dxa"/>
            <w:right w:w="108" w:type="dxa"/>
          </w:tblCellMar>
        </w:tblPrEx>
        <w:trPr>
          <w:trHeight w:val="364" w:hRule="atLeast"/>
        </w:trPr>
        <w:tc>
          <w:tcPr>
            <w:tcW w:w="8195" w:type="dxa"/>
            <w:gridSpan w:val="5"/>
            <w:tcBorders>
              <w:tl2br w:val="nil"/>
              <w:tr2bl w:val="nil"/>
            </w:tcBorders>
            <w:shd w:val="clear" w:color="auto" w:fill="F21F2B"/>
            <w:vAlign w:val="center"/>
          </w:tcPr>
          <w:p>
            <w:pPr>
              <w:widowControl/>
              <w:spacing w:line="0" w:lineRule="atLeast"/>
              <w:jc w:val="center"/>
              <w:rPr>
                <w:rFonts w:ascii="微软雅黑" w:hAnsi="微软雅黑" w:eastAsia="微软雅黑"/>
                <w:b/>
                <w:bCs/>
                <w:spacing w:val="28"/>
                <w:sz w:val="28"/>
                <w:szCs w:val="28"/>
              </w:rPr>
            </w:pPr>
            <w:r>
              <w:rPr>
                <w:rFonts w:hint="eastAsia" w:ascii="微软雅黑" w:hAnsi="微软雅黑" w:eastAsia="微软雅黑"/>
                <w:b/>
                <w:bCs/>
                <w:spacing w:val="28"/>
                <w:sz w:val="28"/>
                <w:szCs w:val="28"/>
              </w:rPr>
              <w:t>202</w:t>
            </w:r>
            <w:r>
              <w:rPr>
                <w:rFonts w:hint="eastAsia" w:ascii="微软雅黑" w:hAnsi="微软雅黑" w:eastAsia="微软雅黑"/>
                <w:b/>
                <w:bCs/>
                <w:spacing w:val="28"/>
                <w:sz w:val="28"/>
                <w:szCs w:val="28"/>
                <w:lang w:val="en-US" w:eastAsia="zh-CN"/>
              </w:rPr>
              <w:t>3</w:t>
            </w:r>
            <w:r>
              <w:rPr>
                <w:rFonts w:hint="eastAsia" w:ascii="微软雅黑" w:hAnsi="微软雅黑" w:eastAsia="微软雅黑"/>
                <w:b/>
                <w:bCs/>
                <w:spacing w:val="28"/>
                <w:sz w:val="28"/>
                <w:szCs w:val="28"/>
              </w:rPr>
              <w:t>中智光华学习卡价格表</w:t>
            </w:r>
          </w:p>
        </w:tc>
      </w:tr>
      <w:tr>
        <w:tblPrEx>
          <w:tblBorders>
            <w:top w:val="single" w:color="A4A4A4" w:themeColor="background1" w:themeShade="A5" w:sz="4" w:space="0"/>
            <w:left w:val="single" w:color="A4A4A4" w:themeColor="background1" w:themeShade="A5" w:sz="4" w:space="0"/>
            <w:bottom w:val="single" w:color="A4A4A4" w:themeColor="background1" w:themeShade="A5" w:sz="4" w:space="0"/>
            <w:right w:val="single" w:color="A4A4A4" w:themeColor="background1" w:themeShade="A5" w:sz="4" w:space="0"/>
            <w:insideH w:val="single" w:color="A4A4A4" w:themeColor="background1" w:themeShade="A5" w:sz="4" w:space="0"/>
            <w:insideV w:val="single" w:color="A4A4A4" w:themeColor="background1" w:themeShade="A5" w:sz="4" w:space="0"/>
          </w:tblBorders>
          <w:tblCellMar>
            <w:top w:w="0" w:type="dxa"/>
            <w:left w:w="108" w:type="dxa"/>
            <w:bottom w:w="0" w:type="dxa"/>
            <w:right w:w="108" w:type="dxa"/>
          </w:tblCellMar>
        </w:tblPrEx>
        <w:trPr>
          <w:trHeight w:val="287" w:hRule="atLeast"/>
        </w:trPr>
        <w:tc>
          <w:tcPr>
            <w:tcW w:w="1391" w:type="dxa"/>
            <w:tcBorders>
              <w:tl2br w:val="nil"/>
              <w:tr2bl w:val="nil"/>
            </w:tcBorders>
            <w:shd w:val="clear" w:color="auto" w:fill="BDD6EE" w:themeFill="accent1" w:themeFillTint="66"/>
            <w:vAlign w:val="center"/>
          </w:tcPr>
          <w:p>
            <w:pPr>
              <w:widowControl/>
              <w:spacing w:line="400" w:lineRule="exact"/>
              <w:jc w:val="center"/>
              <w:rPr>
                <w:rFonts w:ascii="微软雅黑" w:hAnsi="微软雅黑" w:eastAsia="微软雅黑"/>
                <w:b/>
                <w:bCs/>
                <w:sz w:val="18"/>
                <w:szCs w:val="18"/>
              </w:rPr>
            </w:pPr>
            <w:r>
              <w:rPr>
                <w:rFonts w:hint="eastAsia" w:ascii="微软雅黑" w:hAnsi="微软雅黑" w:eastAsia="微软雅黑"/>
                <w:b/>
                <w:bCs/>
                <w:sz w:val="18"/>
                <w:szCs w:val="18"/>
              </w:rPr>
              <w:t>会员系列</w:t>
            </w:r>
          </w:p>
        </w:tc>
        <w:tc>
          <w:tcPr>
            <w:tcW w:w="1276" w:type="dxa"/>
            <w:tcBorders>
              <w:tl2br w:val="nil"/>
              <w:tr2bl w:val="nil"/>
            </w:tcBorders>
            <w:shd w:val="clear" w:color="auto" w:fill="BDD6EE" w:themeFill="accent1" w:themeFillTint="66"/>
            <w:vAlign w:val="center"/>
          </w:tcPr>
          <w:p>
            <w:pPr>
              <w:widowControl/>
              <w:spacing w:line="400" w:lineRule="exact"/>
              <w:jc w:val="center"/>
              <w:rPr>
                <w:rFonts w:ascii="微软雅黑" w:hAnsi="微软雅黑" w:eastAsia="微软雅黑"/>
                <w:b/>
                <w:bCs/>
                <w:sz w:val="18"/>
                <w:szCs w:val="18"/>
              </w:rPr>
            </w:pPr>
            <w:r>
              <w:rPr>
                <w:rFonts w:hint="eastAsia" w:ascii="微软雅黑" w:hAnsi="微软雅黑" w:eastAsia="微软雅黑"/>
                <w:b/>
                <w:bCs/>
                <w:sz w:val="18"/>
                <w:szCs w:val="18"/>
              </w:rPr>
              <w:t>类型</w:t>
            </w:r>
          </w:p>
        </w:tc>
        <w:tc>
          <w:tcPr>
            <w:tcW w:w="1984" w:type="dxa"/>
            <w:tcBorders>
              <w:tl2br w:val="nil"/>
              <w:tr2bl w:val="nil"/>
            </w:tcBorders>
            <w:shd w:val="clear" w:color="auto" w:fill="BDD6EE" w:themeFill="accent1" w:themeFillTint="66"/>
            <w:vAlign w:val="center"/>
          </w:tcPr>
          <w:p>
            <w:pPr>
              <w:widowControl/>
              <w:spacing w:line="400" w:lineRule="exact"/>
              <w:jc w:val="center"/>
              <w:rPr>
                <w:rFonts w:ascii="微软雅黑" w:hAnsi="微软雅黑" w:eastAsia="微软雅黑"/>
                <w:b/>
                <w:bCs/>
                <w:spacing w:val="28"/>
                <w:sz w:val="18"/>
                <w:szCs w:val="18"/>
              </w:rPr>
            </w:pPr>
            <w:r>
              <w:rPr>
                <w:rFonts w:hint="eastAsia" w:ascii="微软雅黑" w:hAnsi="微软雅黑" w:eastAsia="微软雅黑"/>
                <w:b/>
                <w:bCs/>
                <w:spacing w:val="28"/>
                <w:sz w:val="18"/>
                <w:szCs w:val="18"/>
              </w:rPr>
              <w:t>价格(元)</w:t>
            </w:r>
          </w:p>
        </w:tc>
        <w:tc>
          <w:tcPr>
            <w:tcW w:w="1701" w:type="dxa"/>
            <w:tcBorders>
              <w:tl2br w:val="nil"/>
              <w:tr2bl w:val="nil"/>
            </w:tcBorders>
            <w:shd w:val="clear" w:color="auto" w:fill="BDD6EE" w:themeFill="accent1" w:themeFillTint="66"/>
            <w:vAlign w:val="center"/>
          </w:tcPr>
          <w:p>
            <w:pPr>
              <w:widowControl/>
              <w:spacing w:line="400" w:lineRule="exact"/>
              <w:ind w:firstLine="347" w:firstLineChars="147"/>
              <w:jc w:val="center"/>
              <w:rPr>
                <w:rFonts w:ascii="微软雅黑" w:hAnsi="微软雅黑" w:eastAsia="微软雅黑"/>
                <w:b/>
                <w:bCs/>
                <w:spacing w:val="28"/>
                <w:sz w:val="18"/>
                <w:szCs w:val="18"/>
              </w:rPr>
            </w:pPr>
            <w:r>
              <w:rPr>
                <w:rFonts w:hint="eastAsia" w:ascii="微软雅黑" w:hAnsi="微软雅黑" w:eastAsia="微软雅黑"/>
                <w:b/>
                <w:bCs/>
                <w:spacing w:val="28"/>
                <w:sz w:val="18"/>
                <w:szCs w:val="18"/>
              </w:rPr>
              <w:t>数量(张)</w:t>
            </w:r>
          </w:p>
        </w:tc>
        <w:tc>
          <w:tcPr>
            <w:tcW w:w="1843" w:type="dxa"/>
            <w:tcBorders>
              <w:tl2br w:val="nil"/>
              <w:tr2bl w:val="nil"/>
            </w:tcBorders>
            <w:shd w:val="clear" w:color="auto" w:fill="BDD6EE" w:themeFill="accent1" w:themeFillTint="66"/>
            <w:vAlign w:val="center"/>
          </w:tcPr>
          <w:p>
            <w:pPr>
              <w:spacing w:line="400" w:lineRule="exact"/>
              <w:rPr>
                <w:rFonts w:ascii="微软雅黑" w:hAnsi="微软雅黑" w:eastAsia="微软雅黑"/>
                <w:b/>
                <w:sz w:val="18"/>
                <w:szCs w:val="18"/>
              </w:rPr>
            </w:pPr>
            <w:r>
              <w:rPr>
                <w:rFonts w:hint="eastAsia" w:ascii="微软雅黑" w:hAnsi="微软雅黑" w:eastAsia="微软雅黑"/>
                <w:b/>
                <w:sz w:val="18"/>
                <w:szCs w:val="18"/>
              </w:rPr>
              <w:t>平均价格（元/张）</w:t>
            </w:r>
          </w:p>
        </w:tc>
      </w:tr>
      <w:tr>
        <w:tblPrEx>
          <w:tblBorders>
            <w:top w:val="single" w:color="A4A4A4" w:themeColor="background1" w:themeShade="A5" w:sz="4" w:space="0"/>
            <w:left w:val="single" w:color="A4A4A4" w:themeColor="background1" w:themeShade="A5" w:sz="4" w:space="0"/>
            <w:bottom w:val="single" w:color="A4A4A4" w:themeColor="background1" w:themeShade="A5" w:sz="4" w:space="0"/>
            <w:right w:val="single" w:color="A4A4A4" w:themeColor="background1" w:themeShade="A5" w:sz="4" w:space="0"/>
            <w:insideH w:val="single" w:color="A4A4A4" w:themeColor="background1" w:themeShade="A5" w:sz="4" w:space="0"/>
            <w:insideV w:val="single" w:color="A4A4A4" w:themeColor="background1" w:themeShade="A5" w:sz="4" w:space="0"/>
          </w:tblBorders>
          <w:tblCellMar>
            <w:top w:w="0" w:type="dxa"/>
            <w:left w:w="108" w:type="dxa"/>
            <w:bottom w:w="0" w:type="dxa"/>
            <w:right w:w="108" w:type="dxa"/>
          </w:tblCellMar>
        </w:tblPrEx>
        <w:trPr>
          <w:cantSplit/>
          <w:trHeight w:val="287" w:hRule="atLeast"/>
        </w:trPr>
        <w:tc>
          <w:tcPr>
            <w:tcW w:w="1391" w:type="dxa"/>
            <w:vMerge w:val="restart"/>
            <w:tcBorders>
              <w:tl2br w:val="nil"/>
              <w:tr2bl w:val="nil"/>
            </w:tcBorders>
            <w:shd w:val="clear" w:color="auto" w:fill="F1F1F1" w:themeFill="background1" w:themeFillShade="F2"/>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集团系列</w:t>
            </w:r>
          </w:p>
        </w:tc>
        <w:tc>
          <w:tcPr>
            <w:tcW w:w="1276" w:type="dxa"/>
            <w:tcBorders>
              <w:tl2br w:val="nil"/>
              <w:tr2bl w:val="nil"/>
            </w:tcBorders>
            <w:shd w:val="clear" w:color="auto" w:fill="F1F1F1" w:themeFill="background1" w:themeFillShade="F2"/>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皇冠卡</w:t>
            </w:r>
          </w:p>
        </w:tc>
        <w:tc>
          <w:tcPr>
            <w:tcW w:w="1984" w:type="dxa"/>
            <w:tcBorders>
              <w:tl2br w:val="nil"/>
              <w:tr2bl w:val="nil"/>
            </w:tcBorders>
            <w:shd w:val="clear" w:color="auto" w:fill="F1F1F1" w:themeFill="background1" w:themeFillShade="F2"/>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￥488，800</w:t>
            </w:r>
          </w:p>
        </w:tc>
        <w:tc>
          <w:tcPr>
            <w:tcW w:w="1701" w:type="dxa"/>
            <w:tcBorders>
              <w:tl2br w:val="nil"/>
              <w:tr2bl w:val="nil"/>
            </w:tcBorders>
            <w:shd w:val="clear" w:color="auto" w:fill="F1F1F1" w:themeFill="background1" w:themeFillShade="F2"/>
            <w:vAlign w:val="center"/>
          </w:tcPr>
          <w:p>
            <w:pPr>
              <w:widowControl/>
              <w:spacing w:line="400" w:lineRule="exact"/>
              <w:jc w:val="center"/>
              <w:rPr>
                <w:rFonts w:hint="default" w:ascii="微软雅黑" w:hAnsi="微软雅黑" w:eastAsia="微软雅黑"/>
                <w:sz w:val="18"/>
                <w:szCs w:val="18"/>
                <w:lang w:val="en-US" w:eastAsia="zh-CN"/>
              </w:rPr>
            </w:pPr>
            <w:r>
              <w:rPr>
                <w:rFonts w:hint="eastAsia" w:ascii="微软雅黑" w:hAnsi="微软雅黑" w:eastAsia="微软雅黑"/>
                <w:sz w:val="18"/>
                <w:szCs w:val="18"/>
                <w:lang w:val="en-US" w:eastAsia="zh-CN"/>
              </w:rPr>
              <w:t>4444</w:t>
            </w:r>
          </w:p>
        </w:tc>
        <w:tc>
          <w:tcPr>
            <w:tcW w:w="1843" w:type="dxa"/>
            <w:tcBorders>
              <w:tl2br w:val="nil"/>
              <w:tr2bl w:val="nil"/>
            </w:tcBorders>
            <w:shd w:val="clear" w:color="auto" w:fill="F1F1F1" w:themeFill="background1" w:themeFillShade="F2"/>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1</w:t>
            </w:r>
            <w:r>
              <w:rPr>
                <w:rFonts w:hint="eastAsia" w:ascii="微软雅黑" w:hAnsi="微软雅黑" w:eastAsia="微软雅黑"/>
                <w:sz w:val="18"/>
                <w:szCs w:val="18"/>
                <w:lang w:val="en-US" w:eastAsia="zh-CN"/>
              </w:rPr>
              <w:t>1</w:t>
            </w:r>
            <w:r>
              <w:rPr>
                <w:rFonts w:hint="eastAsia" w:ascii="微软雅黑" w:hAnsi="微软雅黑" w:eastAsia="微软雅黑"/>
                <w:sz w:val="18"/>
                <w:szCs w:val="18"/>
              </w:rPr>
              <w:t>0</w:t>
            </w:r>
          </w:p>
        </w:tc>
      </w:tr>
      <w:tr>
        <w:tblPrEx>
          <w:tblBorders>
            <w:top w:val="single" w:color="A4A4A4" w:themeColor="background1" w:themeShade="A5" w:sz="4" w:space="0"/>
            <w:left w:val="single" w:color="A4A4A4" w:themeColor="background1" w:themeShade="A5" w:sz="4" w:space="0"/>
            <w:bottom w:val="single" w:color="A4A4A4" w:themeColor="background1" w:themeShade="A5" w:sz="4" w:space="0"/>
            <w:right w:val="single" w:color="A4A4A4" w:themeColor="background1" w:themeShade="A5" w:sz="4" w:space="0"/>
            <w:insideH w:val="single" w:color="A4A4A4" w:themeColor="background1" w:themeShade="A5" w:sz="4" w:space="0"/>
            <w:insideV w:val="single" w:color="A4A4A4" w:themeColor="background1" w:themeShade="A5" w:sz="4" w:space="0"/>
          </w:tblBorders>
          <w:tblCellMar>
            <w:top w:w="0" w:type="dxa"/>
            <w:left w:w="108" w:type="dxa"/>
            <w:bottom w:w="0" w:type="dxa"/>
            <w:right w:w="108" w:type="dxa"/>
          </w:tblCellMar>
        </w:tblPrEx>
        <w:trPr>
          <w:cantSplit/>
          <w:trHeight w:val="287" w:hRule="atLeast"/>
        </w:trPr>
        <w:tc>
          <w:tcPr>
            <w:tcW w:w="1391" w:type="dxa"/>
            <w:vMerge w:val="continue"/>
            <w:tcBorders>
              <w:tl2br w:val="nil"/>
              <w:tr2bl w:val="nil"/>
            </w:tcBorders>
            <w:shd w:val="clear" w:color="auto" w:fill="F1F1F1" w:themeFill="background1" w:themeFillShade="F2"/>
            <w:vAlign w:val="center"/>
          </w:tcPr>
          <w:p>
            <w:pPr>
              <w:widowControl/>
              <w:spacing w:line="400" w:lineRule="exact"/>
              <w:jc w:val="left"/>
              <w:rPr>
                <w:rFonts w:ascii="微软雅黑" w:hAnsi="微软雅黑" w:eastAsia="微软雅黑"/>
                <w:sz w:val="18"/>
                <w:szCs w:val="18"/>
              </w:rPr>
            </w:pPr>
          </w:p>
        </w:tc>
        <w:tc>
          <w:tcPr>
            <w:tcW w:w="1276" w:type="dxa"/>
            <w:tcBorders>
              <w:tl2br w:val="nil"/>
              <w:tr2bl w:val="nil"/>
            </w:tcBorders>
            <w:shd w:val="clear" w:color="auto" w:fill="F1F1F1" w:themeFill="background1" w:themeFillShade="F2"/>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至尊卡</w:t>
            </w:r>
          </w:p>
        </w:tc>
        <w:tc>
          <w:tcPr>
            <w:tcW w:w="1984" w:type="dxa"/>
            <w:tcBorders>
              <w:tl2br w:val="nil"/>
              <w:tr2bl w:val="nil"/>
            </w:tcBorders>
            <w:shd w:val="clear" w:color="auto" w:fill="F1F1F1" w:themeFill="background1" w:themeFillShade="F2"/>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￥288，800</w:t>
            </w:r>
          </w:p>
        </w:tc>
        <w:tc>
          <w:tcPr>
            <w:tcW w:w="1701" w:type="dxa"/>
            <w:tcBorders>
              <w:tl2br w:val="nil"/>
              <w:tr2bl w:val="nil"/>
            </w:tcBorders>
            <w:shd w:val="clear" w:color="auto" w:fill="F1F1F1" w:themeFill="background1" w:themeFillShade="F2"/>
            <w:vAlign w:val="center"/>
          </w:tcPr>
          <w:p>
            <w:pPr>
              <w:widowControl/>
              <w:spacing w:line="400" w:lineRule="exact"/>
              <w:jc w:val="center"/>
              <w:rPr>
                <w:rFonts w:hint="default" w:ascii="微软雅黑" w:hAnsi="微软雅黑" w:eastAsia="微软雅黑"/>
                <w:sz w:val="18"/>
                <w:szCs w:val="18"/>
                <w:lang w:val="en-US" w:eastAsia="zh-CN"/>
              </w:rPr>
            </w:pPr>
            <w:r>
              <w:rPr>
                <w:rFonts w:hint="eastAsia" w:ascii="微软雅黑" w:hAnsi="微软雅黑" w:eastAsia="微软雅黑"/>
                <w:sz w:val="18"/>
                <w:szCs w:val="18"/>
                <w:lang w:val="en-US" w:eastAsia="zh-CN"/>
              </w:rPr>
              <w:t>2222</w:t>
            </w:r>
          </w:p>
        </w:tc>
        <w:tc>
          <w:tcPr>
            <w:tcW w:w="1843" w:type="dxa"/>
            <w:tcBorders>
              <w:tl2br w:val="nil"/>
              <w:tr2bl w:val="nil"/>
            </w:tcBorders>
            <w:shd w:val="clear" w:color="auto" w:fill="F1F1F1" w:themeFill="background1" w:themeFillShade="F2"/>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1</w:t>
            </w:r>
            <w:r>
              <w:rPr>
                <w:rFonts w:hint="eastAsia" w:ascii="微软雅黑" w:hAnsi="微软雅黑" w:eastAsia="微软雅黑"/>
                <w:sz w:val="18"/>
                <w:szCs w:val="18"/>
                <w:lang w:val="en-US" w:eastAsia="zh-CN"/>
              </w:rPr>
              <w:t>3</w:t>
            </w:r>
            <w:r>
              <w:rPr>
                <w:rFonts w:hint="eastAsia" w:ascii="微软雅黑" w:hAnsi="微软雅黑" w:eastAsia="微软雅黑"/>
                <w:sz w:val="18"/>
                <w:szCs w:val="18"/>
              </w:rPr>
              <w:t>0</w:t>
            </w:r>
          </w:p>
        </w:tc>
      </w:tr>
      <w:tr>
        <w:tblPrEx>
          <w:tblBorders>
            <w:top w:val="single" w:color="A4A4A4" w:themeColor="background1" w:themeShade="A5" w:sz="4" w:space="0"/>
            <w:left w:val="single" w:color="A4A4A4" w:themeColor="background1" w:themeShade="A5" w:sz="4" w:space="0"/>
            <w:bottom w:val="single" w:color="A4A4A4" w:themeColor="background1" w:themeShade="A5" w:sz="4" w:space="0"/>
            <w:right w:val="single" w:color="A4A4A4" w:themeColor="background1" w:themeShade="A5" w:sz="4" w:space="0"/>
            <w:insideH w:val="single" w:color="A4A4A4" w:themeColor="background1" w:themeShade="A5" w:sz="4" w:space="0"/>
            <w:insideV w:val="single" w:color="A4A4A4" w:themeColor="background1" w:themeShade="A5" w:sz="4" w:space="0"/>
          </w:tblBorders>
          <w:tblCellMar>
            <w:top w:w="0" w:type="dxa"/>
            <w:left w:w="108" w:type="dxa"/>
            <w:bottom w:w="0" w:type="dxa"/>
            <w:right w:w="108" w:type="dxa"/>
          </w:tblCellMar>
        </w:tblPrEx>
        <w:trPr>
          <w:cantSplit/>
          <w:trHeight w:val="345" w:hRule="atLeast"/>
        </w:trPr>
        <w:tc>
          <w:tcPr>
            <w:tcW w:w="1391" w:type="dxa"/>
            <w:vMerge w:val="continue"/>
            <w:tcBorders>
              <w:tl2br w:val="nil"/>
              <w:tr2bl w:val="nil"/>
            </w:tcBorders>
            <w:shd w:val="clear" w:color="auto" w:fill="F1F1F1" w:themeFill="background1" w:themeFillShade="F2"/>
            <w:vAlign w:val="center"/>
          </w:tcPr>
          <w:p>
            <w:pPr>
              <w:widowControl/>
              <w:spacing w:line="400" w:lineRule="exact"/>
              <w:jc w:val="left"/>
              <w:rPr>
                <w:rFonts w:ascii="微软雅黑" w:hAnsi="微软雅黑" w:eastAsia="微软雅黑"/>
                <w:sz w:val="18"/>
                <w:szCs w:val="18"/>
              </w:rPr>
            </w:pPr>
          </w:p>
        </w:tc>
        <w:tc>
          <w:tcPr>
            <w:tcW w:w="1276" w:type="dxa"/>
            <w:tcBorders>
              <w:tl2br w:val="nil"/>
              <w:tr2bl w:val="nil"/>
            </w:tcBorders>
            <w:shd w:val="clear" w:color="auto" w:fill="F1F1F1" w:themeFill="background1" w:themeFillShade="F2"/>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翡翠卡</w:t>
            </w:r>
          </w:p>
        </w:tc>
        <w:tc>
          <w:tcPr>
            <w:tcW w:w="1984" w:type="dxa"/>
            <w:tcBorders>
              <w:tl2br w:val="nil"/>
              <w:tr2bl w:val="nil"/>
            </w:tcBorders>
            <w:shd w:val="clear" w:color="auto" w:fill="F1F1F1" w:themeFill="background1" w:themeFillShade="F2"/>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￥1</w:t>
            </w:r>
            <w:r>
              <w:rPr>
                <w:rFonts w:hint="eastAsia" w:ascii="微软雅黑" w:hAnsi="微软雅黑" w:eastAsia="微软雅黑"/>
                <w:sz w:val="18"/>
                <w:szCs w:val="18"/>
                <w:lang w:val="en-US" w:eastAsia="zh-CN"/>
              </w:rPr>
              <w:t>8</w:t>
            </w:r>
            <w:r>
              <w:rPr>
                <w:rFonts w:hint="eastAsia" w:ascii="微软雅黑" w:hAnsi="微软雅黑" w:eastAsia="微软雅黑"/>
                <w:sz w:val="18"/>
                <w:szCs w:val="18"/>
              </w:rPr>
              <w:t>8，800</w:t>
            </w:r>
          </w:p>
        </w:tc>
        <w:tc>
          <w:tcPr>
            <w:tcW w:w="1701" w:type="dxa"/>
            <w:tcBorders>
              <w:tl2br w:val="nil"/>
              <w:tr2bl w:val="nil"/>
            </w:tcBorders>
            <w:shd w:val="clear" w:color="auto" w:fill="F1F1F1" w:themeFill="background1" w:themeFillShade="F2"/>
            <w:vAlign w:val="center"/>
          </w:tcPr>
          <w:p>
            <w:pPr>
              <w:widowControl/>
              <w:spacing w:line="400" w:lineRule="exact"/>
              <w:jc w:val="center"/>
              <w:rPr>
                <w:rFonts w:hint="default" w:ascii="微软雅黑" w:hAnsi="微软雅黑" w:eastAsia="微软雅黑"/>
                <w:sz w:val="18"/>
                <w:szCs w:val="18"/>
                <w:lang w:val="en-US" w:eastAsia="zh-CN"/>
              </w:rPr>
            </w:pPr>
            <w:r>
              <w:rPr>
                <w:rFonts w:hint="eastAsia" w:ascii="微软雅黑" w:hAnsi="微软雅黑" w:eastAsia="微软雅黑"/>
                <w:sz w:val="18"/>
                <w:szCs w:val="18"/>
                <w:lang w:val="en-US" w:eastAsia="zh-CN"/>
              </w:rPr>
              <w:t>1259</w:t>
            </w:r>
          </w:p>
        </w:tc>
        <w:tc>
          <w:tcPr>
            <w:tcW w:w="1843" w:type="dxa"/>
            <w:tcBorders>
              <w:tl2br w:val="nil"/>
              <w:tr2bl w:val="nil"/>
            </w:tcBorders>
            <w:shd w:val="clear" w:color="auto" w:fill="F1F1F1" w:themeFill="background1" w:themeFillShade="F2"/>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1</w:t>
            </w:r>
            <w:r>
              <w:rPr>
                <w:rFonts w:hint="eastAsia" w:ascii="微软雅黑" w:hAnsi="微软雅黑" w:eastAsia="微软雅黑"/>
                <w:sz w:val="18"/>
                <w:szCs w:val="18"/>
                <w:lang w:val="en-US" w:eastAsia="zh-CN"/>
              </w:rPr>
              <w:t>5</w:t>
            </w:r>
            <w:r>
              <w:rPr>
                <w:rFonts w:hint="eastAsia" w:ascii="微软雅黑" w:hAnsi="微软雅黑" w:eastAsia="微软雅黑"/>
                <w:sz w:val="18"/>
                <w:szCs w:val="18"/>
              </w:rPr>
              <w:t>0</w:t>
            </w:r>
          </w:p>
        </w:tc>
      </w:tr>
      <w:tr>
        <w:tblPrEx>
          <w:tblBorders>
            <w:top w:val="single" w:color="A4A4A4" w:themeColor="background1" w:themeShade="A5" w:sz="4" w:space="0"/>
            <w:left w:val="single" w:color="A4A4A4" w:themeColor="background1" w:themeShade="A5" w:sz="4" w:space="0"/>
            <w:bottom w:val="single" w:color="A4A4A4" w:themeColor="background1" w:themeShade="A5" w:sz="4" w:space="0"/>
            <w:right w:val="single" w:color="A4A4A4" w:themeColor="background1" w:themeShade="A5" w:sz="4" w:space="0"/>
            <w:insideH w:val="single" w:color="A4A4A4" w:themeColor="background1" w:themeShade="A5" w:sz="4" w:space="0"/>
            <w:insideV w:val="single" w:color="A4A4A4" w:themeColor="background1" w:themeShade="A5" w:sz="4" w:space="0"/>
          </w:tblBorders>
          <w:tblCellMar>
            <w:top w:w="0" w:type="dxa"/>
            <w:left w:w="108" w:type="dxa"/>
            <w:bottom w:w="0" w:type="dxa"/>
            <w:right w:w="108" w:type="dxa"/>
          </w:tblCellMar>
        </w:tblPrEx>
        <w:trPr>
          <w:cantSplit/>
          <w:trHeight w:val="287" w:hRule="atLeast"/>
        </w:trPr>
        <w:tc>
          <w:tcPr>
            <w:tcW w:w="1391" w:type="dxa"/>
            <w:vMerge w:val="restart"/>
            <w:tcBorders>
              <w:tl2br w:val="nil"/>
              <w:tr2bl w:val="nil"/>
            </w:tcBorders>
            <w:shd w:val="clear" w:color="auto" w:fill="BDD6EE" w:themeFill="accent1" w:themeFillTint="66"/>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公司系列</w:t>
            </w:r>
          </w:p>
        </w:tc>
        <w:tc>
          <w:tcPr>
            <w:tcW w:w="1276" w:type="dxa"/>
            <w:tcBorders>
              <w:tl2br w:val="nil"/>
              <w:tr2bl w:val="nil"/>
            </w:tcBorders>
            <w:shd w:val="clear" w:color="auto" w:fill="BDD6EE" w:themeFill="accent1" w:themeFillTint="66"/>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金钻卡</w:t>
            </w:r>
          </w:p>
        </w:tc>
        <w:tc>
          <w:tcPr>
            <w:tcW w:w="1984" w:type="dxa"/>
            <w:tcBorders>
              <w:tl2br w:val="nil"/>
              <w:tr2bl w:val="nil"/>
            </w:tcBorders>
            <w:shd w:val="clear" w:color="auto" w:fill="BDD6EE" w:themeFill="accent1" w:themeFillTint="66"/>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w:t>
            </w:r>
            <w:r>
              <w:rPr>
                <w:rFonts w:hint="eastAsia" w:ascii="微软雅黑" w:hAnsi="微软雅黑" w:eastAsia="微软雅黑"/>
                <w:sz w:val="18"/>
                <w:szCs w:val="18"/>
                <w:lang w:val="en-US" w:eastAsia="zh-CN"/>
              </w:rPr>
              <w:t>128</w:t>
            </w:r>
            <w:r>
              <w:rPr>
                <w:rFonts w:hint="eastAsia" w:ascii="微软雅黑" w:hAnsi="微软雅黑" w:eastAsia="微软雅黑"/>
                <w:sz w:val="18"/>
                <w:szCs w:val="18"/>
              </w:rPr>
              <w:t>，800</w:t>
            </w:r>
          </w:p>
        </w:tc>
        <w:tc>
          <w:tcPr>
            <w:tcW w:w="1701" w:type="dxa"/>
            <w:tcBorders>
              <w:tl2br w:val="nil"/>
              <w:tr2bl w:val="nil"/>
            </w:tcBorders>
            <w:shd w:val="clear" w:color="auto" w:fill="BDD6EE" w:themeFill="accent1" w:themeFillTint="66"/>
            <w:vAlign w:val="center"/>
          </w:tcPr>
          <w:p>
            <w:pPr>
              <w:widowControl/>
              <w:spacing w:line="400" w:lineRule="exact"/>
              <w:jc w:val="center"/>
              <w:rPr>
                <w:rFonts w:hint="default" w:ascii="微软雅黑" w:hAnsi="微软雅黑" w:eastAsia="微软雅黑"/>
                <w:sz w:val="18"/>
                <w:szCs w:val="18"/>
                <w:lang w:val="en-US" w:eastAsia="zh-CN"/>
              </w:rPr>
            </w:pPr>
            <w:r>
              <w:rPr>
                <w:rFonts w:hint="eastAsia" w:ascii="微软雅黑" w:hAnsi="微软雅黑" w:eastAsia="微软雅黑"/>
                <w:sz w:val="18"/>
                <w:szCs w:val="18"/>
                <w:lang w:val="en-US" w:eastAsia="zh-CN"/>
              </w:rPr>
              <w:t>758</w:t>
            </w:r>
          </w:p>
        </w:tc>
        <w:tc>
          <w:tcPr>
            <w:tcW w:w="1843" w:type="dxa"/>
            <w:tcBorders>
              <w:tl2br w:val="nil"/>
              <w:tr2bl w:val="nil"/>
            </w:tcBorders>
            <w:shd w:val="clear" w:color="auto" w:fill="BDD6EE" w:themeFill="accent1" w:themeFillTint="66"/>
            <w:vAlign w:val="center"/>
          </w:tcPr>
          <w:p>
            <w:pPr>
              <w:widowControl/>
              <w:spacing w:line="400" w:lineRule="exact"/>
              <w:jc w:val="center"/>
              <w:rPr>
                <w:rFonts w:hint="default" w:ascii="微软雅黑" w:hAnsi="微软雅黑" w:eastAsia="微软雅黑"/>
                <w:sz w:val="18"/>
                <w:szCs w:val="18"/>
                <w:lang w:val="en-US" w:eastAsia="zh-CN"/>
              </w:rPr>
            </w:pPr>
            <w:r>
              <w:rPr>
                <w:rFonts w:hint="eastAsia" w:ascii="微软雅黑" w:hAnsi="微软雅黑" w:eastAsia="微软雅黑"/>
                <w:sz w:val="18"/>
                <w:szCs w:val="18"/>
                <w:lang w:val="en-US" w:eastAsia="zh-CN"/>
              </w:rPr>
              <w:t>170</w:t>
            </w:r>
          </w:p>
        </w:tc>
      </w:tr>
      <w:tr>
        <w:tblPrEx>
          <w:tblBorders>
            <w:top w:val="single" w:color="A4A4A4" w:themeColor="background1" w:themeShade="A5" w:sz="4" w:space="0"/>
            <w:left w:val="single" w:color="A4A4A4" w:themeColor="background1" w:themeShade="A5" w:sz="4" w:space="0"/>
            <w:bottom w:val="single" w:color="A4A4A4" w:themeColor="background1" w:themeShade="A5" w:sz="4" w:space="0"/>
            <w:right w:val="single" w:color="A4A4A4" w:themeColor="background1" w:themeShade="A5" w:sz="4" w:space="0"/>
            <w:insideH w:val="single" w:color="A4A4A4" w:themeColor="background1" w:themeShade="A5" w:sz="4" w:space="0"/>
            <w:insideV w:val="single" w:color="A4A4A4" w:themeColor="background1" w:themeShade="A5" w:sz="4" w:space="0"/>
          </w:tblBorders>
          <w:tblCellMar>
            <w:top w:w="0" w:type="dxa"/>
            <w:left w:w="108" w:type="dxa"/>
            <w:bottom w:w="0" w:type="dxa"/>
            <w:right w:w="108" w:type="dxa"/>
          </w:tblCellMar>
        </w:tblPrEx>
        <w:trPr>
          <w:cantSplit/>
          <w:trHeight w:val="410" w:hRule="atLeast"/>
        </w:trPr>
        <w:tc>
          <w:tcPr>
            <w:tcW w:w="1391" w:type="dxa"/>
            <w:vMerge w:val="continue"/>
            <w:tcBorders>
              <w:tl2br w:val="nil"/>
              <w:tr2bl w:val="nil"/>
            </w:tcBorders>
            <w:shd w:val="clear" w:color="auto" w:fill="BDD6EE" w:themeFill="accent1" w:themeFillTint="66"/>
            <w:vAlign w:val="center"/>
          </w:tcPr>
          <w:p>
            <w:pPr>
              <w:widowControl/>
              <w:spacing w:line="400" w:lineRule="exact"/>
              <w:jc w:val="left"/>
              <w:rPr>
                <w:rFonts w:ascii="微软雅黑" w:hAnsi="微软雅黑" w:eastAsia="微软雅黑"/>
                <w:sz w:val="18"/>
                <w:szCs w:val="18"/>
              </w:rPr>
            </w:pPr>
          </w:p>
        </w:tc>
        <w:tc>
          <w:tcPr>
            <w:tcW w:w="1276" w:type="dxa"/>
            <w:tcBorders>
              <w:tl2br w:val="nil"/>
              <w:tr2bl w:val="nil"/>
            </w:tcBorders>
            <w:shd w:val="clear" w:color="auto" w:fill="BDD6EE" w:themeFill="accent1" w:themeFillTint="66"/>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钻石卡</w:t>
            </w:r>
          </w:p>
        </w:tc>
        <w:tc>
          <w:tcPr>
            <w:tcW w:w="1984" w:type="dxa"/>
            <w:tcBorders>
              <w:tl2br w:val="nil"/>
              <w:tr2bl w:val="nil"/>
            </w:tcBorders>
            <w:shd w:val="clear" w:color="auto" w:fill="BDD6EE" w:themeFill="accent1" w:themeFillTint="66"/>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w:t>
            </w:r>
            <w:r>
              <w:rPr>
                <w:rFonts w:hint="eastAsia" w:ascii="微软雅黑" w:hAnsi="微软雅黑" w:eastAsia="微软雅黑"/>
                <w:sz w:val="18"/>
                <w:szCs w:val="18"/>
                <w:lang w:val="en-US" w:eastAsia="zh-CN"/>
              </w:rPr>
              <w:t>99</w:t>
            </w:r>
            <w:r>
              <w:rPr>
                <w:rFonts w:hint="eastAsia" w:ascii="微软雅黑" w:hAnsi="微软雅黑" w:eastAsia="微软雅黑"/>
                <w:sz w:val="18"/>
                <w:szCs w:val="18"/>
              </w:rPr>
              <w:t>,，800</w:t>
            </w:r>
          </w:p>
        </w:tc>
        <w:tc>
          <w:tcPr>
            <w:tcW w:w="1701" w:type="dxa"/>
            <w:tcBorders>
              <w:tl2br w:val="nil"/>
              <w:tr2bl w:val="nil"/>
            </w:tcBorders>
            <w:shd w:val="clear" w:color="auto" w:fill="BDD6EE" w:themeFill="accent1" w:themeFillTint="66"/>
            <w:vAlign w:val="center"/>
          </w:tcPr>
          <w:p>
            <w:pPr>
              <w:widowControl/>
              <w:spacing w:line="400" w:lineRule="exact"/>
              <w:jc w:val="center"/>
              <w:rPr>
                <w:rFonts w:hint="default" w:ascii="微软雅黑" w:hAnsi="微软雅黑" w:eastAsia="微软雅黑"/>
                <w:sz w:val="18"/>
                <w:szCs w:val="18"/>
                <w:lang w:val="en-US" w:eastAsia="zh-CN"/>
              </w:rPr>
            </w:pPr>
            <w:r>
              <w:rPr>
                <w:rFonts w:hint="eastAsia" w:ascii="微软雅黑" w:hAnsi="微软雅黑" w:eastAsia="微软雅黑"/>
                <w:sz w:val="18"/>
                <w:szCs w:val="18"/>
                <w:lang w:val="en-US" w:eastAsia="zh-CN"/>
              </w:rPr>
              <w:t>454</w:t>
            </w:r>
          </w:p>
        </w:tc>
        <w:tc>
          <w:tcPr>
            <w:tcW w:w="1843" w:type="dxa"/>
            <w:tcBorders>
              <w:tl2br w:val="nil"/>
              <w:tr2bl w:val="nil"/>
            </w:tcBorders>
            <w:shd w:val="clear" w:color="auto" w:fill="BDD6EE" w:themeFill="accent1" w:themeFillTint="66"/>
            <w:vAlign w:val="center"/>
          </w:tcPr>
          <w:p>
            <w:pPr>
              <w:widowControl/>
              <w:spacing w:line="400" w:lineRule="exact"/>
              <w:jc w:val="center"/>
              <w:rPr>
                <w:rFonts w:hint="default" w:ascii="微软雅黑" w:hAnsi="微软雅黑" w:eastAsia="微软雅黑"/>
                <w:sz w:val="18"/>
                <w:szCs w:val="18"/>
                <w:lang w:val="en-US" w:eastAsia="zh-CN"/>
              </w:rPr>
            </w:pPr>
            <w:r>
              <w:rPr>
                <w:rFonts w:hint="eastAsia" w:ascii="微软雅黑" w:hAnsi="微软雅黑" w:eastAsia="微软雅黑"/>
                <w:sz w:val="18"/>
                <w:szCs w:val="18"/>
                <w:lang w:val="en-US" w:eastAsia="zh-CN"/>
              </w:rPr>
              <w:t>220</w:t>
            </w:r>
          </w:p>
        </w:tc>
      </w:tr>
      <w:tr>
        <w:tblPrEx>
          <w:tblBorders>
            <w:top w:val="single" w:color="A4A4A4" w:themeColor="background1" w:themeShade="A5" w:sz="4" w:space="0"/>
            <w:left w:val="single" w:color="A4A4A4" w:themeColor="background1" w:themeShade="A5" w:sz="4" w:space="0"/>
            <w:bottom w:val="single" w:color="A4A4A4" w:themeColor="background1" w:themeShade="A5" w:sz="4" w:space="0"/>
            <w:right w:val="single" w:color="A4A4A4" w:themeColor="background1" w:themeShade="A5" w:sz="4" w:space="0"/>
            <w:insideH w:val="single" w:color="A4A4A4" w:themeColor="background1" w:themeShade="A5" w:sz="4" w:space="0"/>
            <w:insideV w:val="single" w:color="A4A4A4" w:themeColor="background1" w:themeShade="A5" w:sz="4" w:space="0"/>
          </w:tblBorders>
          <w:tblCellMar>
            <w:top w:w="0" w:type="dxa"/>
            <w:left w:w="108" w:type="dxa"/>
            <w:bottom w:w="0" w:type="dxa"/>
            <w:right w:w="108" w:type="dxa"/>
          </w:tblCellMar>
        </w:tblPrEx>
        <w:trPr>
          <w:cantSplit/>
          <w:trHeight w:val="225" w:hRule="atLeast"/>
        </w:trPr>
        <w:tc>
          <w:tcPr>
            <w:tcW w:w="1391" w:type="dxa"/>
            <w:vMerge w:val="continue"/>
            <w:tcBorders>
              <w:tl2br w:val="nil"/>
              <w:tr2bl w:val="nil"/>
            </w:tcBorders>
            <w:shd w:val="clear" w:color="auto" w:fill="BDD6EE" w:themeFill="accent1" w:themeFillTint="66"/>
            <w:vAlign w:val="center"/>
          </w:tcPr>
          <w:p>
            <w:pPr>
              <w:widowControl/>
              <w:spacing w:line="400" w:lineRule="exact"/>
              <w:jc w:val="left"/>
              <w:rPr>
                <w:rFonts w:ascii="微软雅黑" w:hAnsi="微软雅黑" w:eastAsia="微软雅黑"/>
                <w:sz w:val="18"/>
                <w:szCs w:val="18"/>
              </w:rPr>
            </w:pPr>
          </w:p>
        </w:tc>
        <w:tc>
          <w:tcPr>
            <w:tcW w:w="1276" w:type="dxa"/>
            <w:tcBorders>
              <w:tl2br w:val="nil"/>
              <w:tr2bl w:val="nil"/>
            </w:tcBorders>
            <w:shd w:val="clear" w:color="auto" w:fill="BDD6EE" w:themeFill="accent1" w:themeFillTint="66"/>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白金卡</w:t>
            </w:r>
          </w:p>
        </w:tc>
        <w:tc>
          <w:tcPr>
            <w:tcW w:w="1984" w:type="dxa"/>
            <w:tcBorders>
              <w:tl2br w:val="nil"/>
              <w:tr2bl w:val="nil"/>
            </w:tcBorders>
            <w:shd w:val="clear" w:color="auto" w:fill="BDD6EE" w:themeFill="accent1" w:themeFillTint="66"/>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w:t>
            </w:r>
            <w:r>
              <w:rPr>
                <w:rFonts w:hint="eastAsia" w:ascii="微软雅黑" w:hAnsi="微软雅黑" w:eastAsia="微软雅黑"/>
                <w:sz w:val="18"/>
                <w:szCs w:val="18"/>
                <w:lang w:val="en-US" w:eastAsia="zh-CN"/>
              </w:rPr>
              <w:t>79</w:t>
            </w:r>
            <w:r>
              <w:rPr>
                <w:rFonts w:hint="eastAsia" w:ascii="微软雅黑" w:hAnsi="微软雅黑" w:eastAsia="微软雅黑"/>
                <w:sz w:val="18"/>
                <w:szCs w:val="18"/>
              </w:rPr>
              <w:t>，800</w:t>
            </w:r>
          </w:p>
        </w:tc>
        <w:tc>
          <w:tcPr>
            <w:tcW w:w="1701" w:type="dxa"/>
            <w:tcBorders>
              <w:tl2br w:val="nil"/>
              <w:tr2bl w:val="nil"/>
            </w:tcBorders>
            <w:shd w:val="clear" w:color="auto" w:fill="BDD6EE" w:themeFill="accent1" w:themeFillTint="66"/>
            <w:vAlign w:val="center"/>
          </w:tcPr>
          <w:p>
            <w:pPr>
              <w:widowControl/>
              <w:spacing w:line="400" w:lineRule="exact"/>
              <w:jc w:val="center"/>
              <w:rPr>
                <w:rFonts w:hint="default" w:ascii="微软雅黑" w:hAnsi="微软雅黑" w:eastAsia="微软雅黑"/>
                <w:sz w:val="18"/>
                <w:szCs w:val="18"/>
                <w:lang w:val="en-US" w:eastAsia="zh-CN"/>
              </w:rPr>
            </w:pPr>
            <w:r>
              <w:rPr>
                <w:rFonts w:hint="eastAsia" w:ascii="微软雅黑" w:hAnsi="微软雅黑" w:eastAsia="微软雅黑"/>
                <w:sz w:val="18"/>
                <w:szCs w:val="18"/>
                <w:lang w:val="en-US" w:eastAsia="zh-CN"/>
              </w:rPr>
              <w:t>296</w:t>
            </w:r>
          </w:p>
        </w:tc>
        <w:tc>
          <w:tcPr>
            <w:tcW w:w="1843" w:type="dxa"/>
            <w:tcBorders>
              <w:tl2br w:val="nil"/>
              <w:tr2bl w:val="nil"/>
            </w:tcBorders>
            <w:shd w:val="clear" w:color="auto" w:fill="BDD6EE" w:themeFill="accent1" w:themeFillTint="66"/>
            <w:vAlign w:val="center"/>
          </w:tcPr>
          <w:p>
            <w:pPr>
              <w:widowControl/>
              <w:spacing w:line="400" w:lineRule="exact"/>
              <w:jc w:val="center"/>
              <w:rPr>
                <w:rFonts w:hint="default" w:ascii="微软雅黑" w:hAnsi="微软雅黑" w:eastAsia="微软雅黑"/>
                <w:sz w:val="18"/>
                <w:szCs w:val="18"/>
                <w:lang w:val="en-US" w:eastAsia="zh-CN"/>
              </w:rPr>
            </w:pPr>
            <w:r>
              <w:rPr>
                <w:rFonts w:hint="eastAsia" w:ascii="微软雅黑" w:hAnsi="微软雅黑" w:eastAsia="微软雅黑"/>
                <w:sz w:val="18"/>
                <w:szCs w:val="18"/>
                <w:lang w:val="en-US" w:eastAsia="zh-CN"/>
              </w:rPr>
              <w:t>270</w:t>
            </w:r>
          </w:p>
        </w:tc>
      </w:tr>
      <w:tr>
        <w:tblPrEx>
          <w:tblBorders>
            <w:top w:val="single" w:color="A4A4A4" w:themeColor="background1" w:themeShade="A5" w:sz="4" w:space="0"/>
            <w:left w:val="single" w:color="A4A4A4" w:themeColor="background1" w:themeShade="A5" w:sz="4" w:space="0"/>
            <w:bottom w:val="single" w:color="A4A4A4" w:themeColor="background1" w:themeShade="A5" w:sz="4" w:space="0"/>
            <w:right w:val="single" w:color="A4A4A4" w:themeColor="background1" w:themeShade="A5" w:sz="4" w:space="0"/>
            <w:insideH w:val="single" w:color="A4A4A4" w:themeColor="background1" w:themeShade="A5" w:sz="4" w:space="0"/>
            <w:insideV w:val="single" w:color="A4A4A4" w:themeColor="background1" w:themeShade="A5" w:sz="4" w:space="0"/>
          </w:tblBorders>
          <w:tblCellMar>
            <w:top w:w="0" w:type="dxa"/>
            <w:left w:w="108" w:type="dxa"/>
            <w:bottom w:w="0" w:type="dxa"/>
            <w:right w:w="108" w:type="dxa"/>
          </w:tblCellMar>
        </w:tblPrEx>
        <w:trPr>
          <w:cantSplit/>
          <w:trHeight w:val="287" w:hRule="atLeast"/>
        </w:trPr>
        <w:tc>
          <w:tcPr>
            <w:tcW w:w="1391" w:type="dxa"/>
            <w:vMerge w:val="restart"/>
            <w:tcBorders>
              <w:tl2br w:val="nil"/>
              <w:tr2bl w:val="nil"/>
            </w:tcBorders>
            <w:shd w:val="clear" w:color="auto" w:fill="F1F1F1" w:themeFill="background1" w:themeFillShade="F2"/>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团队系列</w:t>
            </w:r>
          </w:p>
        </w:tc>
        <w:tc>
          <w:tcPr>
            <w:tcW w:w="1276" w:type="dxa"/>
            <w:tcBorders>
              <w:tl2br w:val="nil"/>
              <w:tr2bl w:val="nil"/>
            </w:tcBorders>
            <w:shd w:val="clear" w:color="auto" w:fill="F1F1F1" w:themeFill="background1" w:themeFillShade="F2"/>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金卡</w:t>
            </w:r>
          </w:p>
        </w:tc>
        <w:tc>
          <w:tcPr>
            <w:tcW w:w="1984" w:type="dxa"/>
            <w:tcBorders>
              <w:tl2br w:val="nil"/>
              <w:tr2bl w:val="nil"/>
            </w:tcBorders>
            <w:shd w:val="clear" w:color="auto" w:fill="F1F1F1" w:themeFill="background1" w:themeFillShade="F2"/>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w:t>
            </w:r>
            <w:r>
              <w:rPr>
                <w:rFonts w:hint="eastAsia" w:ascii="微软雅黑" w:hAnsi="微软雅黑" w:eastAsia="微软雅黑"/>
                <w:sz w:val="18"/>
                <w:szCs w:val="18"/>
                <w:lang w:val="en-US" w:eastAsia="zh-CN"/>
              </w:rPr>
              <w:t>56</w:t>
            </w:r>
            <w:r>
              <w:rPr>
                <w:rFonts w:hint="eastAsia" w:ascii="微软雅黑" w:hAnsi="微软雅黑" w:eastAsia="微软雅黑"/>
                <w:sz w:val="18"/>
                <w:szCs w:val="18"/>
              </w:rPr>
              <w:t>，800</w:t>
            </w:r>
          </w:p>
        </w:tc>
        <w:tc>
          <w:tcPr>
            <w:tcW w:w="1701" w:type="dxa"/>
            <w:tcBorders>
              <w:tl2br w:val="nil"/>
              <w:tr2bl w:val="nil"/>
            </w:tcBorders>
            <w:shd w:val="clear" w:color="auto" w:fill="F1F1F1" w:themeFill="background1" w:themeFillShade="F2"/>
            <w:vAlign w:val="center"/>
          </w:tcPr>
          <w:p>
            <w:pPr>
              <w:widowControl/>
              <w:spacing w:line="400" w:lineRule="exact"/>
              <w:jc w:val="center"/>
              <w:rPr>
                <w:rFonts w:hint="eastAsia" w:ascii="微软雅黑" w:hAnsi="微软雅黑" w:eastAsia="微软雅黑"/>
                <w:sz w:val="18"/>
                <w:szCs w:val="18"/>
                <w:lang w:eastAsia="zh-CN"/>
              </w:rPr>
            </w:pPr>
            <w:r>
              <w:rPr>
                <w:rFonts w:hint="eastAsia" w:ascii="微软雅黑" w:hAnsi="微软雅黑" w:eastAsia="微软雅黑"/>
                <w:sz w:val="18"/>
                <w:szCs w:val="18"/>
              </w:rPr>
              <w:t>17</w:t>
            </w:r>
            <w:r>
              <w:rPr>
                <w:rFonts w:hint="eastAsia" w:ascii="微软雅黑" w:hAnsi="微软雅黑" w:eastAsia="微软雅黑"/>
                <w:sz w:val="18"/>
                <w:szCs w:val="18"/>
                <w:lang w:val="en-US" w:eastAsia="zh-CN"/>
              </w:rPr>
              <w:t>8</w:t>
            </w:r>
          </w:p>
        </w:tc>
        <w:tc>
          <w:tcPr>
            <w:tcW w:w="1843" w:type="dxa"/>
            <w:tcBorders>
              <w:tl2br w:val="nil"/>
              <w:tr2bl w:val="nil"/>
            </w:tcBorders>
            <w:shd w:val="clear" w:color="auto" w:fill="F1F1F1" w:themeFill="background1" w:themeFillShade="F2"/>
            <w:vAlign w:val="center"/>
          </w:tcPr>
          <w:p>
            <w:pPr>
              <w:widowControl/>
              <w:spacing w:line="400" w:lineRule="exact"/>
              <w:jc w:val="center"/>
              <w:rPr>
                <w:rFonts w:hint="default" w:ascii="微软雅黑" w:hAnsi="微软雅黑" w:eastAsia="微软雅黑"/>
                <w:sz w:val="18"/>
                <w:szCs w:val="18"/>
                <w:lang w:val="en-US" w:eastAsia="zh-CN"/>
              </w:rPr>
            </w:pPr>
            <w:r>
              <w:rPr>
                <w:rFonts w:hint="eastAsia" w:ascii="微软雅黑" w:hAnsi="微软雅黑" w:eastAsia="微软雅黑"/>
                <w:sz w:val="18"/>
                <w:szCs w:val="18"/>
                <w:lang w:val="en-US" w:eastAsia="zh-CN"/>
              </w:rPr>
              <w:t>320</w:t>
            </w:r>
          </w:p>
        </w:tc>
      </w:tr>
      <w:tr>
        <w:tblPrEx>
          <w:tblBorders>
            <w:top w:val="single" w:color="A4A4A4" w:themeColor="background1" w:themeShade="A5" w:sz="4" w:space="0"/>
            <w:left w:val="single" w:color="A4A4A4" w:themeColor="background1" w:themeShade="A5" w:sz="4" w:space="0"/>
            <w:bottom w:val="single" w:color="A4A4A4" w:themeColor="background1" w:themeShade="A5" w:sz="4" w:space="0"/>
            <w:right w:val="single" w:color="A4A4A4" w:themeColor="background1" w:themeShade="A5" w:sz="4" w:space="0"/>
            <w:insideH w:val="single" w:color="A4A4A4" w:themeColor="background1" w:themeShade="A5" w:sz="4" w:space="0"/>
            <w:insideV w:val="single" w:color="A4A4A4" w:themeColor="background1" w:themeShade="A5" w:sz="4" w:space="0"/>
          </w:tblBorders>
          <w:tblCellMar>
            <w:top w:w="0" w:type="dxa"/>
            <w:left w:w="108" w:type="dxa"/>
            <w:bottom w:w="0" w:type="dxa"/>
            <w:right w:w="108" w:type="dxa"/>
          </w:tblCellMar>
        </w:tblPrEx>
        <w:trPr>
          <w:cantSplit/>
          <w:trHeight w:val="287" w:hRule="atLeast"/>
        </w:trPr>
        <w:tc>
          <w:tcPr>
            <w:tcW w:w="1391" w:type="dxa"/>
            <w:vMerge w:val="continue"/>
            <w:tcBorders>
              <w:tl2br w:val="nil"/>
              <w:tr2bl w:val="nil"/>
            </w:tcBorders>
            <w:shd w:val="clear" w:color="auto" w:fill="F1F1F1" w:themeFill="background1" w:themeFillShade="F2"/>
            <w:vAlign w:val="center"/>
          </w:tcPr>
          <w:p>
            <w:pPr>
              <w:widowControl/>
              <w:spacing w:line="400" w:lineRule="exact"/>
              <w:jc w:val="left"/>
              <w:rPr>
                <w:rFonts w:ascii="微软雅黑" w:hAnsi="微软雅黑" w:eastAsia="微软雅黑"/>
                <w:sz w:val="18"/>
                <w:szCs w:val="18"/>
              </w:rPr>
            </w:pPr>
          </w:p>
        </w:tc>
        <w:tc>
          <w:tcPr>
            <w:tcW w:w="1276" w:type="dxa"/>
            <w:tcBorders>
              <w:tl2br w:val="nil"/>
              <w:tr2bl w:val="nil"/>
            </w:tcBorders>
            <w:shd w:val="clear" w:color="auto" w:fill="F1F1F1" w:themeFill="background1" w:themeFillShade="F2"/>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银卡</w:t>
            </w:r>
          </w:p>
        </w:tc>
        <w:tc>
          <w:tcPr>
            <w:tcW w:w="1984" w:type="dxa"/>
            <w:tcBorders>
              <w:tl2br w:val="nil"/>
              <w:tr2bl w:val="nil"/>
            </w:tcBorders>
            <w:shd w:val="clear" w:color="auto" w:fill="F1F1F1" w:themeFill="background1" w:themeFillShade="F2"/>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￥36，800</w:t>
            </w:r>
          </w:p>
        </w:tc>
        <w:tc>
          <w:tcPr>
            <w:tcW w:w="1701" w:type="dxa"/>
            <w:tcBorders>
              <w:tl2br w:val="nil"/>
              <w:tr2bl w:val="nil"/>
            </w:tcBorders>
            <w:shd w:val="clear" w:color="auto" w:fill="F1F1F1" w:themeFill="background1" w:themeFillShade="F2"/>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100</w:t>
            </w:r>
          </w:p>
        </w:tc>
        <w:tc>
          <w:tcPr>
            <w:tcW w:w="1843" w:type="dxa"/>
            <w:tcBorders>
              <w:tl2br w:val="nil"/>
              <w:tr2bl w:val="nil"/>
            </w:tcBorders>
            <w:shd w:val="clear" w:color="auto" w:fill="F1F1F1" w:themeFill="background1" w:themeFillShade="F2"/>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368</w:t>
            </w:r>
          </w:p>
        </w:tc>
      </w:tr>
      <w:tr>
        <w:tblPrEx>
          <w:tblBorders>
            <w:top w:val="single" w:color="A4A4A4" w:themeColor="background1" w:themeShade="A5" w:sz="4" w:space="0"/>
            <w:left w:val="single" w:color="A4A4A4" w:themeColor="background1" w:themeShade="A5" w:sz="4" w:space="0"/>
            <w:bottom w:val="single" w:color="A4A4A4" w:themeColor="background1" w:themeShade="A5" w:sz="4" w:space="0"/>
            <w:right w:val="single" w:color="A4A4A4" w:themeColor="background1" w:themeShade="A5" w:sz="4" w:space="0"/>
            <w:insideH w:val="single" w:color="A4A4A4" w:themeColor="background1" w:themeShade="A5" w:sz="4" w:space="0"/>
            <w:insideV w:val="single" w:color="A4A4A4" w:themeColor="background1" w:themeShade="A5" w:sz="4" w:space="0"/>
          </w:tblBorders>
          <w:tblCellMar>
            <w:top w:w="0" w:type="dxa"/>
            <w:left w:w="108" w:type="dxa"/>
            <w:bottom w:w="0" w:type="dxa"/>
            <w:right w:w="108" w:type="dxa"/>
          </w:tblCellMar>
        </w:tblPrEx>
        <w:trPr>
          <w:cantSplit/>
          <w:trHeight w:val="2594" w:hRule="atLeast"/>
        </w:trPr>
        <w:tc>
          <w:tcPr>
            <w:tcW w:w="8195" w:type="dxa"/>
            <w:gridSpan w:val="5"/>
            <w:tcBorders>
              <w:tl2br w:val="nil"/>
              <w:tr2bl w:val="nil"/>
            </w:tcBorders>
            <w:vAlign w:val="center"/>
          </w:tcPr>
          <w:p>
            <w:pPr>
              <w:widowControl/>
              <w:spacing w:line="400" w:lineRule="exact"/>
              <w:jc w:val="left"/>
              <w:rPr>
                <w:rFonts w:ascii="微软雅黑" w:hAnsi="微软雅黑" w:eastAsia="微软雅黑"/>
                <w:b/>
                <w:bCs/>
                <w:kern w:val="0"/>
                <w:sz w:val="18"/>
                <w:szCs w:val="18"/>
              </w:rPr>
            </w:pPr>
            <w:r>
              <w:rPr>
                <w:rFonts w:hint="eastAsia" w:ascii="微软雅黑" w:hAnsi="微软雅黑" w:eastAsia="微软雅黑"/>
                <w:b/>
                <w:bCs/>
                <w:kern w:val="0"/>
                <w:sz w:val="18"/>
                <w:szCs w:val="18"/>
              </w:rPr>
              <w:t>说 明:</w:t>
            </w:r>
          </w:p>
          <w:p>
            <w:pPr>
              <w:widowControl/>
              <w:numPr>
                <w:ilvl w:val="0"/>
                <w:numId w:val="5"/>
              </w:numPr>
              <w:overflowPunct/>
              <w:spacing w:line="360" w:lineRule="exact"/>
              <w:ind w:left="845"/>
              <w:jc w:val="left"/>
              <w:rPr>
                <w:rFonts w:ascii="微软雅黑" w:hAnsi="微软雅黑" w:eastAsia="微软雅黑"/>
                <w:sz w:val="18"/>
                <w:szCs w:val="18"/>
              </w:rPr>
            </w:pPr>
            <w:r>
              <w:rPr>
                <w:rFonts w:hint="eastAsia" w:ascii="微软雅黑" w:hAnsi="微软雅黑" w:eastAsia="微软雅黑"/>
                <w:sz w:val="18"/>
                <w:szCs w:val="18"/>
              </w:rPr>
              <w:t>成功购买中智光华学习卡的企业，即成为中智光华的VIP会员单位；</w:t>
            </w:r>
          </w:p>
          <w:p>
            <w:pPr>
              <w:widowControl/>
              <w:numPr>
                <w:ilvl w:val="0"/>
                <w:numId w:val="5"/>
              </w:numPr>
              <w:overflowPunct/>
              <w:spacing w:line="360" w:lineRule="exact"/>
              <w:ind w:left="845"/>
              <w:jc w:val="left"/>
              <w:rPr>
                <w:rFonts w:ascii="微软雅黑" w:hAnsi="微软雅黑" w:eastAsia="微软雅黑"/>
                <w:sz w:val="18"/>
                <w:szCs w:val="18"/>
              </w:rPr>
            </w:pPr>
            <w:r>
              <w:rPr>
                <w:rFonts w:hint="eastAsia" w:ascii="微软雅黑" w:hAnsi="微软雅黑" w:eastAsia="微软雅黑"/>
                <w:sz w:val="18"/>
                <w:szCs w:val="18"/>
              </w:rPr>
              <w:t>中智光华学习卡会员均可参加广州、深圳、东莞、佛山、杭州五地课程；</w:t>
            </w:r>
          </w:p>
          <w:p>
            <w:pPr>
              <w:widowControl/>
              <w:numPr>
                <w:ilvl w:val="0"/>
                <w:numId w:val="5"/>
              </w:numPr>
              <w:overflowPunct/>
              <w:spacing w:line="360" w:lineRule="exact"/>
              <w:ind w:left="845"/>
              <w:jc w:val="left"/>
              <w:rPr>
                <w:rFonts w:ascii="微软雅黑" w:hAnsi="微软雅黑" w:eastAsia="微软雅黑"/>
                <w:sz w:val="18"/>
                <w:szCs w:val="18"/>
              </w:rPr>
            </w:pPr>
            <w:r>
              <w:rPr>
                <w:rFonts w:hint="eastAsia" w:ascii="微软雅黑" w:hAnsi="微软雅黑" w:eastAsia="微软雅黑"/>
                <w:sz w:val="18"/>
                <w:szCs w:val="18"/>
              </w:rPr>
              <w:t>企业参加课程学习所产生的食宿、交通、差旅等费用自理；</w:t>
            </w:r>
          </w:p>
          <w:p>
            <w:pPr>
              <w:widowControl/>
              <w:numPr>
                <w:ilvl w:val="0"/>
                <w:numId w:val="5"/>
              </w:numPr>
              <w:overflowPunct/>
              <w:spacing w:line="360" w:lineRule="exact"/>
              <w:ind w:left="845"/>
              <w:jc w:val="left"/>
              <w:rPr>
                <w:rFonts w:ascii="微软雅黑" w:hAnsi="微软雅黑" w:eastAsia="微软雅黑"/>
                <w:sz w:val="18"/>
                <w:szCs w:val="18"/>
              </w:rPr>
            </w:pPr>
            <w:r>
              <w:rPr>
                <w:rFonts w:hint="eastAsia" w:ascii="微软雅黑" w:hAnsi="微软雅黑" w:eastAsia="微软雅黑"/>
                <w:sz w:val="18"/>
                <w:szCs w:val="18"/>
              </w:rPr>
              <w:t>中智光华学习卡会员可免费参加中智汇沙龙活动；</w:t>
            </w:r>
          </w:p>
          <w:p>
            <w:pPr>
              <w:widowControl/>
              <w:numPr>
                <w:ilvl w:val="0"/>
                <w:numId w:val="5"/>
              </w:numPr>
              <w:overflowPunct/>
              <w:spacing w:line="360" w:lineRule="exact"/>
              <w:ind w:left="845"/>
              <w:jc w:val="left"/>
              <w:rPr>
                <w:rFonts w:ascii="微软雅黑" w:hAnsi="微软雅黑" w:eastAsia="微软雅黑"/>
                <w:sz w:val="18"/>
                <w:szCs w:val="18"/>
              </w:rPr>
            </w:pPr>
            <w:r>
              <w:rPr>
                <w:rFonts w:hint="eastAsia" w:ascii="微软雅黑" w:hAnsi="微软雅黑" w:eastAsia="微软雅黑"/>
                <w:sz w:val="18"/>
                <w:szCs w:val="18"/>
              </w:rPr>
              <w:t>产品手册内公开课程项目均可匹配企业以内训学习形式另行采购；</w:t>
            </w:r>
          </w:p>
          <w:p>
            <w:pPr>
              <w:widowControl/>
              <w:numPr>
                <w:ilvl w:val="0"/>
                <w:numId w:val="5"/>
              </w:numPr>
              <w:overflowPunct/>
              <w:spacing w:line="360" w:lineRule="exact"/>
              <w:ind w:left="845"/>
              <w:jc w:val="left"/>
              <w:rPr>
                <w:rFonts w:ascii="微软雅黑" w:hAnsi="微软雅黑" w:eastAsia="微软雅黑"/>
                <w:sz w:val="18"/>
                <w:szCs w:val="18"/>
              </w:rPr>
            </w:pPr>
            <w:r>
              <w:rPr>
                <w:rFonts w:hint="eastAsia" w:ascii="微软雅黑" w:hAnsi="微软雅黑" w:eastAsia="微软雅黑"/>
                <w:sz w:val="18"/>
                <w:szCs w:val="18"/>
              </w:rPr>
              <w:t>会员企业采购</w:t>
            </w:r>
            <w:r>
              <w:rPr>
                <w:rFonts w:hint="eastAsia" w:ascii="微软雅黑" w:hAnsi="微软雅黑" w:eastAsia="微软雅黑"/>
                <w:sz w:val="18"/>
                <w:szCs w:val="18"/>
                <w:lang w:val="en-US" w:eastAsia="zh-CN"/>
              </w:rPr>
              <w:t>金</w:t>
            </w:r>
            <w:r>
              <w:rPr>
                <w:rFonts w:hint="eastAsia" w:ascii="微软雅黑" w:hAnsi="微软雅黑" w:eastAsia="微软雅黑"/>
                <w:sz w:val="18"/>
                <w:szCs w:val="18"/>
              </w:rPr>
              <w:t>钻卡</w:t>
            </w:r>
            <w:r>
              <w:rPr>
                <w:rFonts w:hint="eastAsia" w:ascii="微软雅黑" w:hAnsi="微软雅黑" w:eastAsia="微软雅黑"/>
                <w:sz w:val="18"/>
                <w:szCs w:val="18"/>
                <w:lang w:val="en-US" w:eastAsia="zh-CN"/>
              </w:rPr>
              <w:t>及</w:t>
            </w:r>
            <w:r>
              <w:rPr>
                <w:rFonts w:hint="eastAsia" w:ascii="微软雅黑" w:hAnsi="微软雅黑" w:eastAsia="微软雅黑"/>
                <w:sz w:val="18"/>
                <w:szCs w:val="18"/>
              </w:rPr>
              <w:t>以上卡别，均可一卡多用；</w:t>
            </w:r>
          </w:p>
          <w:p>
            <w:pPr>
              <w:widowControl/>
              <w:numPr>
                <w:ilvl w:val="0"/>
                <w:numId w:val="5"/>
              </w:numPr>
              <w:overflowPunct/>
              <w:spacing w:line="360" w:lineRule="exact"/>
              <w:ind w:left="845"/>
              <w:jc w:val="left"/>
              <w:rPr>
                <w:rFonts w:ascii="微软雅黑" w:hAnsi="微软雅黑" w:eastAsia="微软雅黑"/>
                <w:sz w:val="18"/>
                <w:szCs w:val="18"/>
              </w:rPr>
            </w:pPr>
            <w:r>
              <w:rPr>
                <w:rFonts w:hint="eastAsia" w:ascii="微软雅黑" w:hAnsi="微软雅黑" w:eastAsia="微软雅黑"/>
                <w:sz w:val="18"/>
                <w:szCs w:val="18"/>
              </w:rPr>
              <w:t>学习卡使用所有解释权归中智光华教育集团所有。</w:t>
            </w:r>
          </w:p>
        </w:tc>
      </w:tr>
    </w:tbl>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文鼎特粗宋">
    <w:altName w:val="黑体"/>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華康楷書體W3">
    <w:altName w:val="宋体"/>
    <w:panose1 w:val="00000000000000000000"/>
    <w:charset w:val="88"/>
    <w:family w:val="modern"/>
    <w:pitch w:val="default"/>
    <w:sig w:usb0="00000000" w:usb1="00000000" w:usb2="00000010" w:usb3="00000000" w:csb0="00100000" w:csb1="00000000"/>
  </w:font>
  <w:font w:name="Helvetica">
    <w:altName w:val="Arial"/>
    <w:panose1 w:val="020B0604020202020204"/>
    <w:charset w:val="00"/>
    <w:family w:val="swiss"/>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003F01FF" w:csb1="00000000"/>
  </w:font>
  <w:font w:name="Helvetica Neue">
    <w:altName w:val="NumberOnly"/>
    <w:panose1 w:val="00000000000000000000"/>
    <w:charset w:val="00"/>
    <w:family w:val="auto"/>
    <w:pitch w:val="default"/>
    <w:sig w:usb0="00000000" w:usb1="00000000" w:usb2="00000010" w:usb3="00000000" w:csb0="00000000"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兰亭细黑_GBK">
    <w:altName w:val="黑体"/>
    <w:panose1 w:val="00000000000000000000"/>
    <w:charset w:val="86"/>
    <w:family w:val="auto"/>
    <w:pitch w:val="default"/>
    <w:sig w:usb0="00000000" w:usb1="00000000" w:usb2="00000000" w:usb3="00000000" w:csb0="00040000" w:csb1="00000000"/>
  </w:font>
  <w:font w:name="NumberOnly">
    <w:panose1 w:val="020B0500000000000000"/>
    <w:charset w:val="00"/>
    <w:family w:val="auto"/>
    <w:pitch w:val="default"/>
    <w:sig w:usb0="8000002F" w:usb1="10000048" w:usb2="00000000" w:usb3="00000000" w:csb0="00000111" w:csb1="4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ˎ̥">
    <w:altName w:val="Times New Roman"/>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jc w:val="left"/>
    </w:pPr>
  </w:p>
  <w:p>
    <w:pPr>
      <w:pStyle w:val="11"/>
    </w:pPr>
    <w:r>
      <w:rPr>
        <w:sz w:val="21"/>
      </w:rPr>
      <w:pict>
        <v:group id="_x0000_s3075" o:spid="_x0000_s3075" o:spt="203" style="position:absolute;left:0pt;margin-left:-88.15pt;margin-top:23.95pt;height:36pt;width:589.5pt;z-index:251665408;mso-width-relative:page;mso-height-relative:page;" coordorigin="5851,33526" coordsize="11790,720203" o:gfxdata="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">
          <o:lock v:ext="edit"/>
          <v:line id="直接连接符 19" o:spid="_x0000_s3077" o:spt="20" style="position:absolute;left:5851;top:33526;height:0;width:11790;" stroked="t" coordsize="21600,21600" o:gfxdata="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2V4K8AAAA&#10;2wAAAA8AAAAAAAAAAQAgAAAAIgAAAGRycy9kb3ducmV2LnhtbFBLAQIUABQAAAAIAIdO4kAzLwWe&#10;OwAAADkAAAAQAAAAAAAAAAEAIAAAAAsBAABkcnMvc2hhcGV4bWwueG1sUEsFBgAAAAAGAAYAWwEA&#10;ALUDAAAAAA==&#10;">
            <v:path arrowok="t"/>
            <v:fill focussize="0,0"/>
            <v:stroke weight="1pt" color="#E00000" joinstyle="miter"/>
            <v:imagedata o:title=""/>
            <o:lock v:ext="edit"/>
          </v:line>
          <v:shape id="文本框 20" o:spid="_x0000_s3076" o:spt="202" type="#_x0000_t202" style="position:absolute;left:9346;top:33616;height:630;width:4890;" filled="f" stroked="f" coordsize="21600,21600" o:gfxdata="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8uDL4A&#10;AADbAAAADwAAAAAAAAABACAAAAAiAAAAZHJzL2Rvd25yZXYueG1sUEsBAhQAFAAAAAgAh07iQDMv&#10;BZ47AAAAOQAAABAAAAAAAAAAAQAgAAAADQEAAGRycy9zaGFwZXhtbC54bWxQSwUGAAAAAAYABgBb&#10;AQAAtwMAAAAA&#10;">
            <v:path/>
            <v:fill on="f" focussize="0,0"/>
            <v:stroke on="f" weight="0.5pt" joinstyle="miter"/>
            <v:imagedata o:title=""/>
            <o:lock v:ext="edit"/>
            <v:textbox>
              <w:txbxContent>
                <w:p>
                  <w:pPr>
                    <w:jc w:val="center"/>
                    <w:rPr>
                      <w:rFonts w:ascii="方正兰亭细黑_GBK" w:hAnsi="方正兰亭细黑_GBK" w:eastAsia="方正兰亭细黑_GBK" w:cs="方正兰亭细黑_GBK"/>
                      <w:b/>
                      <w:bCs/>
                      <w:color w:val="585858" w:themeColor="text1" w:themeTint="A6"/>
                      <w:sz w:val="24"/>
                      <w:szCs w:val="24"/>
                    </w:rPr>
                  </w:pPr>
                  <w:r>
                    <w:rPr>
                      <w:rFonts w:hint="eastAsia" w:ascii="方正兰亭细黑_GBK" w:hAnsi="方正兰亭细黑_GBK" w:eastAsia="方正兰亭细黑_GBK" w:cs="方正兰亭细黑_GBK"/>
                      <w:b/>
                      <w:bCs/>
                      <w:color w:val="585858" w:themeColor="text1" w:themeTint="A6"/>
                      <w:sz w:val="24"/>
                      <w:szCs w:val="24"/>
                    </w:rPr>
                    <w:t>让培训回归理性消费</w:t>
                  </w:r>
                </w:p>
              </w:txbxContent>
            </v:textbox>
          </v:shape>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3074" o:spid="_x0000_s3074" o:spt="202" type="#_x0000_t202" style="position:absolute;left:0pt;margin-left:26.6pt;margin-top:20.05pt;height:29.25pt;width:367.5pt;z-index:251659264;mso-width-relative:page;mso-height-relative:page;" stroked="f" coordsize="21600,21600" o:gfxdata="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An2&#10;X9QAAAAIAQAADwAAAAAAAAABACAAAAAiAAAAZHJzL2Rvd25yZXYueG1sUEsBAhQAFAAAAAgAh07i&#10;QAz8obVfAgAAqQQAAA4AAAAAAAAAAQAgAAAAIwEAAGRycy9lMm9Eb2MueG1sUEsFBgAAAAAGAAYA&#10;WQEAAPQFAAAAAA==&#10;">
          <v:path/>
          <v:fill focussize="0,0"/>
          <v:stroke on="f" weight="0.5pt" joinstyle="miter"/>
          <v:imagedata o:title=""/>
          <o:lock v:ext="edit"/>
          <v:textbox>
            <w:txbxContent>
              <w:p>
                <w:pPr>
                  <w:jc w:val="distribute"/>
                  <w:rPr>
                    <w:rFonts w:ascii="微软雅黑" w:hAnsi="微软雅黑" w:eastAsia="微软雅黑" w:cs="微软雅黑"/>
                    <w:b/>
                    <w:bCs/>
                    <w:sz w:val="24"/>
                    <w:szCs w:val="24"/>
                  </w:rPr>
                </w:pPr>
                <w:r>
                  <w:rPr>
                    <w:rFonts w:hint="eastAsia" w:ascii="微软雅黑" w:hAnsi="微软雅黑" w:eastAsia="微软雅黑" w:cs="微软雅黑"/>
                    <w:b/>
                    <w:bCs/>
                    <w:sz w:val="24"/>
                    <w:szCs w:val="24"/>
                  </w:rPr>
                  <w:t>推动学习转化落地  赋能企业人才发展</w:t>
                </w:r>
              </w:p>
              <w:p/>
            </w:txbxContent>
          </v:textbox>
        </v:shape>
      </w:pict>
    </w:r>
    <w:r>
      <w:rPr>
        <w:sz w:val="21"/>
      </w:rPr>
      <w:pict>
        <v:line id="_x0000_s3073" o:spid="_x0000_s3073" o:spt="20" style="position:absolute;left:0pt;flip:y;margin-left:-85pt;margin-top:16.55pt;height:0.75pt;width:590.25pt;z-index:251660288;mso-width-relative:page;mso-height-relative:page;" stroked="t" coordsize="21600,21600" o:gfxdata="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&#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qs+iT1wAAAAsBAAAPAAAAAAAAAAEAIAAAACIAAABk&#10;cnMvZG93bnJldi54bWxQSwECFAAUAAAACACHTuJAYQHtvAcCAADuAwAADgAAAAAAAAABACAAAAAm&#10;AQAAZHJzL2Uyb0RvYy54bWxQSwUGAAAAAAYABgBZAQAAnwUAAAAA&#10;">
          <v:path arrowok="t"/>
          <v:fill focussize="0,0"/>
          <v:stroke weight="0.5pt" color="#B8B8B8" joinstyle="miter"/>
          <v:imagedata o:title=""/>
          <o:lock v:ext="edit"/>
        </v:lin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jc w:val="left"/>
    </w:pPr>
    <w:r>
      <w:rPr>
        <w:rFonts w:hint="eastAsia" w:eastAsiaTheme="minorEastAsia"/>
      </w:rPr>
      <w:drawing>
        <wp:anchor distT="0" distB="0" distL="114300" distR="114300" simplePos="0" relativeHeight="251664384" behindDoc="0" locked="0" layoutInCell="1" allowOverlap="1">
          <wp:simplePos x="0" y="0"/>
          <wp:positionH relativeFrom="column">
            <wp:posOffset>-1146175</wp:posOffset>
          </wp:positionH>
          <wp:positionV relativeFrom="paragraph">
            <wp:posOffset>-528955</wp:posOffset>
          </wp:positionV>
          <wp:extent cx="7562850" cy="473075"/>
          <wp:effectExtent l="0" t="0" r="0" b="3175"/>
          <wp:wrapNone/>
          <wp:docPr id="22" name="图片 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1"/>
                  <pic:cNvPicPr>
                    <a:picLocks noChangeAspect="1"/>
                  </pic:cNvPicPr>
                </pic:nvPicPr>
                <pic:blipFill>
                  <a:blip r:embed="rId1"/>
                  <a:stretch>
                    <a:fillRect/>
                  </a:stretch>
                </pic:blipFill>
                <pic:spPr>
                  <a:xfrm>
                    <a:off x="0" y="0"/>
                    <a:ext cx="7562850" cy="473075"/>
                  </a:xfrm>
                  <a:prstGeom prst="rect">
                    <a:avLst/>
                  </a:prstGeom>
                </pic:spPr>
              </pic:pic>
            </a:graphicData>
          </a:graphic>
        </wp:anchor>
      </w:drawing>
    </w:r>
  </w:p>
  <w:p>
    <w:pPr>
      <w:pStyle w:val="1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rPr>
      <w:drawing>
        <wp:anchor distT="0" distB="0" distL="114300" distR="114300" simplePos="0" relativeHeight="251661312" behindDoc="0" locked="0" layoutInCell="1" allowOverlap="1">
          <wp:simplePos x="0" y="0"/>
          <wp:positionH relativeFrom="column">
            <wp:posOffset>-1155065</wp:posOffset>
          </wp:positionH>
          <wp:positionV relativeFrom="paragraph">
            <wp:posOffset>-548640</wp:posOffset>
          </wp:positionV>
          <wp:extent cx="7638415" cy="381635"/>
          <wp:effectExtent l="0" t="0" r="635" b="18415"/>
          <wp:wrapSquare wrapText="bothSides"/>
          <wp:docPr id="14" name="图片 14" descr="未标题-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未标题-22"/>
                  <pic:cNvPicPr>
                    <a:picLocks noChangeAspect="1"/>
                  </pic:cNvPicPr>
                </pic:nvPicPr>
                <pic:blipFill>
                  <a:blip r:embed="rId1"/>
                  <a:stretch>
                    <a:fillRect/>
                  </a:stretch>
                </pic:blipFill>
                <pic:spPr>
                  <a:xfrm>
                    <a:off x="0" y="0"/>
                    <a:ext cx="7638415" cy="381635"/>
                  </a:xfrm>
                  <a:prstGeom prst="rect">
                    <a:avLst/>
                  </a:prstGeom>
                </pic:spPr>
              </pic:pic>
            </a:graphicData>
          </a:graphic>
        </wp:anchor>
      </w:drawing>
    </w:r>
    <w:r>
      <w:rPr>
        <w:rFonts w:hint="eastAsia"/>
      </w:rPr>
      <w:drawing>
        <wp:anchor distT="0" distB="0" distL="114300" distR="114300" simplePos="0" relativeHeight="251662336" behindDoc="1" locked="0" layoutInCell="1" allowOverlap="1">
          <wp:simplePos x="0" y="0"/>
          <wp:positionH relativeFrom="column">
            <wp:posOffset>-1146175</wp:posOffset>
          </wp:positionH>
          <wp:positionV relativeFrom="paragraph">
            <wp:posOffset>72390</wp:posOffset>
          </wp:positionV>
          <wp:extent cx="7635875" cy="10557510"/>
          <wp:effectExtent l="0" t="0" r="3175" b="15240"/>
          <wp:wrapNone/>
          <wp:docPr id="2" name="图片 2" descr="未标题-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标题-41"/>
                  <pic:cNvPicPr>
                    <a:picLocks noChangeAspect="1"/>
                  </pic:cNvPicPr>
                </pic:nvPicPr>
                <pic:blipFill>
                  <a:blip r:embed="rId2"/>
                  <a:stretch>
                    <a:fillRect/>
                  </a:stretch>
                </pic:blipFill>
                <pic:spPr>
                  <a:xfrm>
                    <a:off x="0" y="0"/>
                    <a:ext cx="7635875" cy="105575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17E33C"/>
    <w:multiLevelType w:val="multilevel"/>
    <w:tmpl w:val="8217E33C"/>
    <w:lvl w:ilvl="0" w:tentative="0">
      <w:start w:val="1"/>
      <w:numFmt w:val="decimal"/>
      <w:lvlText w:val="%1."/>
      <w:lvlJc w:val="left"/>
      <w:pPr>
        <w:tabs>
          <w:tab w:val="left" w:pos="8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FE0F66A7"/>
    <w:multiLevelType w:val="multilevel"/>
    <w:tmpl w:val="FE0F66A7"/>
    <w:lvl w:ilvl="0" w:tentative="0">
      <w:start w:val="1"/>
      <w:numFmt w:val="decimal"/>
      <w:lvlText w:val="%1."/>
      <w:lvlJc w:val="left"/>
      <w:pPr>
        <w:tabs>
          <w:tab w:val="left" w:pos="8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1A6C5F9A"/>
    <w:multiLevelType w:val="multilevel"/>
    <w:tmpl w:val="1A6C5F9A"/>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688C7E31"/>
    <w:multiLevelType w:val="multilevel"/>
    <w:tmpl w:val="688C7E31"/>
    <w:lvl w:ilvl="0" w:tentative="0">
      <w:start w:val="1"/>
      <w:numFmt w:val="bullet"/>
      <w:lvlText w:val=""/>
      <w:lvlJc w:val="left"/>
      <w:pPr>
        <w:tabs>
          <w:tab w:val="left" w:pos="453"/>
        </w:tabs>
        <w:ind w:left="453" w:hanging="453"/>
      </w:pPr>
      <w:rPr>
        <w:rFonts w:hint="default" w:ascii="Wingdings" w:hAnsi="Wingdings"/>
        <w:color w:val="666699"/>
      </w:rPr>
    </w:lvl>
    <w:lvl w:ilvl="1" w:tentative="0">
      <w:start w:val="1"/>
      <w:numFmt w:val="bullet"/>
      <w:pStyle w:val="36"/>
      <w:lvlText w:val=""/>
      <w:lvlJc w:val="left"/>
      <w:pPr>
        <w:tabs>
          <w:tab w:val="left" w:pos="453"/>
        </w:tabs>
        <w:ind w:left="453" w:hanging="453"/>
      </w:pPr>
      <w:rPr>
        <w:rFonts w:hint="default" w:ascii="Wingdings" w:hAnsi="Wingdings"/>
        <w:color w:val="666699"/>
      </w:rPr>
    </w:lvl>
    <w:lvl w:ilvl="2" w:tentative="0">
      <w:start w:val="1"/>
      <w:numFmt w:val="bullet"/>
      <w:lvlText w:val=""/>
      <w:lvlJc w:val="left"/>
      <w:pPr>
        <w:tabs>
          <w:tab w:val="left" w:pos="840"/>
        </w:tabs>
        <w:ind w:left="840" w:hanging="420"/>
      </w:pPr>
      <w:rPr>
        <w:rFonts w:hint="default" w:ascii="Wingdings" w:hAnsi="Wingdings"/>
      </w:rPr>
    </w:lvl>
    <w:lvl w:ilvl="3" w:tentative="0">
      <w:start w:val="1"/>
      <w:numFmt w:val="bullet"/>
      <w:lvlText w:val=""/>
      <w:lvlJc w:val="left"/>
      <w:pPr>
        <w:tabs>
          <w:tab w:val="left" w:pos="1260"/>
        </w:tabs>
        <w:ind w:left="1260" w:hanging="420"/>
      </w:pPr>
      <w:rPr>
        <w:rFonts w:hint="default" w:ascii="Wingdings" w:hAnsi="Wingdings"/>
      </w:rPr>
    </w:lvl>
    <w:lvl w:ilvl="4" w:tentative="0">
      <w:start w:val="1"/>
      <w:numFmt w:val="bullet"/>
      <w:lvlText w:val=""/>
      <w:lvlJc w:val="left"/>
      <w:pPr>
        <w:tabs>
          <w:tab w:val="left" w:pos="1680"/>
        </w:tabs>
        <w:ind w:left="1680" w:hanging="420"/>
      </w:pPr>
      <w:rPr>
        <w:rFonts w:hint="default" w:ascii="Wingdings" w:hAnsi="Wingdings"/>
      </w:rPr>
    </w:lvl>
    <w:lvl w:ilvl="5" w:tentative="0">
      <w:start w:val="1"/>
      <w:numFmt w:val="bullet"/>
      <w:lvlText w:val=""/>
      <w:lvlJc w:val="left"/>
      <w:pPr>
        <w:tabs>
          <w:tab w:val="left" w:pos="2100"/>
        </w:tabs>
        <w:ind w:left="2100" w:hanging="420"/>
      </w:pPr>
      <w:rPr>
        <w:rFonts w:hint="default" w:ascii="Wingdings" w:hAnsi="Wingdings"/>
      </w:rPr>
    </w:lvl>
    <w:lvl w:ilvl="6" w:tentative="0">
      <w:start w:val="1"/>
      <w:numFmt w:val="bullet"/>
      <w:lvlText w:val=""/>
      <w:lvlJc w:val="left"/>
      <w:pPr>
        <w:tabs>
          <w:tab w:val="left" w:pos="2520"/>
        </w:tabs>
        <w:ind w:left="2520" w:hanging="420"/>
      </w:pPr>
      <w:rPr>
        <w:rFonts w:hint="default" w:ascii="Wingdings" w:hAnsi="Wingdings"/>
      </w:rPr>
    </w:lvl>
    <w:lvl w:ilvl="7" w:tentative="0">
      <w:start w:val="1"/>
      <w:numFmt w:val="bullet"/>
      <w:lvlText w:val=""/>
      <w:lvlJc w:val="left"/>
      <w:pPr>
        <w:tabs>
          <w:tab w:val="left" w:pos="2940"/>
        </w:tabs>
        <w:ind w:left="2940" w:hanging="420"/>
      </w:pPr>
      <w:rPr>
        <w:rFonts w:hint="default" w:ascii="Wingdings" w:hAnsi="Wingdings"/>
      </w:rPr>
    </w:lvl>
    <w:lvl w:ilvl="8" w:tentative="0">
      <w:start w:val="1"/>
      <w:numFmt w:val="bullet"/>
      <w:lvlText w:val=""/>
      <w:lvlJc w:val="left"/>
      <w:pPr>
        <w:tabs>
          <w:tab w:val="left" w:pos="3360"/>
        </w:tabs>
        <w:ind w:left="3360" w:hanging="420"/>
      </w:pPr>
      <w:rPr>
        <w:rFonts w:hint="default" w:ascii="Wingdings" w:hAnsi="Wingdings"/>
      </w:rPr>
    </w:lvl>
  </w:abstractNum>
  <w:abstractNum w:abstractNumId="4">
    <w:nsid w:val="7C1D743B"/>
    <w:multiLevelType w:val="multilevel"/>
    <w:tmpl w:val="7C1D743B"/>
    <w:lvl w:ilvl="0" w:tentative="0">
      <w:start w:val="1"/>
      <w:numFmt w:val="decimal"/>
      <w:lvlText w:val="%1."/>
      <w:lvlJc w:val="left"/>
      <w:pPr>
        <w:tabs>
          <w:tab w:val="left" w:pos="8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1"/>
  </w:num>
  <w:num w:numId="3">
    <w:abstractNumId w:val="4"/>
  </w:num>
  <w:num w:numId="4">
    <w:abstractNumId w:val="0"/>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mU2OTcyZmIyM2QyMDllYTc0YmIzNjc3YzkzNTg4NTcifQ=="/>
  </w:docVars>
  <w:rsids>
    <w:rsidRoot w:val="41015C74"/>
    <w:rsid w:val="00002A9C"/>
    <w:rsid w:val="000A09F8"/>
    <w:rsid w:val="000B5454"/>
    <w:rsid w:val="000C7B27"/>
    <w:rsid w:val="00151E21"/>
    <w:rsid w:val="00156C60"/>
    <w:rsid w:val="00164393"/>
    <w:rsid w:val="00177CC3"/>
    <w:rsid w:val="00186814"/>
    <w:rsid w:val="00197094"/>
    <w:rsid w:val="001C6CD0"/>
    <w:rsid w:val="002531A7"/>
    <w:rsid w:val="002B6158"/>
    <w:rsid w:val="002C7A6A"/>
    <w:rsid w:val="002D5F3B"/>
    <w:rsid w:val="00304CC2"/>
    <w:rsid w:val="00313468"/>
    <w:rsid w:val="00373827"/>
    <w:rsid w:val="003846FF"/>
    <w:rsid w:val="00393CBB"/>
    <w:rsid w:val="00402133"/>
    <w:rsid w:val="00481C48"/>
    <w:rsid w:val="00487CF3"/>
    <w:rsid w:val="004D0E0A"/>
    <w:rsid w:val="004F0C53"/>
    <w:rsid w:val="00515E98"/>
    <w:rsid w:val="0052335E"/>
    <w:rsid w:val="005D1392"/>
    <w:rsid w:val="005F72AB"/>
    <w:rsid w:val="006B0E39"/>
    <w:rsid w:val="006D469F"/>
    <w:rsid w:val="006D6D19"/>
    <w:rsid w:val="00733CD6"/>
    <w:rsid w:val="007B1EFF"/>
    <w:rsid w:val="008366EF"/>
    <w:rsid w:val="00875D18"/>
    <w:rsid w:val="008E0109"/>
    <w:rsid w:val="00922013"/>
    <w:rsid w:val="00932AAD"/>
    <w:rsid w:val="00A17075"/>
    <w:rsid w:val="00A22BDC"/>
    <w:rsid w:val="00A766B2"/>
    <w:rsid w:val="00AC403B"/>
    <w:rsid w:val="00B0022D"/>
    <w:rsid w:val="00B061B8"/>
    <w:rsid w:val="00B116F3"/>
    <w:rsid w:val="00BD1DA2"/>
    <w:rsid w:val="00D062FB"/>
    <w:rsid w:val="00D15B29"/>
    <w:rsid w:val="00D412FC"/>
    <w:rsid w:val="00DF38AF"/>
    <w:rsid w:val="00E16858"/>
    <w:rsid w:val="00E64C34"/>
    <w:rsid w:val="00FB0E5C"/>
    <w:rsid w:val="00FD17A5"/>
    <w:rsid w:val="02B2213D"/>
    <w:rsid w:val="03403A68"/>
    <w:rsid w:val="039268A9"/>
    <w:rsid w:val="04663731"/>
    <w:rsid w:val="04E643D0"/>
    <w:rsid w:val="058F2960"/>
    <w:rsid w:val="0A1F4B23"/>
    <w:rsid w:val="0DE93979"/>
    <w:rsid w:val="0E5E0BCA"/>
    <w:rsid w:val="10C054E5"/>
    <w:rsid w:val="10F82212"/>
    <w:rsid w:val="118A513D"/>
    <w:rsid w:val="13C55C82"/>
    <w:rsid w:val="14803E2F"/>
    <w:rsid w:val="15BF1335"/>
    <w:rsid w:val="165716F3"/>
    <w:rsid w:val="16D0143A"/>
    <w:rsid w:val="174D49F6"/>
    <w:rsid w:val="17A3595B"/>
    <w:rsid w:val="19913482"/>
    <w:rsid w:val="1B137F4F"/>
    <w:rsid w:val="1BBB0703"/>
    <w:rsid w:val="1C1F12CA"/>
    <w:rsid w:val="1C7407DD"/>
    <w:rsid w:val="1F996DBA"/>
    <w:rsid w:val="20D90C6A"/>
    <w:rsid w:val="21B15145"/>
    <w:rsid w:val="21DA16E3"/>
    <w:rsid w:val="22886A15"/>
    <w:rsid w:val="23B019E6"/>
    <w:rsid w:val="2BC37AC7"/>
    <w:rsid w:val="2DB71F47"/>
    <w:rsid w:val="2E3A195C"/>
    <w:rsid w:val="2E86524D"/>
    <w:rsid w:val="30702229"/>
    <w:rsid w:val="32B9693A"/>
    <w:rsid w:val="34F97143"/>
    <w:rsid w:val="352D33C8"/>
    <w:rsid w:val="35EB67D0"/>
    <w:rsid w:val="363A60B5"/>
    <w:rsid w:val="36491ECB"/>
    <w:rsid w:val="36B7778F"/>
    <w:rsid w:val="3B900624"/>
    <w:rsid w:val="3BC061DD"/>
    <w:rsid w:val="4077624A"/>
    <w:rsid w:val="40E10E43"/>
    <w:rsid w:val="41015C74"/>
    <w:rsid w:val="42380450"/>
    <w:rsid w:val="42792DA5"/>
    <w:rsid w:val="431B2E10"/>
    <w:rsid w:val="45172894"/>
    <w:rsid w:val="462D38C8"/>
    <w:rsid w:val="49C425F3"/>
    <w:rsid w:val="4A870A82"/>
    <w:rsid w:val="4B0035A1"/>
    <w:rsid w:val="4BB72703"/>
    <w:rsid w:val="4BC6538E"/>
    <w:rsid w:val="4BF27DDC"/>
    <w:rsid w:val="4BF31503"/>
    <w:rsid w:val="4C257CD8"/>
    <w:rsid w:val="4C416156"/>
    <w:rsid w:val="4F6400E3"/>
    <w:rsid w:val="513B13C3"/>
    <w:rsid w:val="523F7EF3"/>
    <w:rsid w:val="53623D58"/>
    <w:rsid w:val="55A20A92"/>
    <w:rsid w:val="585761FC"/>
    <w:rsid w:val="5A367C20"/>
    <w:rsid w:val="5C3A47FE"/>
    <w:rsid w:val="5D3D5ECF"/>
    <w:rsid w:val="5D7B6374"/>
    <w:rsid w:val="5EDA7F59"/>
    <w:rsid w:val="600E49D6"/>
    <w:rsid w:val="60DE169E"/>
    <w:rsid w:val="61447E20"/>
    <w:rsid w:val="64120301"/>
    <w:rsid w:val="641232DC"/>
    <w:rsid w:val="646E1E7D"/>
    <w:rsid w:val="660C5642"/>
    <w:rsid w:val="663672D5"/>
    <w:rsid w:val="67290F07"/>
    <w:rsid w:val="68621252"/>
    <w:rsid w:val="68E95B18"/>
    <w:rsid w:val="6BEB322B"/>
    <w:rsid w:val="6D1D3E51"/>
    <w:rsid w:val="6D8D4943"/>
    <w:rsid w:val="6EC16FB1"/>
    <w:rsid w:val="6F194109"/>
    <w:rsid w:val="6FC5117A"/>
    <w:rsid w:val="71481C0E"/>
    <w:rsid w:val="72A06CDF"/>
    <w:rsid w:val="75DC0227"/>
    <w:rsid w:val="75E974FC"/>
    <w:rsid w:val="7664734F"/>
    <w:rsid w:val="76B67F48"/>
    <w:rsid w:val="77893FFC"/>
    <w:rsid w:val="790D3C36"/>
    <w:rsid w:val="79B34C64"/>
    <w:rsid w:val="7A0B5523"/>
    <w:rsid w:val="7AAB53CE"/>
    <w:rsid w:val="7B971C86"/>
    <w:rsid w:val="7BA11267"/>
    <w:rsid w:val="7BA766DB"/>
    <w:rsid w:val="7BEB4937"/>
    <w:rsid w:val="7CEE321C"/>
    <w:rsid w:val="7E5C266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overflowPunct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qFormat/>
    <w:uiPriority w:val="99"/>
    <w:pPr>
      <w:keepNext/>
      <w:keepLines/>
      <w:spacing w:before="340" w:after="330" w:line="578" w:lineRule="auto"/>
      <w:outlineLvl w:val="0"/>
    </w:pPr>
    <w:rPr>
      <w:b/>
      <w:bCs/>
      <w:kern w:val="44"/>
      <w:sz w:val="44"/>
      <w:szCs w:val="44"/>
    </w:rPr>
  </w:style>
  <w:style w:type="paragraph" w:styleId="3">
    <w:name w:val="heading 3"/>
    <w:basedOn w:val="1"/>
    <w:next w:val="1"/>
    <w:unhideWhenUsed/>
    <w:qFormat/>
    <w:uiPriority w:val="0"/>
    <w:pPr>
      <w:keepNext/>
      <w:keepLines/>
      <w:spacing w:line="413" w:lineRule="auto"/>
      <w:outlineLvl w:val="2"/>
    </w:pPr>
    <w:rPr>
      <w:b/>
      <w:sz w:val="32"/>
    </w:rPr>
  </w:style>
  <w:style w:type="paragraph" w:styleId="4">
    <w:name w:val="heading 4"/>
    <w:basedOn w:val="1"/>
    <w:next w:val="1"/>
    <w:qFormat/>
    <w:uiPriority w:val="0"/>
    <w:pPr>
      <w:keepNext/>
      <w:spacing w:before="60" w:after="60"/>
      <w:outlineLvl w:val="3"/>
    </w:pPr>
    <w:rPr>
      <w:rFonts w:ascii="Arial" w:hAnsi="Arial" w:eastAsia="文鼎特粗宋" w:cs="Arial"/>
      <w:b/>
      <w:bCs/>
      <w:iCs/>
      <w:smallCaps/>
      <w:color w:val="4D4D4D"/>
      <w:sz w:val="30"/>
    </w:rPr>
  </w:style>
  <w:style w:type="paragraph" w:styleId="5">
    <w:name w:val="heading 5"/>
    <w:basedOn w:val="1"/>
    <w:next w:val="1"/>
    <w:unhideWhenUsed/>
    <w:qFormat/>
    <w:uiPriority w:val="0"/>
    <w:pPr>
      <w:keepNext/>
      <w:keepLines/>
      <w:spacing w:line="372" w:lineRule="auto"/>
      <w:outlineLvl w:val="4"/>
    </w:pPr>
    <w:rPr>
      <w:b/>
      <w:sz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6">
    <w:name w:val="Document Map"/>
    <w:basedOn w:val="1"/>
    <w:semiHidden/>
    <w:qFormat/>
    <w:uiPriority w:val="0"/>
    <w:pPr>
      <w:shd w:val="clear" w:color="auto" w:fill="000080"/>
    </w:pPr>
  </w:style>
  <w:style w:type="paragraph" w:styleId="7">
    <w:name w:val="Body Text"/>
    <w:basedOn w:val="1"/>
    <w:link w:val="28"/>
    <w:qFormat/>
    <w:uiPriority w:val="1"/>
    <w:pPr>
      <w:overflowPunct/>
      <w:autoSpaceDE w:val="0"/>
      <w:autoSpaceDN w:val="0"/>
      <w:spacing w:before="32"/>
      <w:ind w:left="543"/>
      <w:jc w:val="left"/>
    </w:pPr>
    <w:rPr>
      <w:rFonts w:ascii="仿宋" w:hAnsi="仿宋" w:eastAsia="仿宋" w:cs="仿宋"/>
      <w:kern w:val="0"/>
      <w:sz w:val="32"/>
      <w:szCs w:val="32"/>
      <w:lang w:val="zh-CN" w:bidi="zh-CN"/>
    </w:rPr>
  </w:style>
  <w:style w:type="paragraph" w:styleId="8">
    <w:name w:val="Body Text Indent"/>
    <w:basedOn w:val="1"/>
    <w:qFormat/>
    <w:uiPriority w:val="0"/>
    <w:pPr>
      <w:ind w:left="720"/>
    </w:pPr>
    <w:rPr>
      <w:sz w:val="28"/>
    </w:rPr>
  </w:style>
  <w:style w:type="paragraph" w:styleId="9">
    <w:name w:val="Plain Text"/>
    <w:basedOn w:val="1"/>
    <w:link w:val="25"/>
    <w:qFormat/>
    <w:uiPriority w:val="0"/>
    <w:rPr>
      <w:rFonts w:ascii="宋体" w:hAnsi="Courier New" w:cs="Courier New"/>
    </w:rPr>
  </w:style>
  <w:style w:type="paragraph" w:styleId="10">
    <w:name w:val="Balloon Text"/>
    <w:basedOn w:val="1"/>
    <w:link w:val="27"/>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14">
    <w:name w:val="Normal (Web)"/>
    <w:basedOn w:val="1"/>
    <w:qFormat/>
    <w:uiPriority w:val="99"/>
    <w:pPr>
      <w:spacing w:beforeAutospacing="1" w:afterAutospacing="1"/>
      <w:jc w:val="left"/>
    </w:pPr>
    <w:rPr>
      <w:kern w:val="0"/>
      <w:sz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basedOn w:val="17"/>
    <w:qFormat/>
    <w:uiPriority w:val="0"/>
    <w:rPr>
      <w:b/>
      <w:bCs/>
    </w:rPr>
  </w:style>
  <w:style w:type="character" w:styleId="19">
    <w:name w:val="Emphasis"/>
    <w:qFormat/>
    <w:uiPriority w:val="0"/>
    <w:rPr>
      <w:rFonts w:cs="Times New Roman"/>
      <w:i/>
      <w:iCs/>
    </w:rPr>
  </w:style>
  <w:style w:type="character" w:styleId="20">
    <w:name w:val="Hyperlink"/>
    <w:basedOn w:val="17"/>
    <w:unhideWhenUsed/>
    <w:qFormat/>
    <w:uiPriority w:val="99"/>
    <w:rPr>
      <w:color w:val="0000FF"/>
      <w:u w:val="single"/>
    </w:rPr>
  </w:style>
  <w:style w:type="character" w:customStyle="1" w:styleId="21">
    <w:name w:val="15"/>
    <w:basedOn w:val="17"/>
    <w:qFormat/>
    <w:uiPriority w:val="0"/>
    <w:rPr>
      <w:b/>
      <w:bCs/>
    </w:rPr>
  </w:style>
  <w:style w:type="paragraph" w:styleId="22">
    <w:name w:val="List Paragraph"/>
    <w:basedOn w:val="1"/>
    <w:qFormat/>
    <w:uiPriority w:val="34"/>
    <w:pPr>
      <w:widowControl/>
      <w:ind w:firstLine="420" w:firstLineChars="200"/>
      <w:jc w:val="left"/>
    </w:pPr>
    <w:rPr>
      <w:rFonts w:ascii="宋体" w:hAnsi="宋体" w:cs="宋体"/>
      <w:kern w:val="0"/>
      <w:sz w:val="24"/>
      <w:szCs w:val="24"/>
    </w:rPr>
  </w:style>
  <w:style w:type="paragraph" w:customStyle="1" w:styleId="23">
    <w:name w:val="樣式1"/>
    <w:basedOn w:val="1"/>
    <w:next w:val="1"/>
    <w:qFormat/>
    <w:uiPriority w:val="0"/>
    <w:pPr>
      <w:adjustRightInd w:val="0"/>
      <w:spacing w:line="600" w:lineRule="atLeast"/>
      <w:jc w:val="left"/>
      <w:textAlignment w:val="baseline"/>
    </w:pPr>
    <w:rPr>
      <w:rFonts w:ascii="華康楷書體W3" w:eastAsia="華康楷書體W3"/>
      <w:b/>
      <w:kern w:val="0"/>
      <w:sz w:val="36"/>
      <w:szCs w:val="20"/>
      <w:lang w:eastAsia="zh-TW"/>
    </w:rPr>
  </w:style>
  <w:style w:type="paragraph" w:customStyle="1" w:styleId="24">
    <w:name w:val="p0"/>
    <w:basedOn w:val="1"/>
    <w:qFormat/>
    <w:uiPriority w:val="0"/>
    <w:pPr>
      <w:widowControl/>
    </w:pPr>
    <w:rPr>
      <w:rFonts w:hint="eastAsia"/>
      <w:szCs w:val="24"/>
    </w:rPr>
  </w:style>
  <w:style w:type="character" w:customStyle="1" w:styleId="25">
    <w:name w:val="纯文本 Char"/>
    <w:basedOn w:val="17"/>
    <w:link w:val="9"/>
    <w:qFormat/>
    <w:uiPriority w:val="0"/>
    <w:rPr>
      <w:rFonts w:ascii="宋体" w:hAnsi="Courier New" w:cs="Courier New"/>
      <w:kern w:val="2"/>
      <w:sz w:val="21"/>
      <w:szCs w:val="21"/>
    </w:rPr>
  </w:style>
  <w:style w:type="paragraph" w:customStyle="1" w:styleId="26">
    <w:name w:val="_Style 16"/>
    <w:basedOn w:val="1"/>
    <w:next w:val="22"/>
    <w:qFormat/>
    <w:uiPriority w:val="34"/>
    <w:pPr>
      <w:widowControl/>
      <w:ind w:firstLine="420" w:firstLineChars="200"/>
      <w:jc w:val="left"/>
    </w:pPr>
    <w:rPr>
      <w:rFonts w:ascii="宋体" w:hAnsi="宋体" w:cs="宋体"/>
      <w:kern w:val="0"/>
      <w:sz w:val="24"/>
      <w:szCs w:val="24"/>
    </w:rPr>
  </w:style>
  <w:style w:type="character" w:customStyle="1" w:styleId="27">
    <w:name w:val="批注框文本 Char"/>
    <w:basedOn w:val="17"/>
    <w:link w:val="10"/>
    <w:qFormat/>
    <w:uiPriority w:val="0"/>
    <w:rPr>
      <w:kern w:val="2"/>
      <w:sz w:val="18"/>
      <w:szCs w:val="18"/>
    </w:rPr>
  </w:style>
  <w:style w:type="character" w:customStyle="1" w:styleId="28">
    <w:name w:val="正文文本 Char"/>
    <w:basedOn w:val="17"/>
    <w:link w:val="7"/>
    <w:qFormat/>
    <w:uiPriority w:val="1"/>
    <w:rPr>
      <w:rFonts w:ascii="仿宋" w:hAnsi="仿宋" w:eastAsia="仿宋" w:cs="仿宋"/>
      <w:sz w:val="32"/>
      <w:szCs w:val="32"/>
      <w:lang w:val="zh-CN" w:bidi="zh-CN"/>
    </w:rPr>
  </w:style>
  <w:style w:type="paragraph" w:customStyle="1" w:styleId="29">
    <w:name w:val="Heading 1"/>
    <w:basedOn w:val="1"/>
    <w:qFormat/>
    <w:uiPriority w:val="1"/>
    <w:pPr>
      <w:overflowPunct/>
      <w:autoSpaceDE w:val="0"/>
      <w:autoSpaceDN w:val="0"/>
      <w:ind w:left="120"/>
      <w:jc w:val="left"/>
      <w:outlineLvl w:val="1"/>
    </w:pPr>
    <w:rPr>
      <w:rFonts w:ascii="仿宋" w:hAnsi="仿宋" w:eastAsia="仿宋" w:cs="仿宋"/>
      <w:b/>
      <w:bCs/>
      <w:kern w:val="0"/>
      <w:sz w:val="32"/>
      <w:szCs w:val="32"/>
      <w:lang w:val="zh-CN" w:bidi="zh-CN"/>
    </w:rPr>
  </w:style>
  <w:style w:type="paragraph" w:customStyle="1" w:styleId="30">
    <w:name w:val="小标题"/>
    <w:next w:val="31"/>
    <w:qFormat/>
    <w:uiPriority w:val="0"/>
    <w:pPr>
      <w:keepNext/>
      <w:framePr w:wrap="around" w:vAnchor="margin" w:hAnchor="text" w:y="1"/>
      <w:spacing w:line="360" w:lineRule="auto"/>
      <w:outlineLvl w:val="1"/>
    </w:pPr>
    <w:rPr>
      <w:rFonts w:ascii="Helvetica" w:hAnsi="Helvetica" w:eastAsia="Helvetica" w:cs="Helvetica"/>
      <w:color w:val="5C1831"/>
      <w:sz w:val="28"/>
      <w:szCs w:val="28"/>
      <w:lang w:val="en-US" w:eastAsia="zh-CN" w:bidi="ar-SA"/>
    </w:rPr>
  </w:style>
  <w:style w:type="paragraph" w:customStyle="1" w:styleId="31">
    <w:name w:val="正文1"/>
    <w:qFormat/>
    <w:uiPriority w:val="0"/>
    <w:pPr>
      <w:framePr w:wrap="around" w:vAnchor="margin" w:hAnchor="text" w:y="1"/>
      <w:spacing w:line="360" w:lineRule="auto"/>
      <w:ind w:firstLine="454"/>
    </w:pPr>
    <w:rPr>
      <w:rFonts w:ascii="Helvetica" w:hAnsi="Helvetica" w:eastAsia="Helvetica" w:cs="Helvetica"/>
      <w:color w:val="424242"/>
      <w:sz w:val="24"/>
      <w:szCs w:val="24"/>
      <w:lang w:val="en-US" w:eastAsia="zh-CN" w:bidi="ar-SA"/>
    </w:rPr>
  </w:style>
  <w:style w:type="paragraph" w:customStyle="1" w:styleId="32">
    <w:name w:val="默认"/>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 w:type="paragraph" w:customStyle="1" w:styleId="33">
    <w:name w:val="小标题 2"/>
    <w:next w:val="31"/>
    <w:qFormat/>
    <w:uiPriority w:val="0"/>
    <w:pPr>
      <w:keepNext/>
      <w:framePr w:wrap="around" w:vAnchor="margin" w:hAnchor="text" w:y="1"/>
      <w:outlineLvl w:val="1"/>
    </w:pPr>
    <w:rPr>
      <w:rFonts w:hint="eastAsia" w:ascii="Arial Unicode MS" w:hAnsi="Arial Unicode MS" w:eastAsia="Helvetica Neue" w:cs="Arial Unicode MS"/>
      <w:b/>
      <w:bCs/>
      <w:color w:val="000000"/>
      <w:sz w:val="32"/>
      <w:szCs w:val="32"/>
      <w:lang w:val="zh-CN" w:eastAsia="zh-CN" w:bidi="ar-SA"/>
    </w:rPr>
  </w:style>
  <w:style w:type="paragraph" w:customStyle="1" w:styleId="34">
    <w:name w:val="课程背景"/>
    <w:basedOn w:val="1"/>
    <w:qFormat/>
    <w:uiPriority w:val="0"/>
    <w:pPr>
      <w:tabs>
        <w:tab w:val="left" w:pos="360"/>
      </w:tabs>
      <w:spacing w:line="300" w:lineRule="exact"/>
      <w:ind w:left="340" w:hanging="340"/>
      <w:jc w:val="left"/>
    </w:pPr>
    <w:rPr>
      <w:szCs w:val="20"/>
    </w:rPr>
  </w:style>
  <w:style w:type="paragraph" w:customStyle="1" w:styleId="35">
    <w:name w:val="正文楷体"/>
    <w:basedOn w:val="1"/>
    <w:qFormat/>
    <w:uiPriority w:val="0"/>
    <w:pPr>
      <w:spacing w:line="300" w:lineRule="auto"/>
    </w:pPr>
  </w:style>
  <w:style w:type="paragraph" w:customStyle="1" w:styleId="36">
    <w:name w:val="Bullet Level 2"/>
    <w:qFormat/>
    <w:uiPriority w:val="0"/>
    <w:pPr>
      <w:numPr>
        <w:ilvl w:val="1"/>
        <w:numId w:val="1"/>
      </w:numPr>
      <w:spacing w:before="60" w:after="60"/>
    </w:pPr>
    <w:rPr>
      <w:rFonts w:ascii="Calibri" w:hAnsi="Calibri" w:eastAsia="楷体_GB2312" w:cs="Times New Roman"/>
      <w:sz w:val="24"/>
      <w:lang w:val="en-US" w:eastAsia="zh-CN" w:bidi="ar-SA"/>
    </w:rPr>
  </w:style>
  <w:style w:type="character" w:customStyle="1" w:styleId="37">
    <w:name w:val="l151"/>
    <w:basedOn w:val="17"/>
    <w:qFormat/>
    <w:uiPriority w:val="0"/>
    <w:rPr>
      <w:color w:val="000000"/>
      <w:sz w:val="21"/>
      <w:szCs w:val="21"/>
    </w:rPr>
  </w:style>
  <w:style w:type="character" w:customStyle="1" w:styleId="38">
    <w:name w:val="9p1"/>
    <w:basedOn w:val="17"/>
    <w:qFormat/>
    <w:uiPriority w:val="0"/>
    <w:rPr>
      <w:sz w:val="18"/>
      <w:szCs w:val="18"/>
    </w:rPr>
  </w:style>
  <w:style w:type="table" w:customStyle="1" w:styleId="39">
    <w:name w:val="Table"/>
    <w:basedOn w:val="16"/>
    <w:qFormat/>
    <w:uiPriority w:val="0"/>
    <w:pPr>
      <w:snapToGrid w:val="0"/>
      <w:jc w:val="lef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rPr>
      <w:cantSplit/>
    </w:trPr>
    <w:tcPr>
      <w:vAlign w:val="center"/>
    </w:tcPr>
    <w:tblStylePr w:type="firstRow">
      <w:pPr>
        <w:wordWrap/>
        <w:ind w:left="0" w:leftChars="0"/>
      </w:pPr>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D9D9D9"/>
      </w:tcPr>
    </w:tblStylePr>
  </w:style>
  <w:style w:type="paragraph" w:customStyle="1" w:styleId="40">
    <w:name w:val="6 Char"/>
    <w:basedOn w:val="6"/>
    <w:qFormat/>
    <w:uiPriority w:val="0"/>
    <w:pPr>
      <w:adjustRightInd w:val="0"/>
      <w:spacing w:line="436" w:lineRule="exact"/>
      <w:ind w:left="357"/>
      <w:jc w:val="left"/>
      <w:outlineLvl w:val="3"/>
    </w:pPr>
    <w:rPr>
      <w:rFonts w:ascii="Tahoma" w:hAnsi="Tahoma"/>
      <w:b/>
      <w:sz w:val="24"/>
    </w:rPr>
  </w:style>
  <w:style w:type="character" w:customStyle="1" w:styleId="41">
    <w:name w:val="st08081901"/>
    <w:basedOn w:val="17"/>
    <w:qFormat/>
    <w:uiPriority w:val="0"/>
  </w:style>
  <w:style w:type="character" w:customStyle="1" w:styleId="42">
    <w:name w:val="st08081902"/>
    <w:basedOn w:val="17"/>
    <w:qFormat/>
    <w:uiPriority w:val="0"/>
  </w:style>
  <w:style w:type="character" w:customStyle="1" w:styleId="43">
    <w:name w:val="unnamed21"/>
    <w:basedOn w:val="17"/>
    <w:qFormat/>
    <w:uiPriority w:val="0"/>
    <w:rPr>
      <w:rFonts w:hint="default" w:ascii="ˎ̥" w:hAnsi="ˎ̥"/>
      <w:color w:val="333333"/>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7"/>
    <customShpInfo spid="_x0000_s3076"/>
    <customShpInfo spid="_x0000_s3075"/>
    <customShpInfo spid="_x0000_s3074"/>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5</Pages>
  <Words>2444</Words>
  <Characters>2558</Characters>
  <Lines>33</Lines>
  <Paragraphs>9</Paragraphs>
  <TotalTime>1</TotalTime>
  <ScaleCrop>false</ScaleCrop>
  <LinksUpToDate>false</LinksUpToDate>
  <CharactersWithSpaces>2604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2021-05-20T07:36:00Z</dcterms:created>
  <dc:creator>Cindy</dc:creator>
  <cp:lastModifiedBy>Administrator</cp:lastModifiedBy>
  <dcterms:modified xsi:type="dcterms:W3CDTF">2023-04-07T01:56:47Z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2F443610F068485F9D6736CF0696C988</vt:lpwstr>
  </property>
</Properties>
</file>