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41" w:firstLineChars="700"/>
        <w:rPr>
          <w:rFonts w:hint="default" w:ascii="微软雅黑" w:hAnsi="微软雅黑" w:eastAsia="微软雅黑"/>
          <w:b/>
          <w:color w:val="auto"/>
          <w:sz w:val="32"/>
          <w:szCs w:val="24"/>
          <w:shd w:val="clear" w:color="auto" w:fill="FFFFFF"/>
        </w:rPr>
      </w:pPr>
      <w:r>
        <w:rPr>
          <w:rFonts w:hint="default" w:ascii="微软雅黑" w:hAnsi="微软雅黑" w:eastAsia="微软雅黑"/>
          <w:b/>
          <w:color w:val="auto"/>
          <w:sz w:val="32"/>
          <w:szCs w:val="24"/>
          <w:shd w:val="clear" w:color="auto" w:fill="FFFFFF"/>
        </w:rPr>
        <w:t>沟通密钥™（职场关键场景沟通策略）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课程费用：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1800</w:t>
      </w:r>
      <w:r>
        <w:rPr>
          <w:rFonts w:hint="eastAsia" w:ascii="宋体" w:hAnsi="宋体" w:eastAsia="宋体" w:cs="宋体"/>
          <w:sz w:val="21"/>
          <w:szCs w:val="21"/>
        </w:rPr>
        <w:t>元/人（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包含</w:t>
      </w:r>
      <w:r>
        <w:rPr>
          <w:rFonts w:hint="eastAsia" w:ascii="宋体" w:hAnsi="宋体" w:eastAsia="宋体" w:cs="宋体"/>
          <w:sz w:val="21"/>
          <w:szCs w:val="21"/>
        </w:rPr>
        <w:t>课程资料、学习费、茶歇等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，不含午餐及住宿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举办单位：深圳市中企智汇企业管理咨询有限公司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课程地点：深圳</w:t>
      </w:r>
    </w:p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课程时间：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8月25日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default"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b/>
          <w:color w:val="1F4E79"/>
          <w:sz w:val="24"/>
          <w:szCs w:val="24"/>
        </w:rPr>
        <w:t>课程背景：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为什么你说是一个样，别人做出来是另外一个样？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为什么一件事情由一个部门主导却没人配合？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为什么很多简单的事情月月教、天天做，就是做不好、还是犯同样的错误呢？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“企业管理过去是沟通，现在是沟通，未来还是沟通”——松下幸之助。员工所需的最重要的三项技能依次为：沟通能力、管理能力和团队合作能力。研究表明，管理者会把70%的时间用在沟通上，一个团队70%以上的误会都来自于沟通的问题，随着现代化社会职业分工专业化和精细化程度的加强，人与人之间的交流合作日益密切，只有不断提高自己与人沟通的能力，我们才能更好地进行自己的工作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本课程不仅仅讲授技巧、流程、工具，让学员在领会沟通的底层逻辑的基础上练习再练习，不仅仅是课后用，在课堂上就开始运用。跌宕起伏的课程剧情发展，生动活泼的角色人物形象，润物无声的教学内容转化，既能联系实际，让学员学起来轻松，又能拓展思维，打开视野，让学员学后即用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b/>
          <w:color w:val="1F4E79"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  <w:lang w:eastAsia="zh-CN"/>
        </w:rPr>
        <w:t>收益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情景教学，代入感强。19个情景还原管理者在工作现场遇到的挑战和沟通难题，让学员以主角的形象出现在课堂，如置身真实的工作场景中。将知识点融入到决策中去，通过一个个情景的模拟，边解决问题边训练，提升沟通能力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2、主题+互动+案例+工具+练习，强化学习效果，实用性强。课程中提供众多实用工具用以解决实际问题，直接拿来用，并结合练习加深印象，所学即所得。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3、360°沟通训练。课程包含对上、对下、对内、对外的常见沟通场景模拟，能力提升更全面。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ind w:firstLine="480" w:firstLineChars="200"/>
        <w:jc w:val="both"/>
        <w:rPr>
          <w:rFonts w:hint="default"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Arial Unicode MS"/>
          <w:b/>
          <w:color w:val="1F4E79"/>
          <w:lang w:val="zh-CN" w:eastAsia="zh-CN"/>
        </w:rPr>
      </w:pPr>
      <w:r>
        <w:rPr>
          <w:rFonts w:ascii="微软雅黑" w:hAnsi="微软雅黑" w:eastAsia="微软雅黑" w:cs="Arial Unicode MS"/>
          <w:b/>
          <w:color w:val="1F4E79"/>
          <w:lang w:val="zh-CN" w:eastAsia="zh-CN"/>
        </w:rPr>
        <w:t>授课方式：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val="zh-CN" w:eastAsia="zh-CN"/>
        </w:rPr>
      </w:pPr>
      <w:r>
        <w:rPr>
          <w:rFonts w:hint="eastAsia" w:ascii="微软雅黑" w:hAnsi="微软雅黑" w:eastAsia="微软雅黑" w:cs="微软雅黑"/>
          <w:kern w:val="2"/>
          <w:lang w:val="zh-CN" w:eastAsia="zh-CN"/>
        </w:rPr>
        <w:t>20%情景研讨+50%知识点讲解+30%现场练习+教学案例+视频解析+教学游戏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Arial Unicode MS"/>
          <w:b/>
          <w:color w:val="1F4E79"/>
          <w:lang w:val="zh-CN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Arial Unicode MS"/>
          <w:b/>
          <w:color w:val="1F4E79"/>
          <w:lang w:val="zh-CN" w:eastAsia="zh-CN"/>
        </w:rPr>
      </w:pPr>
      <w:r>
        <w:rPr>
          <w:rFonts w:ascii="微软雅黑" w:hAnsi="微软雅黑" w:eastAsia="微软雅黑" w:cs="Arial Unicode MS"/>
          <w:b/>
          <w:color w:val="1F4E79"/>
          <w:lang w:val="zh-CN" w:eastAsia="zh-CN"/>
        </w:rPr>
        <w:t>课程对象：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val="zh-CN" w:eastAsia="zh-CN"/>
        </w:rPr>
      </w:pPr>
      <w:r>
        <w:rPr>
          <w:rFonts w:hint="eastAsia" w:ascii="微软雅黑" w:hAnsi="微软雅黑" w:eastAsia="微软雅黑" w:cs="微软雅黑"/>
          <w:kern w:val="2"/>
          <w:lang w:val="zh-CN" w:eastAsia="zh-CN"/>
        </w:rPr>
        <w:t>职场中需要提升沟通能力的人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center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b/>
          <w:color w:val="1F4E79"/>
          <w:sz w:val="24"/>
          <w:szCs w:val="24"/>
        </w:rPr>
        <w:t>课程大纲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导论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1、沟通的四大障碍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2、沟通原理的模型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3、课程逻辑介绍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4、学习竞赛规则介绍和课堂公约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5、背景及人物关系介绍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模块一：汇报沟通，解开资源密码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情景1：工作成果被否定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1、接受指示3O法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2、练习#：正确接受领导给你的布置的工作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3、报计划，要资源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情景2：工作汇报陷入纠结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1、正常推进下，如何汇报进度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2、汇报有条理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3、练习#：老板，我们要涨价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情景3：可能开不了的会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1、面对问题的三类人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2、案例：跟着人民日报的文章标题学汇报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3、化危为机的CRISIS汇报法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4、练习#：直截了当地把问题汇报清楚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情景4：坚持还是放弃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1、案例：同频，才能共振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2、提建议四步法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3、提建议的注意事项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 xml:space="preserve">4、练习#：用提建议四步法建议领导增加招聘名额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情景5：尴尬的洽谈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1、孕妇效应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2、沟通中的不确定性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3、不要误导上级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模块二：洽谈沟通，解开合作密码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情景6：资源评价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1、尊重别人就是给自己铺路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2、供应商评估的维度和方法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3、案例：正式特殊情况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情景7：合作谈判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1、谈判的本质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2、视频：灵魂砍价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3、谈判沟通的开进关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4、练习#：谈判脚本演练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情景8：艰难的工作启动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1、异议处理的三种选择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2、案例：金特会面地点选择中的玄机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3、第三选择的沟通方法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情景9：工作迟迟没有进展的乙方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1、案例：D&amp;G辱华事件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2、工具：结构化情绪控制表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3、有效沟通的行为模式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4、练习#：逻辑聆听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情景10：前进还是停下的两难抉择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1、案例：国产手机哪家强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2、工具：复盘画布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3、逻辑讨论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4、高效复盘的沟通规则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模块三：协同沟通，解开效率密码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情景11：难搞的同事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1、协同管理的组织逻辑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2、视频：同样的场景，不同的结果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3、工具：同理心沟通的一二三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4、练习#：同理心表达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情景12：漏单事件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1、案例：麦当劳的胜经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2、流程创造与再造的方法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3、流程落地需要开关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4、工具：执行要素表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情景13：业绩风波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1、案例：投诉不一定是坏事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2、投诉背后想表达的是什么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3、投诉处理要做闭环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4、工具：倾听+提问，找到投诉根因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5、练习#：被投诉的生产部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情景14：风波后遗症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1、了解对方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2、案例：为什么没人救她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3、对等沟通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4、投其所好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情景15：评优难题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1、怎么做选择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2、案例：孙权的沟通艺术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3、如何推功揽过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模块四：指示沟通，解开成长密码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情景16：一次委屈的Bug修复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1、布置工作说五遍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2、练习#：用五遍把工作布置清楚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情景17：有社交恐惧症的下属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1、辅导的准则和公式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2、指导不同类型的员工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2、辅导如何做到一举两得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情景18：效率低下的夏达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1、案例：陶行知先生的四颗糖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2、表扬的正确示范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3、批评的三个层次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4、有效批评的过程示例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5、练习#：如何批评迟到的下属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eastAsia="zh-CN"/>
        </w:rPr>
        <w:t>情景19：被关注的总结报告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1、工作总结报告结构示例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hint="eastAsia"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2、工具：“行动-成果”梳理表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  <w:r>
        <w:rPr>
          <w:rFonts w:hint="eastAsia" w:ascii="微软雅黑" w:hAnsi="微软雅黑" w:eastAsia="微软雅黑" w:cs="微软雅黑"/>
          <w:kern w:val="2"/>
          <w:lang w:eastAsia="zh-CN"/>
        </w:rPr>
        <w:t>3、练习#：对本次2天的学习情况，给领导做一个总结汇报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both"/>
        <w:rPr>
          <w:rFonts w:ascii="微软雅黑" w:hAnsi="微软雅黑" w:eastAsia="微软雅黑" w:cs="微软雅黑"/>
          <w:kern w:val="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4391025</wp:posOffset>
            </wp:positionH>
            <wp:positionV relativeFrom="paragraph">
              <wp:posOffset>95885</wp:posOffset>
            </wp:positionV>
            <wp:extent cx="1714500" cy="2500630"/>
            <wp:effectExtent l="0" t="0" r="0" b="139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spacing w:line="480" w:lineRule="exact"/>
        <w:rPr>
          <w:rFonts w:hint="eastAsia" w:ascii="宋体" w:hAnsi="宋体" w:eastAsia="宋体" w:cs="微软雅黑"/>
          <w:b/>
          <w:bCs/>
          <w:sz w:val="32"/>
          <w:szCs w:val="32"/>
          <w:lang w:val="zh-TW" w:eastAsia="zh-TW"/>
        </w:rPr>
      </w:pPr>
      <w:r>
        <w:rPr>
          <w:rFonts w:hint="eastAsia" w:ascii="宋体" w:hAnsi="宋体" w:eastAsia="宋体" w:cs="微软雅黑"/>
          <w:b/>
          <w:bCs/>
          <w:sz w:val="32"/>
          <w:szCs w:val="32"/>
          <w:lang w:val="en-US" w:eastAsia="zh-CN"/>
        </w:rPr>
        <w:t>涂生旺</w:t>
      </w:r>
      <w:r>
        <w:rPr>
          <w:rFonts w:ascii="宋体" w:hAnsi="宋体" w:eastAsia="宋体" w:cs="微软雅黑"/>
          <w:b/>
          <w:bCs/>
          <w:sz w:val="32"/>
          <w:szCs w:val="32"/>
          <w:lang w:val="zh-TW" w:eastAsia="zh-TW"/>
        </w:rPr>
        <w:t xml:space="preserve">老师  </w:t>
      </w:r>
      <w:r>
        <w:rPr>
          <w:rFonts w:hint="eastAsia" w:ascii="宋体" w:hAnsi="宋体" w:eastAsia="宋体" w:cs="微软雅黑"/>
          <w:b/>
          <w:bCs/>
          <w:sz w:val="32"/>
          <w:szCs w:val="32"/>
          <w:lang w:val="zh-TW" w:eastAsia="zh-TW"/>
        </w:rPr>
        <w:t>党建、沟通管理、团队打造专家</w:t>
      </w:r>
      <w:bookmarkStart w:id="0" w:name="_GoBack"/>
      <w:bookmarkEnd w:id="0"/>
    </w:p>
    <w:p>
      <w:pPr>
        <w:pStyle w:val="11"/>
        <w:spacing w:line="48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 xml:space="preserve">四川大学工商管理硕士MBA </w:t>
      </w:r>
    </w:p>
    <w:p>
      <w:pPr>
        <w:pStyle w:val="11"/>
        <w:spacing w:line="48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中科院心理所应用心理学 研究生</w:t>
      </w:r>
    </w:p>
    <w:p>
      <w:pPr>
        <w:pStyle w:val="11"/>
        <w:spacing w:line="48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国家二级心理咨询师</w:t>
      </w:r>
    </w:p>
    <w:p>
      <w:pPr>
        <w:pStyle w:val="11"/>
        <w:spacing w:line="48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高级健康管理师</w:t>
      </w:r>
    </w:p>
    <w:p>
      <w:pPr>
        <w:pStyle w:val="11"/>
        <w:spacing w:line="48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RFP美国财务规划师</w:t>
      </w:r>
    </w:p>
    <w:p>
      <w:pPr>
        <w:pStyle w:val="11"/>
        <w:spacing w:line="48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最强大脑李威高效记忆法夏令营特聘讲师</w:t>
      </w:r>
    </w:p>
    <w:p>
      <w:pPr>
        <w:pStyle w:val="11"/>
        <w:spacing w:line="480" w:lineRule="exact"/>
        <w:rPr>
          <w:rFonts w:hint="eastAsia" w:ascii="宋体" w:hAnsi="宋体" w:eastAsia="宋体" w:cs="微软雅黑"/>
          <w:b/>
          <w:bCs/>
          <w:sz w:val="32"/>
          <w:szCs w:val="32"/>
          <w:lang w:val="zh-TW" w:eastAsia="zh-TW"/>
        </w:rPr>
      </w:pPr>
    </w:p>
    <w:p>
      <w:pPr>
        <w:pStyle w:val="11"/>
        <w:spacing w:line="480" w:lineRule="exact"/>
        <w:rPr>
          <w:rFonts w:hint="eastAsia" w:ascii="宋体" w:hAnsi="宋体" w:eastAsia="微软雅黑" w:cs="微软雅黑"/>
          <w:b/>
          <w:bCs/>
          <w:sz w:val="24"/>
          <w:szCs w:val="24"/>
          <w:lang w:val="zh-TW" w:eastAsia="zh-CN"/>
        </w:rPr>
      </w:pPr>
      <w:r>
        <w:rPr>
          <w:rFonts w:ascii="宋体" w:hAnsi="宋体" w:eastAsia="宋体" w:cs="微软雅黑"/>
          <w:b/>
          <w:bCs/>
          <w:sz w:val="24"/>
          <w:szCs w:val="24"/>
          <w:lang w:val="zh-TW" w:eastAsia="zh-TW"/>
        </w:rPr>
        <w:t>曾任：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大型央企、上市公司市场总监、HR总监、培训总监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spacing w:line="480" w:lineRule="exact"/>
        <w:rPr>
          <w:rFonts w:hint="eastAsia" w:ascii="宋体" w:hAnsi="宋体" w:eastAsia="微软雅黑" w:cs="微软雅黑"/>
          <w:sz w:val="24"/>
          <w:szCs w:val="24"/>
          <w:lang w:eastAsia="zh-CN"/>
        </w:rPr>
      </w:pPr>
      <w:r>
        <w:rPr>
          <w:rFonts w:ascii="宋体" w:hAnsi="宋体" w:eastAsia="宋体" w:cs="微软雅黑"/>
          <w:b/>
          <w:bCs/>
          <w:sz w:val="24"/>
          <w:szCs w:val="24"/>
          <w:lang w:val="zh-TW" w:eastAsia="zh-TW"/>
        </w:rPr>
        <w:t>曾任：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慈铭集团、香港康健集团，中国中信集团等上市集团公司中高层管理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，及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多家公司联合创始人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spacing w:line="480" w:lineRule="exact"/>
        <w:rPr>
          <w:rFonts w:hint="eastAsia" w:ascii="宋体" w:hAnsi="宋体" w:eastAsia="宋体" w:cs="微软雅黑"/>
          <w:b/>
          <w:sz w:val="24"/>
          <w:szCs w:val="24"/>
        </w:rPr>
      </w:pPr>
    </w:p>
    <w:p>
      <w:pPr>
        <w:pStyle w:val="11"/>
        <w:spacing w:line="480" w:lineRule="exact"/>
        <w:rPr>
          <w:rFonts w:hint="eastAsia" w:ascii="宋体" w:hAnsi="宋体" w:eastAsia="宋体" w:cs="微软雅黑"/>
          <w:sz w:val="24"/>
          <w:szCs w:val="24"/>
        </w:rPr>
      </w:pPr>
      <w:r>
        <w:rPr>
          <w:rFonts w:hint="eastAsia" w:ascii="宋体" w:hAnsi="宋体" w:eastAsia="宋体" w:cs="微软雅黑"/>
          <w:b/>
          <w:sz w:val="24"/>
          <w:szCs w:val="24"/>
        </w:rPr>
        <w:t>擅长领域：</w:t>
      </w:r>
    </w:p>
    <w:p>
      <w:pPr>
        <w:pStyle w:val="11"/>
        <w:spacing w:line="480" w:lineRule="exact"/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</w:pPr>
      <w:r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  <w:t>版权课程《沟通密钥TM—组织高效沟通》授权讲师</w:t>
      </w:r>
    </w:p>
    <w:p>
      <w:pPr>
        <w:pStyle w:val="11"/>
        <w:spacing w:line="480" w:lineRule="exact"/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</w:pPr>
      <w:r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  <w:t>版权课程《峥嵘TM—党史情景沙盘》授权讲师</w:t>
      </w:r>
    </w:p>
    <w:p>
      <w:pPr>
        <w:pStyle w:val="11"/>
        <w:spacing w:line="480" w:lineRule="exact"/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</w:pPr>
      <w:r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  <w:t>版权课程《砺炼TM—青年干部七种能力》授权讲师</w:t>
      </w:r>
    </w:p>
    <w:p>
      <w:pPr>
        <w:pStyle w:val="11"/>
        <w:spacing w:line="480" w:lineRule="exact"/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</w:pPr>
      <w:r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  <w:t>版权课程《峰火TM—党建情景沙盘》授权讲师</w:t>
      </w:r>
    </w:p>
    <w:p>
      <w:pPr>
        <w:pStyle w:val="11"/>
        <w:spacing w:line="480" w:lineRule="exact"/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</w:pPr>
    </w:p>
    <w:p>
      <w:pPr>
        <w:spacing w:before="156" w:line="460" w:lineRule="exact"/>
        <w:ind w:leftChars="-1" w:hanging="2"/>
        <w:rPr>
          <w:rFonts w:hint="eastAsia" w:ascii="宋体" w:hAnsi="宋体" w:eastAsia="PMingLiU" w:cs="微软雅黑"/>
          <w:b w:val="0"/>
          <w:bCs w:val="0"/>
          <w:sz w:val="24"/>
          <w:szCs w:val="24"/>
          <w:lang w:eastAsia="zh-TW"/>
        </w:rPr>
      </w:pPr>
      <w:r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培训经验 </w:t>
      </w:r>
      <w:r>
        <w:rPr>
          <w:rFonts w:cs="宋体" w:asciiTheme="minorEastAsia" w:hAnsiTheme="minorEastAsia" w:eastAsiaTheme="minorEastAsia"/>
          <w:color w:val="D19B21"/>
          <w:sz w:val="32"/>
          <w:szCs w:val="32"/>
        </w:rPr>
        <w:t>------------------------------------------</w:t>
      </w:r>
    </w:p>
    <w:p>
      <w:pPr>
        <w:spacing w:line="46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涂生旺老师有7年高校党群工作经验，党龄2</w:t>
      </w:r>
      <w:r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年，曾担任大型央企、上市公司市场总监、HR总监、培训总监、总栽助理等中高层管理工作，先后就职于慈铭集团、香港康健集团，中国中信集团等上市集团公司，多家公司联合创始人； </w:t>
      </w:r>
    </w:p>
    <w:p>
      <w:pPr>
        <w:spacing w:line="46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涂生旺老师有良好的国际视野，知识储备丰富、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沟通能力强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、擅长营造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团队沟通氛围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，运用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沟通方法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打通各级“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部门墙”，减少企业沟通成本、大大提升工作绩效！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曾参与多家大中型企业战略梳理、流程再造、HR流程再程等咨询项目，参与多家大型连锁企业内部培训系统的搭建、团队培训沟通会、团队执行力等全过程；</w:t>
      </w:r>
    </w:p>
    <w:p>
      <w:pPr>
        <w:widowControl w:val="0"/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bCs/>
          <w:color w:val="8869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886933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886933"/>
          <w:sz w:val="24"/>
          <w:szCs w:val="24"/>
        </w:rPr>
        <w:t>客户见证】</w:t>
      </w:r>
    </w:p>
    <w:p>
      <w:pPr>
        <w:widowControl w:val="0"/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央企国企：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中国中信集团、中信医疗集团、惠州协和医院、中国移动、中海油、中国电信、深圳燃气集团、华润集团、深圳水务集团</w:t>
      </w:r>
      <w:r>
        <w:rPr>
          <w:rFonts w:hint="eastAsia" w:ascii="微软雅黑" w:hAnsi="微软雅黑" w:eastAsia="微软雅黑"/>
          <w:bCs/>
          <w:sz w:val="24"/>
          <w:szCs w:val="24"/>
        </w:rPr>
        <w:t>、广州公交集团、移动科慧、广东凤铝铝业、广东移动、梧州供电局、惠州电网</w:t>
      </w:r>
    </w:p>
    <w:p>
      <w:pPr>
        <w:spacing w:line="460" w:lineRule="exact"/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金融机构：</w:t>
      </w:r>
      <w:r>
        <w:rPr>
          <w:rFonts w:hint="eastAsia" w:ascii="黑体" w:hAnsi="黑体" w:eastAsia="黑体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中信银行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中信信用卡中心</w:t>
      </w:r>
      <w:r>
        <w:rPr>
          <w:rFonts w:hint="eastAsia" w:ascii="宋体" w:hAnsi="宋体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招商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银行、深圳中国银行、富德生命人寿、恒大人寿、中国人寿、中国平安、大童保险</w:t>
      </w:r>
      <w:r>
        <w:rPr>
          <w:rFonts w:hint="eastAsia" w:ascii="微软雅黑" w:hAnsi="微软雅黑" w:eastAsia="微软雅黑"/>
          <w:bCs/>
          <w:sz w:val="24"/>
          <w:szCs w:val="24"/>
        </w:rPr>
        <w:t>、河南工商银行、宁波工商银行、江西工商银行、上海上证金融、广州农信社、深圳佰信集团</w:t>
      </w:r>
    </w:p>
    <w:p>
      <w:pPr>
        <w:spacing w:line="460" w:lineRule="exact"/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民营连锁企业：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香港康健集团、华大基因、深信服集团、埃彼穆勒物流集团、安踏集团广东分公司、慈铭集团、美年大健康集团</w:t>
      </w:r>
      <w:r>
        <w:rPr>
          <w:rFonts w:hint="eastAsia" w:ascii="微软雅黑" w:hAnsi="微软雅黑" w:eastAsia="微软雅黑"/>
          <w:bCs/>
          <w:sz w:val="24"/>
          <w:szCs w:val="24"/>
        </w:rPr>
        <w:t>、佛山小熊电器、深圳昂纳集团公司、厦门州信影像中心惠州敏华控股、广东洛贝电子科技有限公司、华阳电子、东莞捷邦实业......</w:t>
      </w:r>
    </w:p>
    <w:p>
      <w:pPr>
        <w:widowControl w:val="0"/>
        <w:autoSpaceDE w:val="0"/>
        <w:autoSpaceDN w:val="0"/>
        <w:adjustRightInd w:val="0"/>
        <w:spacing w:before="156" w:beforeLines="50" w:line="440" w:lineRule="exact"/>
        <w:ind w:firstLine="480" w:firstLineChars="200"/>
        <w:jc w:val="left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教育机构(公开课)：</w:t>
      </w:r>
      <w:r>
        <w:rPr>
          <w:rFonts w:hint="eastAsia" w:ascii="微软雅黑" w:hAnsi="微软雅黑" w:eastAsia="微软雅黑"/>
          <w:bCs/>
          <w:sz w:val="24"/>
          <w:szCs w:val="24"/>
        </w:rPr>
        <w:t>深圳博商领导力学院、深圳清华研究院、深圳先进技术院、广东智通职业培训学校、中旭集团、淮安高校、武汉锦秀梦华、红门文化、环球资源......</w:t>
      </w:r>
    </w:p>
    <w:p>
      <w:pPr>
        <w:widowControl w:val="0"/>
        <w:autoSpaceDE w:val="0"/>
        <w:autoSpaceDN w:val="0"/>
        <w:adjustRightInd w:val="0"/>
        <w:spacing w:before="156" w:beforeLines="50" w:line="440" w:lineRule="exact"/>
        <w:ind w:firstLine="480" w:firstLineChars="200"/>
        <w:jc w:val="left"/>
        <w:rPr>
          <w:rFonts w:hint="eastAsia" w:ascii="微软雅黑" w:hAnsi="微软雅黑" w:eastAsia="微软雅黑"/>
          <w:bCs/>
          <w:sz w:val="24"/>
          <w:szCs w:val="24"/>
        </w:rPr>
      </w:pPr>
    </w:p>
    <w:p>
      <w:pPr>
        <w:spacing w:before="156" w:line="460" w:lineRule="exact"/>
        <w:rPr>
          <w:rFonts w:ascii="微软雅黑" w:hAnsi="微软雅黑" w:eastAsia="微软雅黑" w:cs="微软雅黑"/>
          <w:b/>
          <w:sz w:val="22"/>
          <w:szCs w:val="22"/>
        </w:rPr>
      </w:pPr>
      <w:r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主讲课程 </w:t>
      </w:r>
      <w:r>
        <w:rPr>
          <w:rFonts w:cs="宋体" w:asciiTheme="minorEastAsia" w:hAnsiTheme="minorEastAsia" w:eastAsiaTheme="minorEastAsia"/>
          <w:color w:val="D19B21"/>
          <w:sz w:val="32"/>
          <w:szCs w:val="32"/>
        </w:rPr>
        <w:t>------------------------------------------</w:t>
      </w:r>
    </w:p>
    <w:p>
      <w:pPr>
        <w:spacing w:line="460" w:lineRule="exact"/>
        <w:ind w:leftChars="-1" w:hanging="2"/>
        <w:rPr>
          <w:rFonts w:ascii="微软雅黑" w:hAnsi="微软雅黑" w:eastAsia="微软雅黑" w:cs="微软雅黑"/>
          <w:b/>
          <w:color w:val="B08A4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B08A43"/>
          <w:sz w:val="24"/>
          <w:szCs w:val="24"/>
        </w:rPr>
        <w:t>版权课程《沟通密钥TM—组织高效沟通》授权讲师</w:t>
      </w:r>
    </w:p>
    <w:p>
      <w:pPr>
        <w:spacing w:line="460" w:lineRule="exact"/>
        <w:ind w:leftChars="-1" w:hanging="2"/>
        <w:rPr>
          <w:rFonts w:ascii="微软雅黑" w:hAnsi="微软雅黑" w:eastAsia="微软雅黑" w:cs="微软雅黑"/>
          <w:b/>
          <w:color w:val="B08A4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B08A43"/>
          <w:sz w:val="24"/>
          <w:szCs w:val="24"/>
        </w:rPr>
        <w:t>版权课程《峥嵘TM—党史情景沙盘》授权讲师</w:t>
      </w:r>
    </w:p>
    <w:p>
      <w:pPr>
        <w:spacing w:line="460" w:lineRule="exact"/>
        <w:ind w:leftChars="-1" w:hanging="2"/>
        <w:rPr>
          <w:rFonts w:ascii="微软雅黑" w:hAnsi="微软雅黑" w:eastAsia="微软雅黑" w:cs="微软雅黑"/>
          <w:b/>
          <w:color w:val="B08A4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B08A43"/>
          <w:sz w:val="24"/>
          <w:szCs w:val="24"/>
        </w:rPr>
        <w:t>版权课程《砺炼TM—青年干部七种能力》授权讲师</w:t>
      </w:r>
    </w:p>
    <w:p>
      <w:pPr>
        <w:spacing w:line="460" w:lineRule="exact"/>
        <w:ind w:leftChars="-1" w:hanging="2"/>
        <w:rPr>
          <w:rFonts w:ascii="微软雅黑" w:hAnsi="微软雅黑" w:eastAsia="微软雅黑" w:cs="微软雅黑"/>
          <w:b/>
          <w:color w:val="B08A4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B08A43"/>
          <w:sz w:val="24"/>
          <w:szCs w:val="24"/>
        </w:rPr>
        <w:t>版权课程《峰火TM—党建情景沙盘》授权讲师</w:t>
      </w:r>
    </w:p>
    <w:p>
      <w:pPr>
        <w:spacing w:line="460" w:lineRule="exact"/>
        <w:ind w:leftChars="-1" w:hanging="2"/>
        <w:rPr>
          <w:rFonts w:ascii="黑体" w:hAnsi="黑体" w:eastAsia="黑体" w:cs="黑体"/>
          <w:b/>
          <w:color w:val="D19B21"/>
          <w:sz w:val="32"/>
          <w:szCs w:val="32"/>
        </w:rPr>
      </w:pPr>
    </w:p>
    <w:p>
      <w:pPr>
        <w:spacing w:line="460" w:lineRule="exact"/>
        <w:ind w:leftChars="-1" w:hanging="2"/>
        <w:rPr>
          <w:rFonts w:ascii="黑体" w:hAnsi="黑体" w:eastAsia="黑体" w:cs="黑体"/>
          <w:b/>
          <w:color w:val="D19B21"/>
          <w:sz w:val="32"/>
          <w:szCs w:val="32"/>
        </w:rPr>
      </w:pPr>
      <w:r>
        <w:rPr>
          <w:rFonts w:ascii="黑体" w:hAnsi="黑体" w:eastAsia="黑体" w:cs="黑体"/>
          <w:b/>
          <w:color w:val="D19B21"/>
          <w:sz w:val="32"/>
          <w:szCs w:val="32"/>
        </w:rPr>
        <w:t>授课风格</w:t>
      </w:r>
      <w:r>
        <w:rPr>
          <w:rFonts w:hint="eastAsia" w:ascii="黑体" w:hAnsi="黑体" w:eastAsia="黑体" w:cs="黑体"/>
          <w:b/>
          <w:color w:val="D19B21"/>
          <w:sz w:val="32"/>
          <w:szCs w:val="32"/>
        </w:rPr>
        <w:t>及课堂展示</w:t>
      </w:r>
      <w:r>
        <w:rPr>
          <w:rFonts w:cs="宋体" w:asciiTheme="minorEastAsia" w:hAnsiTheme="minorEastAsia" w:eastAsiaTheme="minorEastAsia"/>
          <w:color w:val="D19B21"/>
          <w:sz w:val="32"/>
          <w:szCs w:val="32"/>
        </w:rPr>
        <w:t>---------------------------------------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互动性强：</w:t>
      </w:r>
      <w:r>
        <w:rPr>
          <w:rFonts w:hint="eastAsia" w:ascii="微软雅黑" w:hAnsi="微软雅黑" w:eastAsia="微软雅黑"/>
          <w:bCs/>
          <w:sz w:val="24"/>
          <w:szCs w:val="24"/>
        </w:rPr>
        <w:t>幽默风趣、极具亲和力，通过贯穿始终的“提问”式教学方法，全程引导学员思考、参与，再加以大量情景案例+视频+游戏+引导等情景式教学，激发学员自主学习的意愿。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落地性强：</w:t>
      </w:r>
      <w:r>
        <w:rPr>
          <w:rFonts w:hint="eastAsia" w:ascii="微软雅黑" w:hAnsi="微软雅黑" w:eastAsia="微软雅黑"/>
          <w:bCs/>
          <w:sz w:val="24"/>
          <w:szCs w:val="24"/>
        </w:rPr>
        <w:t xml:space="preserve">将生硬的理论知识结合工作实践进行技能传授，将专业经验与培训技巧高度结合，让学员们流连忘返； 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简单易学：</w:t>
      </w:r>
      <w:r>
        <w:rPr>
          <w:rFonts w:hint="eastAsia" w:ascii="微软雅黑" w:hAnsi="微软雅黑" w:eastAsia="微软雅黑"/>
          <w:bCs/>
          <w:sz w:val="24"/>
          <w:szCs w:val="24"/>
        </w:rPr>
        <w:t>复杂的问题简单化、简单的问题深入化，通过大量的情景案例，让学员进入情景去感知历史，进入情景去感情管理的精髓。让学员在轻松思考的环境中，理解知识体系，并进入应用的情境。</w:t>
      </w:r>
      <w:r>
        <w:rPr>
          <w:rFonts w:ascii="微软雅黑" w:hAnsi="微软雅黑" w:eastAsia="微软雅黑"/>
          <w:bCs/>
          <w:sz w:val="24"/>
          <w:szCs w:val="24"/>
        </w:rPr>
        <w:t xml:space="preserve"> </w:t>
      </w:r>
    </w:p>
    <w:p>
      <w:pPr>
        <w:pStyle w:val="11"/>
        <w:spacing w:line="480" w:lineRule="exact"/>
        <w:rPr>
          <w:rFonts w:hint="eastAsia" w:ascii="宋体" w:hAnsi="宋体" w:eastAsia="宋体" w:cs="微软雅黑"/>
          <w:b/>
          <w:bCs/>
          <w:sz w:val="24"/>
          <w:szCs w:val="24"/>
          <w:lang w:val="zh-TW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819"/>
        <w:tab w:val="right" w:pos="9638"/>
        <w:tab w:val="clear" w:pos="902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rPr>
        <w:lang w:val="zh-TW" w:eastAsia="zh-TW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3771265" cy="428625"/>
          <wp:effectExtent l="0" t="0" r="8255" b="133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2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YWVlZTk3NjZkY2JmZDU1NTg4YWNhMDMyYjNhNTMifQ=="/>
  </w:docVars>
  <w:rsids>
    <w:rsidRoot w:val="002C0156"/>
    <w:rsid w:val="00012200"/>
    <w:rsid w:val="000122D2"/>
    <w:rsid w:val="00043D26"/>
    <w:rsid w:val="00094EB1"/>
    <w:rsid w:val="000A5E76"/>
    <w:rsid w:val="000A680A"/>
    <w:rsid w:val="000D1665"/>
    <w:rsid w:val="000D63EE"/>
    <w:rsid w:val="000F079B"/>
    <w:rsid w:val="0010530B"/>
    <w:rsid w:val="00111395"/>
    <w:rsid w:val="001145CE"/>
    <w:rsid w:val="00134D09"/>
    <w:rsid w:val="0014019A"/>
    <w:rsid w:val="00155A99"/>
    <w:rsid w:val="00157C89"/>
    <w:rsid w:val="00182FFE"/>
    <w:rsid w:val="001B47D2"/>
    <w:rsid w:val="001D200E"/>
    <w:rsid w:val="001E021A"/>
    <w:rsid w:val="001E17A4"/>
    <w:rsid w:val="00247E21"/>
    <w:rsid w:val="00262BF2"/>
    <w:rsid w:val="002B1124"/>
    <w:rsid w:val="002B399F"/>
    <w:rsid w:val="002C0156"/>
    <w:rsid w:val="003533A3"/>
    <w:rsid w:val="00364A5F"/>
    <w:rsid w:val="00366AB2"/>
    <w:rsid w:val="003C3C25"/>
    <w:rsid w:val="003E3A8A"/>
    <w:rsid w:val="003E5280"/>
    <w:rsid w:val="003F5887"/>
    <w:rsid w:val="004374EC"/>
    <w:rsid w:val="00454202"/>
    <w:rsid w:val="00460E43"/>
    <w:rsid w:val="00471986"/>
    <w:rsid w:val="00472515"/>
    <w:rsid w:val="004A1471"/>
    <w:rsid w:val="004D037F"/>
    <w:rsid w:val="004D4BD8"/>
    <w:rsid w:val="004F7A36"/>
    <w:rsid w:val="00534B14"/>
    <w:rsid w:val="00580201"/>
    <w:rsid w:val="005966CA"/>
    <w:rsid w:val="005A15D4"/>
    <w:rsid w:val="0060461A"/>
    <w:rsid w:val="00605734"/>
    <w:rsid w:val="006065CB"/>
    <w:rsid w:val="00626CF0"/>
    <w:rsid w:val="00650D0B"/>
    <w:rsid w:val="00664820"/>
    <w:rsid w:val="006E0BF3"/>
    <w:rsid w:val="006F76D6"/>
    <w:rsid w:val="00710C0D"/>
    <w:rsid w:val="007305C9"/>
    <w:rsid w:val="00743333"/>
    <w:rsid w:val="007F2813"/>
    <w:rsid w:val="00831FCF"/>
    <w:rsid w:val="00840F98"/>
    <w:rsid w:val="00843ADD"/>
    <w:rsid w:val="0085384B"/>
    <w:rsid w:val="00893A63"/>
    <w:rsid w:val="00894128"/>
    <w:rsid w:val="008A18BB"/>
    <w:rsid w:val="008B079B"/>
    <w:rsid w:val="008F3965"/>
    <w:rsid w:val="00902E70"/>
    <w:rsid w:val="0091183E"/>
    <w:rsid w:val="009335E0"/>
    <w:rsid w:val="00941581"/>
    <w:rsid w:val="00962BC7"/>
    <w:rsid w:val="00965045"/>
    <w:rsid w:val="00985AD5"/>
    <w:rsid w:val="009A0512"/>
    <w:rsid w:val="009A3D19"/>
    <w:rsid w:val="009C0A80"/>
    <w:rsid w:val="009E6998"/>
    <w:rsid w:val="00A179CC"/>
    <w:rsid w:val="00A42372"/>
    <w:rsid w:val="00A6135C"/>
    <w:rsid w:val="00AD0306"/>
    <w:rsid w:val="00AD7210"/>
    <w:rsid w:val="00AF4FD4"/>
    <w:rsid w:val="00B16230"/>
    <w:rsid w:val="00B26C28"/>
    <w:rsid w:val="00B37DFE"/>
    <w:rsid w:val="00B553F9"/>
    <w:rsid w:val="00B60ABC"/>
    <w:rsid w:val="00B92261"/>
    <w:rsid w:val="00BA3FB8"/>
    <w:rsid w:val="00BA728E"/>
    <w:rsid w:val="00BB4E3A"/>
    <w:rsid w:val="00BB5B64"/>
    <w:rsid w:val="00BF1943"/>
    <w:rsid w:val="00BF20DE"/>
    <w:rsid w:val="00D73057"/>
    <w:rsid w:val="00DB54BB"/>
    <w:rsid w:val="00DD7A52"/>
    <w:rsid w:val="00E5037B"/>
    <w:rsid w:val="00E90BED"/>
    <w:rsid w:val="00EA414B"/>
    <w:rsid w:val="00EB1BAA"/>
    <w:rsid w:val="00EB428A"/>
    <w:rsid w:val="00EC4802"/>
    <w:rsid w:val="00EF5B69"/>
    <w:rsid w:val="00F56C42"/>
    <w:rsid w:val="00F64E3A"/>
    <w:rsid w:val="00F80FD3"/>
    <w:rsid w:val="00FA12D6"/>
    <w:rsid w:val="00FB1DFC"/>
    <w:rsid w:val="00FB1F9A"/>
    <w:rsid w:val="00FE309F"/>
    <w:rsid w:val="00FF6D34"/>
    <w:rsid w:val="091D2EC4"/>
    <w:rsid w:val="40D51D9F"/>
    <w:rsid w:val="6901564E"/>
    <w:rsid w:val="6D547678"/>
    <w:rsid w:val="74AE0BE6"/>
    <w:rsid w:val="79A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宋体" w:eastAsia="宋体"/>
      <w:sz w:val="18"/>
      <w:szCs w:val="18"/>
      <w:lang w:eastAsia="en-US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12">
    <w:name w:val="List Paragraph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BF76B3-0EF9-4639-974A-C3C197F196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3055</Words>
  <Characters>3240</Characters>
  <Lines>20</Lines>
  <Paragraphs>5</Paragraphs>
  <TotalTime>1</TotalTime>
  <ScaleCrop>false</ScaleCrop>
  <LinksUpToDate>false</LinksUpToDate>
  <CharactersWithSpaces>3250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2019-04-09T02:18:00Z</dcterms:created>
  <dc:creator>Administrator</dc:creator>
  <cp:lastModifiedBy>Administrator</cp:lastModifiedBy>
  <dcterms:modified xsi:type="dcterms:W3CDTF">2022-11-22T06:50:23Z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B445E13BE6EE4AC7B0AF9ABB0FD640C3</vt:lpwstr>
  </property>
</Properties>
</file>