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赢的智慧-双赢商务谈判策略与技巧</w:t>
      </w:r>
    </w:p>
    <w:p>
      <w:pPr>
        <w:spacing w:line="360" w:lineRule="auto"/>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课程费用：4</w:t>
      </w:r>
      <w:r>
        <w:rPr>
          <w:rFonts w:hint="eastAsia" w:asciiTheme="minorEastAsia" w:hAnsiTheme="minorEastAsia" w:eastAsiaTheme="minorEastAsia" w:cstheme="minorEastAsia"/>
          <w:b/>
          <w:sz w:val="22"/>
          <w:szCs w:val="22"/>
          <w:lang w:val="en-US" w:eastAsia="zh-CN"/>
        </w:rPr>
        <w:t>80</w:t>
      </w:r>
      <w:r>
        <w:rPr>
          <w:rFonts w:hint="eastAsia" w:asciiTheme="minorEastAsia" w:hAnsiTheme="minorEastAsia" w:eastAsiaTheme="minorEastAsia" w:cstheme="minorEastAsia"/>
          <w:b/>
          <w:sz w:val="22"/>
          <w:szCs w:val="22"/>
        </w:rPr>
        <w:t>0元/人（包含课程资料、学习费、茶歇等，不含午餐及住宿）</w:t>
      </w:r>
    </w:p>
    <w:p>
      <w:pPr>
        <w:spacing w:line="360" w:lineRule="auto"/>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举办单位：深圳市中企智汇企业管理咨询有限公司</w:t>
      </w:r>
    </w:p>
    <w:p>
      <w:pPr>
        <w:spacing w:line="360" w:lineRule="auto"/>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课程地点：深圳</w:t>
      </w:r>
    </w:p>
    <w:p>
      <w:pPr>
        <w:spacing w:line="360" w:lineRule="auto"/>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课程时间：8月18-19日</w:t>
      </w:r>
    </w:p>
    <w:p>
      <w:pPr>
        <w:spacing w:line="460" w:lineRule="exact"/>
        <w:jc w:val="left"/>
        <w:rPr>
          <w:rFonts w:hint="eastAsia" w:ascii="思源黑体 CN Heavy" w:hAnsi="思源黑体 CN Heavy" w:eastAsia="思源黑体 CN Heavy"/>
          <w:b/>
          <w:color w:val="244061"/>
          <w:sz w:val="24"/>
          <w:szCs w:val="24"/>
        </w:rPr>
      </w:pPr>
      <w:r>
        <w:rPr>
          <w:rFonts w:hint="eastAsia" w:ascii="思源黑体 CN Heavy" w:hAnsi="思源黑体 CN Heavy" w:eastAsia="思源黑体 CN Heavy"/>
          <w:b/>
          <w:color w:val="244061"/>
          <w:sz w:val="24"/>
          <w:szCs w:val="24"/>
        </w:rPr>
        <w:t>课程背景：</w:t>
      </w:r>
    </w:p>
    <w:p>
      <w:pPr>
        <w:pStyle w:val="15"/>
        <w:spacing w:before="0" w:beforeAutospacing="0" w:after="0" w:afterAutospacing="0" w:line="400" w:lineRule="exact"/>
        <w:ind w:right="-120" w:firstLine="440" w:firstLineChars="200"/>
        <w:jc w:val="both"/>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古之谈判，三寸之舌可挡百万雄师；今之商务谈判，大至国家争端、领土边界；中至企业并购、甲乙买卖；小至个人恩怨、职责划分，可谓谈判无所不在。好的谈判可一言兴邦、福泽家国；差的谈判则害人害己、祸起萧墙。</w:t>
      </w:r>
    </w:p>
    <w:p>
      <w:pPr>
        <w:pStyle w:val="15"/>
        <w:spacing w:before="0" w:beforeAutospacing="0" w:after="0" w:afterAutospacing="0" w:line="400" w:lineRule="exact"/>
        <w:ind w:right="-120" w:firstLine="440" w:firstLineChars="200"/>
        <w:jc w:val="both"/>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作为“商务人士”的您，可曾遇到过这些情况之一二？</w:t>
      </w:r>
    </w:p>
    <w:p>
      <w:pPr>
        <w:pStyle w:val="15"/>
        <w:spacing w:before="0" w:beforeAutospacing="0" w:after="0" w:afterAutospacing="0" w:line="400" w:lineRule="exact"/>
        <w:ind w:left="420" w:right="-120"/>
        <w:jc w:val="both"/>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1）多年的合作伙伴却出现意见分歧，如何谈利益共享、权责共担？ </w:t>
      </w:r>
    </w:p>
    <w:p>
      <w:pPr>
        <w:pStyle w:val="15"/>
        <w:spacing w:before="0" w:beforeAutospacing="0" w:after="0" w:afterAutospacing="0" w:line="400" w:lineRule="exact"/>
        <w:ind w:left="420" w:right="-120"/>
        <w:jc w:val="both"/>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2）部门利益纷争，公说公有理，婆说婆有理，您如何从中调停？</w:t>
      </w:r>
    </w:p>
    <w:p>
      <w:pPr>
        <w:pStyle w:val="15"/>
        <w:spacing w:before="0" w:beforeAutospacing="0" w:after="0" w:afterAutospacing="0" w:line="400" w:lineRule="exact"/>
        <w:ind w:left="420" w:right="-120"/>
        <w:jc w:val="both"/>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并购合作、股份分成，如何恰到好处地开口提案？</w:t>
      </w:r>
    </w:p>
    <w:p>
      <w:pPr>
        <w:pStyle w:val="15"/>
        <w:spacing w:before="0" w:beforeAutospacing="0" w:after="0" w:afterAutospacing="0" w:line="400" w:lineRule="exact"/>
        <w:ind w:left="420" w:right="-120"/>
        <w:jc w:val="both"/>
        <w:rPr>
          <w:rFonts w:hint="default" w:ascii="微软雅黑" w:hAnsi="微软雅黑" w:eastAsia="微软雅黑" w:cs="微软雅黑"/>
          <w:kern w:val="2"/>
          <w:sz w:val="22"/>
          <w:szCs w:val="22"/>
          <w:lang w:val="en-US" w:eastAsia="zh-CN"/>
        </w:rPr>
      </w:pPr>
      <w:r>
        <w:rPr>
          <w:rFonts w:hint="eastAsia" w:ascii="微软雅黑" w:hAnsi="微软雅黑" w:eastAsia="微软雅黑" w:cs="微软雅黑"/>
          <w:kern w:val="2"/>
          <w:sz w:val="22"/>
          <w:szCs w:val="22"/>
        </w:rPr>
        <w:t xml:space="preserve">4) </w:t>
      </w:r>
      <w:r>
        <w:rPr>
          <w:rFonts w:hint="eastAsia" w:ascii="微软雅黑" w:hAnsi="微软雅黑" w:eastAsia="微软雅黑" w:cs="微软雅黑"/>
          <w:kern w:val="2"/>
          <w:sz w:val="22"/>
          <w:szCs w:val="22"/>
          <w:lang w:val="en-US" w:eastAsia="zh-CN"/>
        </w:rPr>
        <w:t>立场不同、价格分歧、要求不等，如何达成平衡点？</w:t>
      </w:r>
    </w:p>
    <w:p>
      <w:pPr>
        <w:pStyle w:val="15"/>
        <w:spacing w:before="0" w:beforeAutospacing="0" w:after="0" w:afterAutospacing="0" w:line="400" w:lineRule="exact"/>
        <w:ind w:left="420" w:right="-120"/>
        <w:jc w:val="both"/>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5）</w:t>
      </w:r>
      <w:r>
        <w:rPr>
          <w:rFonts w:hint="eastAsia" w:ascii="微软雅黑" w:hAnsi="微软雅黑" w:eastAsia="微软雅黑" w:cs="微软雅黑"/>
          <w:kern w:val="2"/>
          <w:sz w:val="22"/>
          <w:szCs w:val="22"/>
          <w:lang w:val="en-US" w:eastAsia="zh-CN"/>
        </w:rPr>
        <w:t>跨部门之间总是有冲突，项目跟进难以协调各方面利益</w:t>
      </w:r>
      <w:r>
        <w:rPr>
          <w:rFonts w:hint="eastAsia" w:ascii="微软雅黑" w:hAnsi="微软雅黑" w:eastAsia="微软雅黑" w:cs="微软雅黑"/>
          <w:kern w:val="2"/>
          <w:sz w:val="22"/>
          <w:szCs w:val="22"/>
        </w:rPr>
        <w:t>，如何</w:t>
      </w:r>
      <w:r>
        <w:rPr>
          <w:rFonts w:hint="eastAsia" w:ascii="微软雅黑" w:hAnsi="微软雅黑" w:eastAsia="微软雅黑" w:cs="微软雅黑"/>
          <w:kern w:val="2"/>
          <w:sz w:val="22"/>
          <w:szCs w:val="22"/>
          <w:lang w:val="en-US" w:eastAsia="zh-CN"/>
        </w:rPr>
        <w:t>去协商谈判</w:t>
      </w:r>
      <w:r>
        <w:rPr>
          <w:rFonts w:hint="eastAsia" w:ascii="微软雅黑" w:hAnsi="微软雅黑" w:eastAsia="微软雅黑" w:cs="微软雅黑"/>
          <w:kern w:val="2"/>
          <w:sz w:val="22"/>
          <w:szCs w:val="22"/>
        </w:rPr>
        <w:t>？</w:t>
      </w:r>
    </w:p>
    <w:p>
      <w:pPr>
        <w:pStyle w:val="15"/>
        <w:spacing w:before="0" w:beforeAutospacing="0" w:after="0" w:afterAutospacing="0" w:line="400" w:lineRule="exact"/>
        <w:ind w:left="420" w:right="-120"/>
        <w:jc w:val="both"/>
        <w:rPr>
          <w:rFonts w:hint="default" w:ascii="微软雅黑" w:hAnsi="微软雅黑" w:eastAsia="微软雅黑" w:cs="微软雅黑"/>
          <w:kern w:val="2"/>
          <w:sz w:val="22"/>
          <w:szCs w:val="22"/>
          <w:lang w:val="en-US" w:eastAsia="zh-CN"/>
        </w:rPr>
      </w:pPr>
      <w:r>
        <w:rPr>
          <w:rFonts w:hint="eastAsia" w:ascii="微软雅黑" w:hAnsi="微软雅黑" w:eastAsia="微软雅黑" w:cs="微软雅黑"/>
          <w:kern w:val="2"/>
          <w:sz w:val="22"/>
          <w:szCs w:val="22"/>
        </w:rPr>
        <w:t>6）</w:t>
      </w:r>
      <w:r>
        <w:rPr>
          <w:rFonts w:hint="eastAsia" w:ascii="微软雅黑" w:hAnsi="微软雅黑" w:eastAsia="微软雅黑" w:cs="微软雅黑"/>
          <w:kern w:val="2"/>
          <w:sz w:val="22"/>
          <w:szCs w:val="22"/>
          <w:lang w:val="en-US" w:eastAsia="zh-CN"/>
        </w:rPr>
        <w:t>如何跟领导谈升职加薪、调岗调职，如何跟下属谈绩效考核、任务指标？</w:t>
      </w:r>
    </w:p>
    <w:p>
      <w:pPr>
        <w:pStyle w:val="15"/>
        <w:spacing w:before="0" w:beforeAutospacing="0" w:after="0" w:afterAutospacing="0" w:line="400" w:lineRule="exact"/>
        <w:ind w:left="420" w:right="-120"/>
        <w:jc w:val="both"/>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lang w:val="en-US" w:eastAsia="zh-CN"/>
        </w:rPr>
        <w:t>7</w:t>
      </w:r>
      <w:r>
        <w:rPr>
          <w:rFonts w:hint="eastAsia" w:ascii="微软雅黑" w:hAnsi="微软雅黑" w:eastAsia="微软雅黑" w:cs="微软雅黑"/>
          <w:kern w:val="2"/>
          <w:sz w:val="22"/>
          <w:szCs w:val="22"/>
        </w:rPr>
        <w:t>）为什么总是得不到应有的资源与支持，你如何跟领导去谈？</w:t>
      </w:r>
    </w:p>
    <w:p>
      <w:pPr>
        <w:pStyle w:val="15"/>
        <w:spacing w:before="0" w:beforeAutospacing="0" w:after="0" w:afterAutospacing="0" w:line="400" w:lineRule="exact"/>
        <w:ind w:left="420" w:right="-120"/>
        <w:jc w:val="both"/>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lang w:val="en-US" w:eastAsia="zh-CN"/>
        </w:rPr>
        <w:t>8</w:t>
      </w:r>
      <w:r>
        <w:rPr>
          <w:rFonts w:hint="eastAsia" w:ascii="微软雅黑" w:hAnsi="微软雅黑" w:eastAsia="微软雅黑" w:cs="微软雅黑"/>
          <w:kern w:val="2"/>
          <w:sz w:val="22"/>
          <w:szCs w:val="22"/>
        </w:rPr>
        <w:t>）家庭纠纷、上下矛盾，如何有效调停？……</w:t>
      </w:r>
    </w:p>
    <w:p>
      <w:pPr>
        <w:pStyle w:val="15"/>
        <w:spacing w:before="0" w:beforeAutospacing="0" w:after="0" w:afterAutospacing="0" w:line="400" w:lineRule="exact"/>
        <w:ind w:right="-120" w:firstLine="440" w:firstLineChars="200"/>
        <w:jc w:val="both"/>
        <w:rPr>
          <w:rFonts w:hint="default" w:ascii="微软雅黑" w:hAnsi="微软雅黑" w:eastAsia="微软雅黑" w:cs="微软雅黑"/>
          <w:kern w:val="2"/>
          <w:sz w:val="22"/>
          <w:szCs w:val="22"/>
          <w:lang w:val="en-US"/>
        </w:rPr>
      </w:pPr>
      <w:r>
        <w:rPr>
          <w:rFonts w:hint="eastAsia" w:ascii="微软雅黑" w:hAnsi="微软雅黑" w:eastAsia="微软雅黑" w:cs="微软雅黑"/>
          <w:kern w:val="2"/>
          <w:sz w:val="22"/>
          <w:szCs w:val="22"/>
        </w:rPr>
        <w:t>如果您有以上困扰，请</w:t>
      </w:r>
      <w:r>
        <w:rPr>
          <w:rFonts w:hint="eastAsia" w:ascii="微软雅黑" w:hAnsi="微软雅黑" w:eastAsia="微软雅黑" w:cs="微软雅黑"/>
          <w:kern w:val="2"/>
          <w:sz w:val="22"/>
          <w:szCs w:val="22"/>
          <w:lang w:val="en-US" w:eastAsia="zh-CN"/>
        </w:rPr>
        <w:t>到</w:t>
      </w:r>
      <w:r>
        <w:rPr>
          <w:rFonts w:hint="eastAsia" w:ascii="微软雅黑" w:hAnsi="微软雅黑" w:eastAsia="微软雅黑" w:cs="微软雅黑"/>
          <w:kern w:val="2"/>
          <w:sz w:val="22"/>
          <w:szCs w:val="22"/>
        </w:rPr>
        <w:t>“双赢商务谈判”</w:t>
      </w:r>
      <w:r>
        <w:rPr>
          <w:rFonts w:hint="eastAsia" w:ascii="微软雅黑" w:hAnsi="微软雅黑" w:eastAsia="微软雅黑" w:cs="微软雅黑"/>
          <w:kern w:val="2"/>
          <w:sz w:val="22"/>
          <w:szCs w:val="22"/>
          <w:lang w:val="en-US" w:eastAsia="zh-CN"/>
        </w:rPr>
        <w:t>课堂来解决各种疑难问题。</w:t>
      </w:r>
    </w:p>
    <w:p>
      <w:pPr>
        <w:spacing w:line="460" w:lineRule="exact"/>
        <w:jc w:val="left"/>
        <w:rPr>
          <w:rFonts w:hint="eastAsia" w:ascii="思源黑体 CN Heavy" w:hAnsi="思源黑体 CN Heavy" w:eastAsia="思源黑体 CN Heavy"/>
          <w:b/>
          <w:color w:val="244061"/>
          <w:sz w:val="24"/>
          <w:szCs w:val="24"/>
        </w:rPr>
      </w:pPr>
    </w:p>
    <w:p>
      <w:pPr>
        <w:spacing w:line="460" w:lineRule="exact"/>
        <w:jc w:val="left"/>
        <w:rPr>
          <w:rFonts w:hint="eastAsia" w:ascii="思源黑体 CN Heavy" w:hAnsi="思源黑体 CN Heavy" w:eastAsia="思源黑体 CN Heavy"/>
          <w:b/>
          <w:color w:val="244061"/>
          <w:sz w:val="24"/>
          <w:szCs w:val="24"/>
        </w:rPr>
      </w:pPr>
      <w:r>
        <w:rPr>
          <w:rFonts w:hint="eastAsia" w:ascii="思源黑体 CN Heavy" w:hAnsi="思源黑体 CN Heavy" w:eastAsia="思源黑体 CN Heavy"/>
          <w:b/>
          <w:color w:val="244061"/>
          <w:sz w:val="24"/>
          <w:szCs w:val="24"/>
        </w:rPr>
        <w:t>课程</w:t>
      </w:r>
      <w:r>
        <w:rPr>
          <w:rFonts w:hint="eastAsia" w:ascii="思源黑体 CN Heavy" w:hAnsi="思源黑体 CN Heavy" w:eastAsia="思源黑体 CN Heavy"/>
          <w:b/>
          <w:color w:val="244061"/>
          <w:sz w:val="24"/>
          <w:szCs w:val="24"/>
          <w:lang w:eastAsia="zh-CN"/>
        </w:rPr>
        <w:t>目标</w:t>
      </w:r>
      <w:r>
        <w:rPr>
          <w:rFonts w:hint="eastAsia" w:ascii="思源黑体 CN Heavy" w:hAnsi="思源黑体 CN Heavy" w:eastAsia="思源黑体 CN Heavy"/>
          <w:b/>
          <w:color w:val="244061"/>
          <w:sz w:val="24"/>
          <w:szCs w:val="24"/>
        </w:rPr>
        <w:t>：</w:t>
      </w:r>
    </w:p>
    <w:p>
      <w:pPr>
        <w:numPr>
          <w:ilvl w:val="0"/>
          <w:numId w:val="1"/>
        </w:numPr>
        <w:tabs>
          <w:tab w:val="left" w:pos="1440"/>
        </w:tabs>
        <w:snapToGrid w:val="0"/>
        <w:spacing w:before="120"/>
        <w:ind w:right="-153" w:rightChars="-73"/>
        <w:rPr>
          <w:rFonts w:hint="eastAsia" w:ascii="微软雅黑" w:hAnsi="微软雅黑" w:eastAsia="微软雅黑" w:cs="微软雅黑"/>
          <w:b w:val="0"/>
          <w:bCs/>
          <w:kern w:val="0"/>
          <w:sz w:val="22"/>
          <w:szCs w:val="16"/>
          <w:u w:val="none"/>
          <w:lang w:val="zh-CN" w:eastAsia="zh-CN" w:bidi="ar-SA"/>
        </w:rPr>
      </w:pPr>
      <w:r>
        <w:rPr>
          <w:rFonts w:hint="eastAsia" w:ascii="微软雅黑" w:hAnsi="微软雅黑" w:eastAsia="微软雅黑" w:cs="微软雅黑"/>
          <w:b w:val="0"/>
          <w:bCs/>
          <w:kern w:val="0"/>
          <w:sz w:val="22"/>
          <w:szCs w:val="16"/>
          <w:u w:val="none"/>
          <w:lang w:val="zh-CN" w:eastAsia="zh-CN" w:bidi="ar-SA"/>
        </w:rPr>
        <w:t>教你双赢谈判的</w:t>
      </w:r>
      <w:r>
        <w:rPr>
          <w:rFonts w:hint="eastAsia" w:ascii="微软雅黑" w:hAnsi="微软雅黑" w:eastAsia="微软雅黑" w:cs="微软雅黑"/>
          <w:b w:val="0"/>
          <w:bCs/>
          <w:kern w:val="0"/>
          <w:sz w:val="22"/>
          <w:szCs w:val="16"/>
          <w:u w:val="none"/>
          <w:lang w:val="en-US" w:eastAsia="zh-CN" w:bidi="ar-SA"/>
        </w:rPr>
        <w:t>思维、策略、方法</w:t>
      </w:r>
      <w:r>
        <w:rPr>
          <w:rFonts w:hint="eastAsia" w:ascii="微软雅黑" w:hAnsi="微软雅黑" w:eastAsia="微软雅黑" w:cs="微软雅黑"/>
          <w:b w:val="0"/>
          <w:bCs/>
          <w:kern w:val="0"/>
          <w:sz w:val="22"/>
          <w:szCs w:val="16"/>
          <w:u w:val="none"/>
          <w:lang w:val="zh-CN" w:eastAsia="zh-CN" w:bidi="ar-SA"/>
        </w:rPr>
        <w:t>，生活工作中什么都可以通过谈来解决问题；</w:t>
      </w:r>
    </w:p>
    <w:p>
      <w:pPr>
        <w:numPr>
          <w:ilvl w:val="0"/>
          <w:numId w:val="1"/>
        </w:numPr>
        <w:tabs>
          <w:tab w:val="left" w:pos="1440"/>
        </w:tabs>
        <w:snapToGrid w:val="0"/>
        <w:spacing w:before="120"/>
        <w:ind w:right="-153" w:rightChars="-73"/>
        <w:rPr>
          <w:rFonts w:hint="eastAsia" w:ascii="微软雅黑" w:hAnsi="微软雅黑" w:eastAsia="微软雅黑" w:cs="微软雅黑"/>
          <w:b w:val="0"/>
          <w:bCs/>
          <w:kern w:val="0"/>
          <w:sz w:val="22"/>
          <w:szCs w:val="16"/>
          <w:u w:val="none"/>
          <w:lang w:val="zh-CN" w:eastAsia="zh-CN" w:bidi="ar-SA"/>
        </w:rPr>
      </w:pPr>
      <w:r>
        <w:rPr>
          <w:rFonts w:hint="eastAsia" w:ascii="微软雅黑" w:hAnsi="微软雅黑" w:eastAsia="微软雅黑" w:cs="微软雅黑"/>
          <w:b w:val="0"/>
          <w:bCs/>
          <w:kern w:val="0"/>
          <w:sz w:val="22"/>
          <w:szCs w:val="16"/>
          <w:u w:val="none"/>
          <w:lang w:val="zh-CN" w:eastAsia="zh-CN" w:bidi="ar-SA"/>
        </w:rPr>
        <w:t>掌握逻辑清晰、实用易懂的谈判架构与步骤，按照</w:t>
      </w:r>
      <w:r>
        <w:rPr>
          <w:rFonts w:hint="eastAsia" w:ascii="微软雅黑" w:hAnsi="微软雅黑" w:eastAsia="微软雅黑" w:cs="微软雅黑"/>
          <w:b w:val="0"/>
          <w:bCs/>
          <w:kern w:val="0"/>
          <w:sz w:val="22"/>
          <w:szCs w:val="16"/>
          <w:u w:val="none"/>
          <w:lang w:val="en-US" w:eastAsia="zh-CN" w:bidi="ar-SA"/>
        </w:rPr>
        <w:t>此</w:t>
      </w:r>
      <w:r>
        <w:rPr>
          <w:rFonts w:hint="eastAsia" w:ascii="微软雅黑" w:hAnsi="微软雅黑" w:eastAsia="微软雅黑" w:cs="微软雅黑"/>
          <w:b w:val="0"/>
          <w:bCs/>
          <w:kern w:val="0"/>
          <w:sz w:val="22"/>
          <w:szCs w:val="16"/>
          <w:u w:val="none"/>
          <w:lang w:val="zh-CN" w:eastAsia="zh-CN" w:bidi="ar-SA"/>
        </w:rPr>
        <w:t>步骤去练习就可以从</w:t>
      </w:r>
      <w:r>
        <w:rPr>
          <w:rFonts w:hint="eastAsia" w:ascii="微软雅黑" w:hAnsi="微软雅黑" w:eastAsia="微软雅黑" w:cs="微软雅黑"/>
          <w:b w:val="0"/>
          <w:bCs/>
          <w:kern w:val="0"/>
          <w:sz w:val="22"/>
          <w:szCs w:val="16"/>
          <w:u w:val="none"/>
          <w:lang w:val="en-US" w:eastAsia="zh-CN" w:bidi="ar-SA"/>
        </w:rPr>
        <w:t>步步为营到步步为赢，做一个稳操胜券的</w:t>
      </w:r>
      <w:r>
        <w:rPr>
          <w:rFonts w:hint="eastAsia" w:ascii="微软雅黑" w:hAnsi="微软雅黑" w:eastAsia="微软雅黑" w:cs="微软雅黑"/>
          <w:b w:val="0"/>
          <w:bCs/>
          <w:kern w:val="0"/>
          <w:sz w:val="22"/>
          <w:szCs w:val="16"/>
          <w:u w:val="none"/>
          <w:lang w:val="zh-CN" w:eastAsia="zh-CN" w:bidi="ar-SA"/>
        </w:rPr>
        <w:t>优秀</w:t>
      </w:r>
      <w:r>
        <w:rPr>
          <w:rFonts w:hint="eastAsia" w:ascii="微软雅黑" w:hAnsi="微软雅黑" w:eastAsia="微软雅黑" w:cs="微软雅黑"/>
          <w:b w:val="0"/>
          <w:bCs/>
          <w:kern w:val="0"/>
          <w:sz w:val="22"/>
          <w:szCs w:val="16"/>
          <w:u w:val="none"/>
          <w:lang w:val="en-US" w:eastAsia="zh-CN" w:bidi="ar-SA"/>
        </w:rPr>
        <w:t>谈判者</w:t>
      </w:r>
      <w:r>
        <w:rPr>
          <w:rFonts w:hint="eastAsia" w:ascii="微软雅黑" w:hAnsi="微软雅黑" w:eastAsia="微软雅黑" w:cs="微软雅黑"/>
          <w:b w:val="0"/>
          <w:bCs/>
          <w:kern w:val="0"/>
          <w:sz w:val="22"/>
          <w:szCs w:val="16"/>
          <w:u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ind w:leftChars="0"/>
        <w:textAlignment w:val="auto"/>
        <w:rPr>
          <w:rFonts w:hint="eastAsia" w:ascii="微软雅黑" w:hAnsi="微软雅黑" w:eastAsia="微软雅黑" w:cs="微软雅黑"/>
          <w:b w:val="0"/>
          <w:bCs/>
          <w:kern w:val="0"/>
          <w:sz w:val="22"/>
          <w:szCs w:val="16"/>
          <w:u w:val="none"/>
          <w:lang w:val="zh-CN" w:eastAsia="zh-CN" w:bidi="ar-SA"/>
        </w:rPr>
      </w:pPr>
      <w:r>
        <w:rPr>
          <w:rFonts w:hint="eastAsia" w:ascii="微软雅黑" w:hAnsi="微软雅黑" w:eastAsia="微软雅黑" w:cs="微软雅黑"/>
          <w:b w:val="0"/>
          <w:bCs/>
          <w:kern w:val="0"/>
          <w:sz w:val="22"/>
          <w:szCs w:val="16"/>
          <w:u w:val="none"/>
          <w:lang w:val="en-US" w:eastAsia="zh-CN" w:bidi="ar-SA"/>
        </w:rPr>
        <w:t>3.</w:t>
      </w:r>
      <w:r>
        <w:rPr>
          <w:rFonts w:hint="eastAsia" w:ascii="微软雅黑" w:hAnsi="微软雅黑" w:eastAsia="微软雅黑" w:cs="微软雅黑"/>
          <w:b w:val="0"/>
          <w:bCs/>
          <w:kern w:val="0"/>
          <w:sz w:val="22"/>
          <w:szCs w:val="16"/>
          <w:u w:val="none"/>
          <w:lang w:val="zh-CN" w:eastAsia="zh-CN" w:bidi="ar-SA"/>
        </w:rPr>
        <w:t>剖析实际商务谈判案例，并现场练习和点评您自己的谈判问题。</w:t>
      </w:r>
    </w:p>
    <w:p>
      <w:pPr>
        <w:spacing w:line="460" w:lineRule="exact"/>
        <w:jc w:val="left"/>
        <w:rPr>
          <w:rFonts w:hint="eastAsia" w:ascii="思源黑体 CN Heavy" w:hAnsi="思源黑体 CN Heavy" w:eastAsia="思源黑体 CN Heavy"/>
          <w:b/>
          <w:color w:val="244061"/>
          <w:sz w:val="24"/>
          <w:szCs w:val="24"/>
        </w:rPr>
      </w:pPr>
    </w:p>
    <w:p>
      <w:pPr>
        <w:spacing w:line="460" w:lineRule="exact"/>
        <w:jc w:val="left"/>
        <w:rPr>
          <w:rFonts w:hint="eastAsia" w:ascii="微软雅黑" w:hAnsi="微软雅黑" w:eastAsia="微软雅黑" w:cs="Times New Roman"/>
          <w:b/>
          <w:i w:val="0"/>
          <w:iCs/>
          <w:sz w:val="22"/>
          <w:lang w:val="zh-CN" w:eastAsia="zh-CN" w:bidi="ar-SA"/>
        </w:rPr>
      </w:pPr>
      <w:r>
        <w:rPr>
          <w:rFonts w:hint="eastAsia" w:ascii="思源黑体 CN Heavy" w:hAnsi="思源黑体 CN Heavy" w:eastAsia="思源黑体 CN Heavy"/>
          <w:b/>
          <w:color w:val="244061"/>
          <w:sz w:val="24"/>
          <w:szCs w:val="24"/>
        </w:rPr>
        <w:t>课程时间：</w:t>
      </w:r>
      <w:r>
        <w:rPr>
          <w:rFonts w:hint="eastAsia" w:ascii="微软雅黑" w:hAnsi="微软雅黑" w:eastAsia="微软雅黑" w:cs="Times New Roman"/>
          <w:b/>
          <w:i w:val="0"/>
          <w:iCs/>
          <w:sz w:val="22"/>
          <w:lang w:val="zh-CN" w:eastAsia="zh-CN" w:bidi="ar-SA"/>
        </w:rPr>
        <w:t>2天1</w:t>
      </w:r>
      <w:r>
        <w:rPr>
          <w:rFonts w:hint="eastAsia" w:ascii="微软雅黑" w:hAnsi="微软雅黑" w:eastAsia="微软雅黑" w:cs="Times New Roman"/>
          <w:b/>
          <w:i w:val="0"/>
          <w:iCs/>
          <w:sz w:val="22"/>
          <w:lang w:val="en-US" w:eastAsia="zh-CN" w:bidi="ar-SA"/>
        </w:rPr>
        <w:t>2</w:t>
      </w:r>
      <w:r>
        <w:rPr>
          <w:rFonts w:hint="eastAsia" w:ascii="微软雅黑" w:hAnsi="微软雅黑" w:eastAsia="微软雅黑" w:cs="Times New Roman"/>
          <w:b/>
          <w:i w:val="0"/>
          <w:iCs/>
          <w:sz w:val="22"/>
          <w:lang w:val="zh-CN" w:eastAsia="zh-CN" w:bidi="ar-SA"/>
        </w:rPr>
        <w:t>小时</w:t>
      </w:r>
    </w:p>
    <w:p>
      <w:pPr>
        <w:spacing w:line="460" w:lineRule="exact"/>
        <w:jc w:val="left"/>
        <w:rPr>
          <w:rFonts w:hint="eastAsia" w:ascii="微软雅黑" w:hAnsi="微软雅黑" w:eastAsia="微软雅黑" w:cs="Times New Roman"/>
          <w:b/>
          <w:i w:val="0"/>
          <w:iCs/>
          <w:sz w:val="22"/>
          <w:lang w:val="zh-CN" w:eastAsia="zh-CN" w:bidi="ar-SA"/>
        </w:rPr>
      </w:pPr>
    </w:p>
    <w:p>
      <w:pPr>
        <w:spacing w:line="460" w:lineRule="exact"/>
        <w:jc w:val="left"/>
        <w:rPr>
          <w:rFonts w:hint="eastAsia" w:ascii="思源黑体 CN Heavy" w:hAnsi="思源黑体 CN Heavy" w:eastAsia="思源黑体 CN Heavy"/>
          <w:b/>
          <w:color w:val="244061"/>
          <w:sz w:val="24"/>
          <w:szCs w:val="24"/>
        </w:rPr>
      </w:pPr>
      <w:r>
        <w:rPr>
          <w:rFonts w:hint="eastAsia" w:ascii="思源黑体 CN Heavy" w:hAnsi="思源黑体 CN Heavy" w:eastAsia="思源黑体 CN Heavy"/>
          <w:b/>
          <w:color w:val="244061"/>
          <w:sz w:val="24"/>
          <w:szCs w:val="24"/>
        </w:rPr>
        <w:t>课程对象：</w:t>
      </w:r>
    </w:p>
    <w:p>
      <w:pPr>
        <w:pStyle w:val="15"/>
        <w:spacing w:before="0" w:beforeAutospacing="0" w:after="0" w:afterAutospacing="0" w:line="400" w:lineRule="exact"/>
        <w:ind w:right="-120" w:firstLine="440" w:firstLineChars="200"/>
        <w:jc w:val="both"/>
        <w:rPr>
          <w:rFonts w:hint="eastAsia" w:ascii="微软雅黑" w:hAnsi="微软雅黑" w:eastAsia="微软雅黑" w:cs="微软雅黑"/>
          <w:kern w:val="2"/>
          <w:sz w:val="22"/>
          <w:szCs w:val="22"/>
          <w:lang w:val="en-US" w:eastAsia="zh-CN"/>
        </w:rPr>
      </w:pPr>
      <w:r>
        <w:rPr>
          <w:rFonts w:hint="eastAsia" w:ascii="微软雅黑" w:hAnsi="微软雅黑" w:eastAsia="微软雅黑" w:cs="微软雅黑"/>
          <w:kern w:val="2"/>
          <w:sz w:val="22"/>
          <w:szCs w:val="22"/>
          <w:lang w:eastAsia="zh-CN"/>
        </w:rPr>
        <w:t>所有需要运用谈判来解决利益纷争、疑难</w:t>
      </w:r>
      <w:r>
        <w:rPr>
          <w:rFonts w:hint="eastAsia" w:ascii="微软雅黑" w:hAnsi="微软雅黑" w:eastAsia="微软雅黑" w:cs="微软雅黑"/>
          <w:kern w:val="2"/>
          <w:sz w:val="22"/>
          <w:szCs w:val="22"/>
          <w:lang w:val="en-US" w:eastAsia="zh-CN"/>
        </w:rPr>
        <w:t>问题的商务人士。</w:t>
      </w:r>
    </w:p>
    <w:p>
      <w:pPr>
        <w:pStyle w:val="15"/>
        <w:spacing w:before="0" w:beforeAutospacing="0" w:after="0" w:afterAutospacing="0" w:line="400" w:lineRule="exact"/>
        <w:ind w:right="-120" w:firstLine="440" w:firstLineChars="200"/>
        <w:jc w:val="both"/>
        <w:rPr>
          <w:rFonts w:hint="eastAsia" w:ascii="微软雅黑" w:hAnsi="微软雅黑" w:eastAsia="微软雅黑" w:cs="微软雅黑"/>
          <w:kern w:val="2"/>
          <w:sz w:val="22"/>
          <w:szCs w:val="22"/>
          <w:lang w:val="en-US" w:eastAsia="zh-CN"/>
        </w:rPr>
      </w:pPr>
      <w:r>
        <w:rPr>
          <w:rFonts w:hint="eastAsia" w:ascii="微软雅黑" w:hAnsi="微软雅黑" w:eastAsia="微软雅黑" w:cs="微软雅黑"/>
          <w:kern w:val="2"/>
          <w:sz w:val="22"/>
          <w:szCs w:val="22"/>
          <w:lang w:val="en-US" w:eastAsia="zh-CN"/>
        </w:rPr>
        <w:t>对管理层侧重于企业商业利益分割布局</w:t>
      </w:r>
      <w:r>
        <w:rPr>
          <w:rFonts w:hint="eastAsia" w:ascii="微软雅黑" w:hAnsi="微软雅黑" w:eastAsia="微软雅黑" w:cs="微软雅黑"/>
          <w:kern w:val="2"/>
          <w:sz w:val="22"/>
          <w:szCs w:val="22"/>
          <w:lang w:eastAsia="zh-CN"/>
        </w:rPr>
        <w:t>、</w:t>
      </w:r>
      <w:r>
        <w:rPr>
          <w:rFonts w:hint="eastAsia" w:ascii="微软雅黑" w:hAnsi="微软雅黑" w:eastAsia="微软雅黑" w:cs="微软雅黑"/>
          <w:kern w:val="2"/>
          <w:sz w:val="22"/>
          <w:szCs w:val="22"/>
          <w:lang w:val="en-US" w:eastAsia="zh-CN"/>
        </w:rPr>
        <w:t>高层关系调停，提升管理团队“对外商务谈判获得合理利益、对内沟通协调管理团队” 的能力；</w:t>
      </w:r>
    </w:p>
    <w:p>
      <w:pPr>
        <w:spacing w:line="460" w:lineRule="exact"/>
        <w:jc w:val="left"/>
        <w:rPr>
          <w:rFonts w:hint="eastAsia" w:ascii="微软雅黑" w:hAnsi="微软雅黑" w:eastAsia="微软雅黑" w:cs="微软雅黑"/>
          <w:kern w:val="2"/>
          <w:sz w:val="22"/>
          <w:szCs w:val="22"/>
          <w:lang w:val="en-US" w:eastAsia="zh-CN"/>
        </w:rPr>
      </w:pPr>
      <w:r>
        <w:rPr>
          <w:rFonts w:hint="eastAsia" w:ascii="微软雅黑" w:hAnsi="微软雅黑" w:eastAsia="微软雅黑" w:cs="微软雅黑"/>
          <w:kern w:val="2"/>
          <w:sz w:val="22"/>
          <w:szCs w:val="22"/>
          <w:lang w:val="en-US" w:eastAsia="zh-CN"/>
        </w:rPr>
        <w:t>对员工侧重于职场问题解决、获得更多资源支持，提升职场人士“处理纠纷、解决问题、赢得支持提升效率” 的能力，用谈判来发挥影响力，提升职场效能。</w:t>
      </w:r>
    </w:p>
    <w:p>
      <w:pPr>
        <w:spacing w:line="460" w:lineRule="exact"/>
        <w:jc w:val="left"/>
        <w:rPr>
          <w:rFonts w:hint="eastAsia" w:ascii="微软雅黑" w:hAnsi="微软雅黑" w:eastAsia="微软雅黑" w:cs="微软雅黑"/>
          <w:kern w:val="2"/>
          <w:sz w:val="22"/>
          <w:szCs w:val="22"/>
          <w:lang w:val="en-US" w:eastAsia="zh-CN"/>
        </w:rPr>
      </w:pPr>
    </w:p>
    <w:p>
      <w:pPr>
        <w:pStyle w:val="16"/>
        <w:numPr>
          <w:numId w:val="0"/>
        </w:numPr>
        <w:tabs>
          <w:tab w:val="left" w:pos="1040"/>
        </w:tabs>
        <w:autoSpaceDE w:val="0"/>
        <w:autoSpaceDN w:val="0"/>
        <w:snapToGrid w:val="0"/>
        <w:spacing w:before="120" w:line="300" w:lineRule="exact"/>
        <w:ind w:leftChars="0" w:right="-454" w:rightChars="0"/>
        <w:textAlignment w:val="bottom"/>
        <w:rPr>
          <w:rFonts w:hint="eastAsia" w:ascii="微软雅黑" w:hAnsi="微软雅黑" w:eastAsia="微软雅黑" w:cs="微软雅黑"/>
          <w:sz w:val="22"/>
          <w:szCs w:val="16"/>
          <w:lang w:eastAsia="zh-CN"/>
        </w:rPr>
      </w:pPr>
      <w:r>
        <w:rPr>
          <w:rFonts w:hint="eastAsia" w:ascii="思源黑体 CN Heavy" w:hAnsi="思源黑体 CN Heavy" w:eastAsia="思源黑体 CN Heavy"/>
          <w:b/>
          <w:color w:val="244061"/>
          <w:sz w:val="24"/>
          <w:szCs w:val="24"/>
          <w:lang w:eastAsia="zh-CN"/>
        </w:rPr>
        <w:t>课程特色</w:t>
      </w:r>
      <w:r>
        <w:rPr>
          <w:rFonts w:hint="eastAsia" w:ascii="思源黑体 CN Heavy" w:hAnsi="思源黑体 CN Heavy" w:eastAsia="思源黑体 CN Heavy"/>
          <w:b/>
          <w:color w:val="244061"/>
          <w:sz w:val="24"/>
          <w:szCs w:val="24"/>
        </w:rPr>
        <w:t>：</w:t>
      </w:r>
    </w:p>
    <w:p>
      <w:pPr>
        <w:pStyle w:val="16"/>
        <w:numPr>
          <w:ilvl w:val="0"/>
          <w:numId w:val="2"/>
        </w:numPr>
        <w:tabs>
          <w:tab w:val="left" w:pos="1040"/>
        </w:tabs>
        <w:autoSpaceDE w:val="0"/>
        <w:autoSpaceDN w:val="0"/>
        <w:snapToGrid w:val="0"/>
        <w:spacing w:before="120" w:line="300" w:lineRule="exact"/>
        <w:ind w:right="-454"/>
        <w:textAlignment w:val="bottom"/>
        <w:rPr>
          <w:rFonts w:hint="eastAsia" w:ascii="微软雅黑" w:hAnsi="微软雅黑" w:eastAsia="微软雅黑" w:cs="微软雅黑"/>
          <w:sz w:val="22"/>
          <w:szCs w:val="16"/>
          <w:lang w:eastAsia="zh-CN"/>
        </w:rPr>
      </w:pPr>
      <w:r>
        <w:rPr>
          <w:rFonts w:hint="eastAsia" w:ascii="微软雅黑" w:hAnsi="微软雅黑" w:eastAsia="微软雅黑" w:cs="微软雅黑"/>
          <w:b/>
          <w:sz w:val="22"/>
          <w:szCs w:val="16"/>
          <w:u w:val="single"/>
          <w:lang w:eastAsia="zh-CN"/>
        </w:rPr>
        <w:t>互动演练</w:t>
      </w:r>
      <w:r>
        <w:rPr>
          <w:rFonts w:hint="eastAsia" w:ascii="微软雅黑" w:hAnsi="微软雅黑" w:eastAsia="微软雅黑" w:cs="微软雅黑"/>
          <w:sz w:val="22"/>
          <w:szCs w:val="16"/>
          <w:lang w:eastAsia="zh-CN"/>
        </w:rPr>
        <w:t xml:space="preserve">  全课程用互动演练、案例分享、风格测试、小组讨论等互动教学。讲课引导时间约占1/3; 互动演练约占1/3; 讨论点评时间约占1/3.极其注重实战研讨,要求讲师具备丰富的实战经验和点评能力</w:t>
      </w:r>
    </w:p>
    <w:p>
      <w:pPr>
        <w:pStyle w:val="16"/>
        <w:numPr>
          <w:ilvl w:val="0"/>
          <w:numId w:val="2"/>
        </w:numPr>
        <w:tabs>
          <w:tab w:val="left" w:pos="1040"/>
        </w:tabs>
        <w:autoSpaceDE w:val="0"/>
        <w:autoSpaceDN w:val="0"/>
        <w:snapToGrid w:val="0"/>
        <w:spacing w:before="120" w:line="300" w:lineRule="exact"/>
        <w:ind w:right="-454"/>
        <w:textAlignment w:val="bottom"/>
        <w:rPr>
          <w:rFonts w:hint="eastAsia" w:ascii="微软雅黑" w:hAnsi="微软雅黑" w:eastAsia="微软雅黑" w:cs="微软雅黑"/>
          <w:sz w:val="22"/>
          <w:szCs w:val="16"/>
          <w:lang w:eastAsia="zh-CN"/>
        </w:rPr>
      </w:pPr>
      <w:r>
        <w:rPr>
          <w:rFonts w:hint="eastAsia" w:ascii="微软雅黑" w:hAnsi="微软雅黑" w:eastAsia="微软雅黑" w:cs="微软雅黑"/>
          <w:b/>
          <w:sz w:val="22"/>
          <w:szCs w:val="16"/>
          <w:u w:val="single"/>
          <w:lang w:eastAsia="zh-CN"/>
        </w:rPr>
        <w:t>实战案例</w:t>
      </w:r>
      <w:r>
        <w:rPr>
          <w:rFonts w:hint="eastAsia" w:ascii="微软雅黑" w:hAnsi="微软雅黑" w:eastAsia="微软雅黑" w:cs="微软雅黑"/>
          <w:b/>
          <w:sz w:val="22"/>
          <w:szCs w:val="16"/>
          <w:lang w:eastAsia="zh-CN"/>
        </w:rPr>
        <w:t xml:space="preserve">  </w:t>
      </w:r>
      <w:r>
        <w:rPr>
          <w:rFonts w:hint="eastAsia" w:ascii="微软雅黑" w:hAnsi="微软雅黑" w:eastAsia="微软雅黑" w:cs="微软雅黑"/>
          <w:sz w:val="22"/>
          <w:szCs w:val="16"/>
          <w:lang w:eastAsia="zh-CN"/>
        </w:rPr>
        <w:t>现场每个小组自己设定一个包含谈判全过程的案例,按照上课顺序分阶段对自己的案例进行演练. 讲师现场点评和学员们共同脑力激荡解决现有的谈判困难</w:t>
      </w:r>
    </w:p>
    <w:p>
      <w:pPr>
        <w:pStyle w:val="16"/>
        <w:numPr>
          <w:ilvl w:val="0"/>
          <w:numId w:val="2"/>
        </w:numPr>
        <w:tabs>
          <w:tab w:val="left" w:pos="1040"/>
        </w:tabs>
        <w:autoSpaceDE w:val="0"/>
        <w:autoSpaceDN w:val="0"/>
        <w:snapToGrid w:val="0"/>
        <w:spacing w:before="120" w:line="300" w:lineRule="exact"/>
        <w:ind w:right="-454"/>
        <w:textAlignment w:val="bottom"/>
        <w:rPr>
          <w:rFonts w:hint="eastAsia" w:ascii="微软雅黑" w:hAnsi="微软雅黑" w:eastAsia="微软雅黑" w:cs="微软雅黑"/>
          <w:b/>
          <w:color w:val="000000"/>
          <w:sz w:val="24"/>
          <w:szCs w:val="24"/>
          <w:u w:val="single"/>
          <w:shd w:val="pct10" w:color="auto" w:fill="FFFFFF"/>
          <w:lang w:val="zh-CN"/>
        </w:rPr>
      </w:pPr>
      <w:r>
        <w:rPr>
          <w:rFonts w:hint="eastAsia" w:ascii="微软雅黑" w:hAnsi="微软雅黑" w:eastAsia="微软雅黑" w:cs="微软雅黑"/>
          <w:b/>
          <w:sz w:val="22"/>
          <w:szCs w:val="16"/>
          <w:u w:val="single"/>
          <w:lang w:eastAsia="zh-CN"/>
        </w:rPr>
        <w:t>视频剖析</w:t>
      </w:r>
      <w:r>
        <w:rPr>
          <w:rFonts w:hint="eastAsia" w:ascii="微软雅黑" w:hAnsi="微软雅黑" w:eastAsia="微软雅黑" w:cs="微软雅黑"/>
          <w:b/>
          <w:sz w:val="22"/>
          <w:szCs w:val="16"/>
          <w:lang w:eastAsia="zh-CN"/>
        </w:rPr>
        <w:t xml:space="preserve">  </w:t>
      </w:r>
      <w:r>
        <w:rPr>
          <w:rFonts w:hint="eastAsia" w:ascii="微软雅黑" w:hAnsi="微软雅黑" w:eastAsia="微软雅黑" w:cs="微软雅黑"/>
          <w:sz w:val="22"/>
          <w:szCs w:val="16"/>
          <w:lang w:eastAsia="zh-CN"/>
        </w:rPr>
        <w:t>采用经典商务谈判案例情境录像,于课程不同阶段放映并讨论相关内容,可彻底了解销售方和采购方的不同心态/立场/话术/技巧</w:t>
      </w:r>
    </w:p>
    <w:p>
      <w:pPr>
        <w:pStyle w:val="16"/>
        <w:numPr>
          <w:numId w:val="0"/>
        </w:numPr>
        <w:tabs>
          <w:tab w:val="left" w:pos="1040"/>
        </w:tabs>
        <w:autoSpaceDE w:val="0"/>
        <w:autoSpaceDN w:val="0"/>
        <w:snapToGrid w:val="0"/>
        <w:spacing w:before="120" w:line="300" w:lineRule="exact"/>
        <w:ind w:leftChars="0" w:right="-454" w:rightChars="0"/>
        <w:textAlignment w:val="bottom"/>
        <w:rPr>
          <w:rFonts w:hint="eastAsia" w:ascii="微软雅黑" w:hAnsi="微软雅黑" w:eastAsia="微软雅黑" w:cs="微软雅黑"/>
          <w:b/>
          <w:color w:val="000000"/>
          <w:sz w:val="24"/>
          <w:szCs w:val="24"/>
          <w:u w:val="single"/>
          <w:shd w:val="pct10" w:color="auto" w:fill="FFFFFF"/>
          <w:lang w:val="zh-CN"/>
        </w:rPr>
      </w:pPr>
    </w:p>
    <w:p>
      <w:pPr>
        <w:pStyle w:val="16"/>
        <w:numPr>
          <w:ilvl w:val="0"/>
          <w:numId w:val="0"/>
        </w:numPr>
        <w:tabs>
          <w:tab w:val="left" w:pos="1040"/>
        </w:tabs>
        <w:autoSpaceDE w:val="0"/>
        <w:autoSpaceDN w:val="0"/>
        <w:snapToGrid w:val="0"/>
        <w:spacing w:before="120" w:line="300" w:lineRule="exact"/>
        <w:ind w:leftChars="0" w:right="-454" w:rightChars="0"/>
        <w:textAlignment w:val="bottom"/>
        <w:rPr>
          <w:rFonts w:hint="eastAsia" w:ascii="微软雅黑" w:hAnsi="微软雅黑" w:eastAsia="微软雅黑" w:cs="微软雅黑"/>
          <w:sz w:val="22"/>
          <w:szCs w:val="16"/>
          <w:lang w:eastAsia="zh-CN"/>
        </w:rPr>
      </w:pPr>
      <w:r>
        <w:rPr>
          <w:rFonts w:hint="eastAsia" w:ascii="思源黑体 CN Heavy" w:hAnsi="思源黑体 CN Heavy" w:eastAsia="思源黑体 CN Heavy"/>
          <w:b/>
          <w:color w:val="244061"/>
          <w:sz w:val="24"/>
          <w:szCs w:val="24"/>
          <w:lang w:eastAsia="zh-CN"/>
        </w:rPr>
        <w:t>课程架构</w:t>
      </w:r>
      <w:r>
        <w:rPr>
          <w:rFonts w:hint="eastAsia" w:ascii="思源黑体 CN Heavy" w:hAnsi="思源黑体 CN Heavy" w:eastAsia="思源黑体 CN Heavy"/>
          <w:b/>
          <w:color w:val="244061"/>
          <w:sz w:val="24"/>
          <w:szCs w:val="24"/>
        </w:rPr>
        <w:t>：</w:t>
      </w:r>
    </w:p>
    <w:p>
      <w:pPr>
        <w:spacing w:line="360" w:lineRule="auto"/>
        <w:rPr>
          <w:rFonts w:hint="eastAsia" w:ascii="微软雅黑" w:hAnsi="微软雅黑" w:eastAsia="微软雅黑"/>
          <w:b/>
          <w:bCs/>
          <w:i/>
          <w:iCs/>
          <w:sz w:val="24"/>
        </w:rPr>
      </w:pPr>
      <w:r>
        <w:rPr>
          <w:rFonts w:hint="eastAsia" w:ascii="微软雅黑" w:hAnsi="微软雅黑" w:eastAsia="微软雅黑"/>
          <w:b/>
          <w:bCs/>
          <w:color w:val="595959"/>
          <w:sz w:val="24"/>
          <w:szCs w:val="24"/>
        </w:rPr>
        <w:t>整体</w:t>
      </w:r>
      <w:r>
        <w:rPr>
          <w:rFonts w:hint="eastAsia" w:ascii="微软雅黑" w:hAnsi="微软雅黑" w:eastAsia="微软雅黑"/>
          <w:b/>
          <w:bCs/>
          <w:color w:val="595959"/>
          <w:sz w:val="24"/>
          <w:szCs w:val="24"/>
          <w:lang w:val="en-US" w:eastAsia="zh-CN"/>
        </w:rPr>
        <w:t>纲要</w:t>
      </w:r>
    </w:p>
    <w:p>
      <w:pPr>
        <w:numPr>
          <w:ilvl w:val="0"/>
          <w:numId w:val="3"/>
        </w:numPr>
        <w:adjustRightInd w:val="0"/>
        <w:snapToGrid w:val="0"/>
        <w:spacing w:before="120" w:line="360" w:lineRule="atLeast"/>
        <w:ind w:left="420" w:leftChars="0" w:right="-153" w:rightChars="-73" w:hanging="420" w:firstLineChars="0"/>
        <w:textAlignment w:val="baseline"/>
        <w:rPr>
          <w:rFonts w:hint="eastAsia" w:ascii="微软雅黑" w:hAnsi="微软雅黑" w:eastAsia="微软雅黑"/>
          <w:b/>
          <w:bCs/>
          <w:i/>
          <w:iCs/>
          <w:sz w:val="24"/>
        </w:rPr>
      </w:pPr>
      <w:r>
        <w:rPr>
          <w:rFonts w:hint="eastAsia" w:ascii="微软雅黑" w:hAnsi="微软雅黑" w:eastAsia="微软雅黑"/>
          <w:b/>
          <w:bCs/>
          <w:i/>
          <w:iCs/>
          <w:lang w:val="en-US" w:eastAsia="zh-CN"/>
        </w:rPr>
        <w:t xml:space="preserve">策略篇  </w:t>
      </w:r>
      <w:r>
        <w:rPr>
          <w:rFonts w:hint="eastAsia" w:ascii="微软雅黑" w:hAnsi="微软雅黑" w:eastAsia="微软雅黑"/>
          <w:b/>
          <w:bCs/>
          <w:i/>
          <w:iCs/>
        </w:rPr>
        <w:t xml:space="preserve">单元1-2: 分析谈判策略筹码 ——做一个明智的谈判者 </w:t>
      </w:r>
      <w:r>
        <w:rPr>
          <w:rFonts w:hint="eastAsia" w:ascii="微软雅黑" w:hAnsi="微软雅黑" w:eastAsia="微软雅黑"/>
          <w:b/>
          <w:bCs/>
          <w:i/>
          <w:iCs/>
          <w:lang w:eastAsia="zh-CN"/>
        </w:rPr>
        <w:t>（</w:t>
      </w:r>
      <w:r>
        <w:rPr>
          <w:rFonts w:hint="eastAsia" w:ascii="微软雅黑" w:hAnsi="微软雅黑" w:eastAsia="微软雅黑"/>
          <w:b/>
          <w:bCs/>
          <w:i/>
          <w:iCs/>
          <w:lang w:val="en-US" w:eastAsia="zh-CN"/>
        </w:rPr>
        <w:t>上谈判桌前</w:t>
      </w:r>
      <w:r>
        <w:rPr>
          <w:rFonts w:hint="eastAsia" w:ascii="微软雅黑" w:hAnsi="微软雅黑" w:eastAsia="微软雅黑"/>
          <w:b/>
          <w:bCs/>
          <w:i/>
          <w:iCs/>
          <w:color w:val="C00000"/>
          <w:lang w:val="en-US" w:eastAsia="zh-CN"/>
        </w:rPr>
        <w:t>备武器</w:t>
      </w:r>
      <w:r>
        <w:rPr>
          <w:rFonts w:hint="eastAsia" w:ascii="微软雅黑" w:hAnsi="微软雅黑" w:eastAsia="微软雅黑"/>
          <w:b/>
          <w:bCs/>
          <w:i/>
          <w:iCs/>
          <w:lang w:eastAsia="zh-CN"/>
        </w:rPr>
        <w:t>）</w:t>
      </w:r>
    </w:p>
    <w:p>
      <w:pPr>
        <w:numPr>
          <w:ilvl w:val="0"/>
          <w:numId w:val="3"/>
        </w:numPr>
        <w:adjustRightInd w:val="0"/>
        <w:snapToGrid w:val="0"/>
        <w:spacing w:before="120" w:line="360" w:lineRule="atLeast"/>
        <w:ind w:left="420" w:leftChars="0" w:right="-153" w:rightChars="-73" w:hanging="420" w:firstLineChars="0"/>
        <w:textAlignment w:val="baseline"/>
        <w:rPr>
          <w:rFonts w:hint="eastAsia" w:ascii="微软雅黑" w:hAnsi="微软雅黑" w:eastAsia="微软雅黑"/>
          <w:b/>
          <w:bCs/>
          <w:i/>
          <w:iCs/>
          <w:sz w:val="24"/>
        </w:rPr>
      </w:pPr>
      <w:r>
        <w:rPr>
          <w:rFonts w:hint="eastAsia" w:ascii="微软雅黑" w:hAnsi="微软雅黑" w:eastAsia="微软雅黑"/>
          <w:b/>
          <w:bCs/>
          <w:i/>
          <w:iCs/>
          <w:lang w:val="en-US" w:eastAsia="zh-CN"/>
        </w:rPr>
        <w:t xml:space="preserve">技巧篇  </w:t>
      </w:r>
      <w:r>
        <w:rPr>
          <w:rFonts w:hint="eastAsia" w:ascii="微软雅黑" w:hAnsi="微软雅黑" w:eastAsia="微软雅黑"/>
          <w:b/>
          <w:bCs/>
          <w:i/>
          <w:iCs/>
        </w:rPr>
        <w:t xml:space="preserve">单元3-6: 把握谈判步骤进程 ——做一个专业的谈判者 </w:t>
      </w:r>
      <w:r>
        <w:rPr>
          <w:rFonts w:hint="eastAsia" w:ascii="微软雅黑" w:hAnsi="微软雅黑" w:eastAsia="微软雅黑"/>
          <w:b/>
          <w:bCs/>
          <w:i/>
          <w:iCs/>
          <w:lang w:eastAsia="zh-CN"/>
        </w:rPr>
        <w:t>（</w:t>
      </w:r>
      <w:r>
        <w:rPr>
          <w:rFonts w:hint="eastAsia" w:ascii="微软雅黑" w:hAnsi="微软雅黑" w:eastAsia="微软雅黑"/>
          <w:b/>
          <w:bCs/>
          <w:i/>
          <w:iCs/>
          <w:lang w:val="en-US" w:eastAsia="zh-CN"/>
        </w:rPr>
        <w:t>上谈判桌后</w:t>
      </w:r>
      <w:r>
        <w:rPr>
          <w:rFonts w:hint="eastAsia" w:ascii="微软雅黑" w:hAnsi="微软雅黑" w:eastAsia="微软雅黑"/>
          <w:b/>
          <w:bCs/>
          <w:i/>
          <w:iCs/>
          <w:color w:val="C00000"/>
          <w:lang w:val="en-US" w:eastAsia="zh-CN"/>
        </w:rPr>
        <w:t>耍套路</w:t>
      </w:r>
      <w:r>
        <w:rPr>
          <w:rFonts w:hint="eastAsia" w:ascii="微软雅黑" w:hAnsi="微软雅黑" w:eastAsia="微软雅黑"/>
          <w:b/>
          <w:bCs/>
          <w:i/>
          <w:iCs/>
          <w:lang w:eastAsia="zh-CN"/>
        </w:rPr>
        <w:t>）</w:t>
      </w:r>
    </w:p>
    <w:p>
      <w:pPr>
        <w:pStyle w:val="16"/>
        <w:numPr>
          <w:ilvl w:val="0"/>
          <w:numId w:val="0"/>
        </w:numPr>
        <w:tabs>
          <w:tab w:val="left" w:pos="1040"/>
        </w:tabs>
        <w:autoSpaceDE w:val="0"/>
        <w:autoSpaceDN w:val="0"/>
        <w:snapToGrid w:val="0"/>
        <w:spacing w:before="120" w:line="300" w:lineRule="exact"/>
        <w:ind w:leftChars="0" w:right="-454" w:rightChars="0"/>
        <w:textAlignment w:val="bottom"/>
        <w:rPr>
          <w:rFonts w:hint="eastAsia" w:ascii="微软雅黑" w:hAnsi="微软雅黑" w:eastAsia="微软雅黑" w:cs="微软雅黑"/>
          <w:b/>
          <w:color w:val="000000"/>
          <w:sz w:val="24"/>
          <w:szCs w:val="24"/>
          <w:u w:val="single"/>
          <w:shd w:val="pct10" w:color="auto" w:fill="FFFFFF"/>
          <w:lang w:val="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50" w:after="0" w:line="240" w:lineRule="auto"/>
        <w:ind w:leftChars="0"/>
        <w:textAlignment w:val="auto"/>
        <w:rPr>
          <w:rFonts w:hint="eastAsia" w:ascii="微软雅黑" w:hAnsi="微软雅黑" w:eastAsia="微软雅黑"/>
          <w:b/>
          <w:bCs/>
          <w:sz w:val="24"/>
          <w:szCs w:val="24"/>
          <w:u w:val="single"/>
          <w:shd w:val="clear" w:color="FFFFFF" w:fill="D9D9D9"/>
          <w:lang w:val="zh-CN" w:eastAsia="zh-CN"/>
        </w:rPr>
      </w:pPr>
      <w:r>
        <w:rPr>
          <w:rFonts w:hint="eastAsia" w:ascii="微软雅黑" w:hAnsi="微软雅黑" w:eastAsia="微软雅黑"/>
          <w:b/>
          <w:bCs/>
          <w:sz w:val="24"/>
          <w:szCs w:val="24"/>
          <w:u w:val="single"/>
          <w:shd w:val="clear" w:color="FFFFFF" w:fill="D9D9D9"/>
          <w:lang w:val="zh-CN" w:eastAsia="zh-CN"/>
        </w:rPr>
        <w:drawing>
          <wp:inline distT="0" distB="0" distL="114300" distR="114300">
            <wp:extent cx="4410710" cy="2405380"/>
            <wp:effectExtent l="0" t="0" r="8890" b="13970"/>
            <wp:docPr id="2" name="图片 1" descr="1643016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43016737(1)"/>
                    <pic:cNvPicPr>
                      <a:picLocks noChangeAspect="1"/>
                    </pic:cNvPicPr>
                  </pic:nvPicPr>
                  <pic:blipFill>
                    <a:blip r:embed="rId6"/>
                    <a:stretch>
                      <a:fillRect/>
                    </a:stretch>
                  </pic:blipFill>
                  <pic:spPr>
                    <a:xfrm>
                      <a:off x="0" y="0"/>
                      <a:ext cx="4410710" cy="2405380"/>
                    </a:xfrm>
                    <a:prstGeom prst="rect">
                      <a:avLst/>
                    </a:prstGeom>
                    <a:noFill/>
                    <a:ln>
                      <a:noFill/>
                    </a:ln>
                  </pic:spPr>
                </pic:pic>
              </a:graphicData>
            </a:graphic>
          </wp:inline>
        </w:drawing>
      </w:r>
    </w:p>
    <w:p>
      <w:pPr>
        <w:spacing w:line="460" w:lineRule="exact"/>
        <w:jc w:val="left"/>
        <w:rPr>
          <w:rFonts w:ascii="思源黑体 CN Heavy" w:hAnsi="思源黑体 CN Heavy" w:eastAsia="思源黑体 CN Heavy"/>
          <w:color w:val="000000" w:themeColor="text1"/>
          <w:sz w:val="24"/>
          <w:szCs w:val="24"/>
        </w:rPr>
      </w:pPr>
    </w:p>
    <w:p>
      <w:pPr>
        <w:tabs>
          <w:tab w:val="left" w:pos="600"/>
        </w:tabs>
        <w:spacing w:line="460" w:lineRule="exact"/>
        <w:jc w:val="left"/>
        <w:rPr>
          <w:rFonts w:ascii="思源黑体 CN Heavy" w:hAnsi="思源黑体 CN Heavy" w:eastAsia="思源黑体 CN Heavy"/>
          <w:b/>
          <w:color w:val="244061"/>
          <w:sz w:val="24"/>
          <w:szCs w:val="24"/>
        </w:rPr>
      </w:pPr>
    </w:p>
    <w:p>
      <w:pPr>
        <w:tabs>
          <w:tab w:val="left" w:pos="600"/>
        </w:tabs>
        <w:spacing w:line="460" w:lineRule="exact"/>
        <w:jc w:val="left"/>
        <w:rPr>
          <w:rFonts w:ascii="思源黑体 CN Heavy" w:hAnsi="思源黑体 CN Heavy" w:eastAsia="思源黑体 CN Heavy"/>
          <w:b/>
          <w:color w:val="244061"/>
          <w:sz w:val="24"/>
          <w:szCs w:val="24"/>
        </w:rPr>
      </w:pPr>
    </w:p>
    <w:p>
      <w:pPr>
        <w:tabs>
          <w:tab w:val="left" w:pos="600"/>
        </w:tabs>
        <w:spacing w:line="460" w:lineRule="exact"/>
        <w:jc w:val="left"/>
        <w:rPr>
          <w:rFonts w:ascii="思源黑体 CN Heavy" w:hAnsi="思源黑体 CN Heavy" w:eastAsia="思源黑体 CN Heavy"/>
          <w:b/>
          <w:color w:val="244061"/>
          <w:sz w:val="24"/>
          <w:szCs w:val="24"/>
        </w:rPr>
      </w:pPr>
    </w:p>
    <w:p>
      <w:pPr>
        <w:spacing w:line="460" w:lineRule="exact"/>
        <w:jc w:val="center"/>
        <w:rPr>
          <w:rFonts w:ascii="思源黑体 CN Heavy" w:hAnsi="思源黑体 CN Heavy" w:eastAsia="思源黑体 CN Heavy"/>
          <w:b/>
          <w:color w:val="244061"/>
          <w:sz w:val="32"/>
          <w:szCs w:val="24"/>
        </w:rPr>
      </w:pPr>
      <w:r>
        <w:rPr>
          <w:rFonts w:hint="eastAsia" w:ascii="思源黑体 CN Heavy" w:hAnsi="思源黑体 CN Heavy" w:eastAsia="思源黑体 CN Heavy"/>
          <w:b/>
          <w:color w:val="244061"/>
          <w:sz w:val="32"/>
          <w:szCs w:val="24"/>
        </w:rPr>
        <w:t>课程大纲</w:t>
      </w:r>
    </w:p>
    <w:p>
      <w:pPr>
        <w:spacing w:line="460" w:lineRule="exact"/>
        <w:jc w:val="center"/>
        <w:rPr>
          <w:rFonts w:ascii="思源黑体 CN Heavy" w:hAnsi="思源黑体 CN Heavy" w:eastAsia="思源黑体 CN Heavy"/>
          <w:b/>
          <w:color w:val="244061"/>
          <w:sz w:val="24"/>
          <w:szCs w:val="24"/>
        </w:rPr>
      </w:pPr>
    </w:p>
    <w:p>
      <w:pPr>
        <w:tabs>
          <w:tab w:val="left" w:pos="420"/>
        </w:tabs>
        <w:spacing w:before="120" w:beforeLines="50"/>
        <w:rPr>
          <w:rFonts w:hint="eastAsia" w:ascii="微软雅黑" w:hAnsi="微软雅黑" w:eastAsia="微软雅黑"/>
          <w:b/>
          <w:i/>
          <w:sz w:val="22"/>
          <w:lang w:val="en-US" w:eastAsia="zh-CN"/>
        </w:rPr>
      </w:pPr>
      <w:r>
        <w:rPr>
          <w:rFonts w:hint="eastAsia" w:ascii="微软雅黑" w:hAnsi="微软雅黑" w:eastAsia="微软雅黑"/>
          <w:b/>
          <w:i/>
          <w:sz w:val="22"/>
        </w:rPr>
        <w:t>单元1：</w:t>
      </w:r>
      <w:r>
        <w:rPr>
          <w:rFonts w:hint="eastAsia" w:ascii="微软雅黑" w:hAnsi="微软雅黑" w:eastAsia="微软雅黑"/>
          <w:b/>
          <w:i/>
          <w:sz w:val="22"/>
          <w:lang w:eastAsia="zh-CN"/>
        </w:rPr>
        <w:t>谈判思维 双赢理念</w:t>
      </w:r>
      <w:r>
        <w:rPr>
          <w:rFonts w:hint="eastAsia" w:ascii="微软雅黑" w:hAnsi="微软雅黑" w:eastAsia="微软雅黑"/>
          <w:b/>
          <w:i/>
          <w:sz w:val="22"/>
          <w:lang w:val="en-US" w:eastAsia="zh-CN"/>
        </w:rPr>
        <w:t xml:space="preserve">    </w:t>
      </w:r>
      <w:r>
        <w:rPr>
          <w:rFonts w:hint="eastAsia" w:ascii="微软雅黑" w:hAnsi="微软雅黑" w:eastAsia="微软雅黑"/>
          <w:b/>
          <w:i/>
          <w:sz w:val="22"/>
        </w:rPr>
        <w:t xml:space="preserve"> </w:t>
      </w:r>
      <w:r>
        <w:rPr>
          <w:rFonts w:hint="eastAsia" w:ascii="微软雅黑" w:hAnsi="微软雅黑" w:eastAsia="微软雅黑"/>
          <w:b/>
          <w:i/>
          <w:sz w:val="22"/>
          <w:lang w:val="en-US" w:eastAsia="zh-CN"/>
        </w:rPr>
        <w:t xml:space="preserve">          </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1.破冰讨论：何谓谈判？何谓双赢？谈判的运用范围与价值</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2.讨论分享：谈判的五种形态，Thomas Kilmann谈判量表，双赢谈判思维</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双赢思维，感觉共赢</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Chars="0" w:right="0" w:rightChars="0" w:firstLine="240" w:firstLineChars="100"/>
        <w:jc w:val="both"/>
        <w:textAlignment w:val="auto"/>
        <w:outlineLvl w:val="9"/>
        <w:rPr>
          <w:rFonts w:hint="default" w:ascii="微软雅黑" w:hAnsi="微软雅黑" w:eastAsia="微软雅黑"/>
          <w:sz w:val="22"/>
          <w:szCs w:val="22"/>
          <w:lang w:val="en-US" w:eastAsia="zh-CN"/>
        </w:rPr>
      </w:pPr>
      <w:r>
        <w:rPr>
          <w:rFonts w:hint="eastAsia" w:ascii="微软雅黑" w:hAnsi="微软雅黑" w:eastAsia="微软雅黑"/>
          <w:sz w:val="22"/>
          <w:szCs w:val="22"/>
          <w:lang w:val="en-US" w:eastAsia="zh-CN"/>
        </w:rPr>
        <w:t>3.掌握谈判思维三部曲：1）目标交集 2）换位思考找筹码 3）亮剑出鞘用筹码</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eastAsia"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案例研讨：竞争对手低价翘单，如何逆势反转突破？</w:t>
      </w:r>
    </w:p>
    <w:p>
      <w:pPr>
        <w:pStyle w:val="2"/>
        <w:snapToGrid w:val="0"/>
        <w:spacing w:before="0" w:after="0" w:line="240" w:lineRule="auto"/>
        <w:ind w:firstLine="240" w:firstLineChars="100"/>
        <w:rPr>
          <w:rFonts w:hint="eastAsia" w:ascii="微软雅黑" w:hAnsi="微软雅黑" w:eastAsia="微软雅黑"/>
          <w:b/>
          <w:color w:val="000080"/>
          <w:sz w:val="22"/>
        </w:rPr>
      </w:pPr>
      <w:r>
        <w:rPr>
          <w:rFonts w:hint="eastAsia" w:ascii="微软雅黑" w:hAnsi="微软雅黑" w:eastAsia="微软雅黑"/>
          <w:b/>
          <w:color w:val="000080"/>
          <w:sz w:val="22"/>
        </w:rPr>
        <w:t>目标:</w:t>
      </w:r>
    </w:p>
    <w:p>
      <w:pPr>
        <w:pStyle w:val="2"/>
        <w:numPr>
          <w:ilvl w:val="0"/>
          <w:numId w:val="4"/>
        </w:numPr>
        <w:tabs>
          <w:tab w:val="left" w:pos="420"/>
        </w:tabs>
        <w:adjustRightInd/>
        <w:snapToGrid w:val="0"/>
        <w:spacing w:before="0" w:after="0" w:line="360" w:lineRule="exact"/>
        <w:ind w:left="698"/>
        <w:jc w:val="both"/>
        <w:textAlignment w:val="auto"/>
        <w:rPr>
          <w:rFonts w:hint="default" w:ascii="微软雅黑" w:hAnsi="微软雅黑" w:eastAsia="微软雅黑"/>
          <w:color w:val="000080"/>
          <w:sz w:val="22"/>
          <w:szCs w:val="22"/>
          <w:lang w:val="en-US" w:eastAsia="zh-CN"/>
        </w:rPr>
      </w:pPr>
      <w:r>
        <w:rPr>
          <w:rFonts w:hint="eastAsia" w:ascii="微软雅黑" w:hAnsi="微软雅黑" w:eastAsia="微软雅黑"/>
          <w:color w:val="000080"/>
          <w:sz w:val="22"/>
          <w:szCs w:val="22"/>
          <w:lang w:val="en-US" w:eastAsia="zh-CN"/>
        </w:rPr>
        <w:t>建立培训共识，认知谈判的本质原理</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szCs w:val="22"/>
          <w:lang w:val="en-US" w:eastAsia="zh-CN"/>
        </w:rPr>
      </w:pPr>
      <w:r>
        <w:rPr>
          <w:rFonts w:hint="eastAsia" w:ascii="微软雅黑" w:hAnsi="微软雅黑" w:eastAsia="微软雅黑"/>
          <w:color w:val="000080"/>
          <w:sz w:val="22"/>
          <w:szCs w:val="22"/>
          <w:lang w:val="en-US" w:eastAsia="zh-CN"/>
        </w:rPr>
        <w:t>建立“双赢”的正确认知和谈判理念</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szCs w:val="22"/>
          <w:lang w:val="en-US" w:eastAsia="zh-CN"/>
        </w:rPr>
      </w:pPr>
      <w:r>
        <w:rPr>
          <w:rFonts w:hint="eastAsia" w:ascii="微软雅黑" w:hAnsi="微软雅黑" w:eastAsia="微软雅黑"/>
          <w:color w:val="000080"/>
          <w:sz w:val="22"/>
          <w:szCs w:val="22"/>
          <w:lang w:val="en-US" w:eastAsia="zh-CN"/>
        </w:rPr>
        <w:t>建立谈判的基础思维：1）目标交集 2）找筹码 3）巧用筹码</w:t>
      </w:r>
    </w:p>
    <w:p>
      <w:pPr>
        <w:pStyle w:val="2"/>
        <w:numPr>
          <w:ilvl w:val="0"/>
          <w:numId w:val="0"/>
        </w:numPr>
        <w:tabs>
          <w:tab w:val="left" w:pos="420"/>
        </w:tabs>
        <w:adjustRightInd/>
        <w:snapToGrid w:val="0"/>
        <w:spacing w:before="0" w:after="0" w:line="360" w:lineRule="exact"/>
        <w:ind w:left="278" w:leftChars="0"/>
        <w:jc w:val="both"/>
        <w:textAlignment w:val="auto"/>
        <w:rPr>
          <w:rFonts w:hint="eastAsia" w:ascii="微软雅黑" w:hAnsi="微软雅黑" w:eastAsia="微软雅黑"/>
          <w:color w:val="000080"/>
          <w:sz w:val="22"/>
          <w:szCs w:val="22"/>
          <w:lang w:val="en-US" w:eastAsia="zh-CN"/>
        </w:rPr>
      </w:pPr>
    </w:p>
    <w:p>
      <w:pPr>
        <w:tabs>
          <w:tab w:val="left" w:pos="420"/>
        </w:tabs>
        <w:spacing w:before="120" w:beforeLines="50"/>
        <w:rPr>
          <w:rFonts w:hint="eastAsia" w:ascii="微软雅黑" w:hAnsi="微软雅黑" w:eastAsia="微软雅黑"/>
          <w:b/>
          <w:i/>
          <w:sz w:val="22"/>
          <w:szCs w:val="22"/>
        </w:rPr>
      </w:pPr>
      <w:r>
        <w:rPr>
          <w:rFonts w:hint="eastAsia" w:ascii="微软雅黑" w:hAnsi="微软雅黑" w:eastAsia="微软雅黑"/>
          <w:b/>
          <w:i/>
          <w:sz w:val="22"/>
          <w:szCs w:val="22"/>
        </w:rPr>
        <w:t>单元2：分析策略</w:t>
      </w:r>
      <w:r>
        <w:rPr>
          <w:rFonts w:hint="eastAsia" w:ascii="微软雅黑" w:hAnsi="微软雅黑" w:eastAsia="微软雅黑"/>
          <w:b/>
          <w:i/>
          <w:sz w:val="22"/>
          <w:szCs w:val="22"/>
          <w:lang w:val="en-US" w:eastAsia="zh-CN"/>
        </w:rPr>
        <w:t xml:space="preserve"> 寻找</w:t>
      </w:r>
      <w:r>
        <w:rPr>
          <w:rFonts w:hint="eastAsia" w:ascii="微软雅黑" w:hAnsi="微软雅黑" w:eastAsia="微软雅黑"/>
          <w:b/>
          <w:i/>
          <w:sz w:val="22"/>
          <w:szCs w:val="22"/>
        </w:rPr>
        <w:t xml:space="preserve">筹码               </w:t>
      </w:r>
      <w:r>
        <w:rPr>
          <w:rFonts w:hint="eastAsia" w:ascii="微软雅黑" w:hAnsi="微软雅黑" w:eastAsia="微软雅黑"/>
          <w:b/>
          <w:i/>
          <w:sz w:val="22"/>
          <w:szCs w:val="22"/>
          <w:lang w:val="en-US" w:eastAsia="zh-CN"/>
        </w:rPr>
        <w:t xml:space="preserve"> </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default" w:ascii="微软雅黑" w:hAnsi="微软雅黑" w:eastAsia="微软雅黑"/>
          <w:sz w:val="22"/>
          <w:szCs w:val="22"/>
          <w:lang w:val="en-US" w:eastAsia="zh-CN"/>
        </w:rPr>
      </w:pPr>
      <w:r>
        <w:rPr>
          <w:rFonts w:hint="eastAsia" w:ascii="微软雅黑" w:hAnsi="微软雅黑" w:eastAsia="微软雅黑"/>
          <w:sz w:val="22"/>
          <w:szCs w:val="22"/>
          <w:lang w:val="en-US" w:eastAsia="zh-CN"/>
        </w:rPr>
        <w:t>1.分析谈判策略，突破思维六个维度找筹码</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上谈判桌前必先找筹码，了解策略性谈判的基本原则</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如何逼对方上谈判桌？</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各种利弊、时间、权威、选择权、吓唬威胁、第三方舆论等筹码分析运用（举证说明）</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default" w:ascii="微软雅黑" w:hAnsi="微软雅黑" w:eastAsia="微软雅黑"/>
          <w:sz w:val="22"/>
          <w:szCs w:val="22"/>
          <w:lang w:val="en-US" w:eastAsia="zh-CN"/>
        </w:rPr>
      </w:pPr>
      <w:r>
        <w:rPr>
          <w:rFonts w:hint="eastAsia" w:ascii="微软雅黑" w:hAnsi="微软雅黑" w:eastAsia="微软雅黑"/>
          <w:sz w:val="22"/>
          <w:szCs w:val="22"/>
          <w:lang w:val="en-US" w:eastAsia="zh-CN"/>
        </w:rPr>
        <w:t>突破思维六个维度找筹码，打组合拳运用筹码</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站在对方角度寻找和创造筹码</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案例：对方高高在上或推三阻四，如何逼人上谈判桌？如何用第三方筹码？</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案例：与政府官员砍地价，官员强势不松口，如何突破？</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案例：塑造特定时限下的不可替代性筹码</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2.困境下的谈判策略剖析，逆势反转找筹码</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逆势环境下如何突破，如何逆势反转找筹码？</w:t>
      </w:r>
    </w:p>
    <w:p>
      <w:pPr>
        <w:pStyle w:val="2"/>
        <w:keepNext w:val="0"/>
        <w:keepLines w:val="0"/>
        <w:pageBreakBefore w:val="0"/>
        <w:widowControl w:val="0"/>
        <w:numPr>
          <w:ilvl w:val="0"/>
          <w:numId w:val="5"/>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单点突破；2）优势挂钩；3）利益结盟；4）以退为进</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default" w:ascii="微软雅黑" w:hAnsi="微软雅黑" w:eastAsia="微软雅黑"/>
          <w:sz w:val="22"/>
          <w:szCs w:val="22"/>
          <w:lang w:val="en-US" w:eastAsia="zh-CN"/>
        </w:rPr>
      </w:pPr>
      <w:r>
        <w:rPr>
          <w:rFonts w:hint="eastAsia" w:ascii="微软雅黑" w:hAnsi="微软雅黑" w:eastAsia="微软雅黑"/>
          <w:sz w:val="22"/>
          <w:szCs w:val="22"/>
          <w:lang w:val="en-US" w:eastAsia="zh-CN"/>
        </w:rPr>
        <w:t>以退为进——最后的退路就是出路，寻找突破口</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有筹码运用筹码，没有筹码创造筹码</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3.谈判力量剖析练习，探寻我司的优势筹码</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案例剖析:谈判的力量分析与筹码转换，心理博弈</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练习讨论:我方和对方的优势筹码</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eastAsia"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视频案例剖析：甲乙双方的筹码转换、提升势能</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案例：大型项目购买的大甲方准备清单</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b/>
          <w:color w:val="333333"/>
          <w:sz w:val="22"/>
          <w:szCs w:val="22"/>
          <w:lang w:val="en-US" w:eastAsia="zh-CN"/>
        </w:rPr>
        <w:t>脑力风暴讨论：建立自己团队常用的筹码库</w:t>
      </w:r>
      <w:r>
        <w:rPr>
          <w:rFonts w:hint="eastAsia" w:ascii="微软雅黑" w:hAnsi="微软雅黑" w:eastAsia="微软雅黑"/>
          <w:sz w:val="22"/>
          <w:szCs w:val="22"/>
          <w:lang w:val="en-US" w:eastAsia="zh-CN"/>
        </w:rPr>
        <w:t>;</w:t>
      </w:r>
    </w:p>
    <w:p>
      <w:pPr>
        <w:pStyle w:val="2"/>
        <w:snapToGrid w:val="0"/>
        <w:spacing w:before="0" w:after="0" w:line="240" w:lineRule="auto"/>
        <w:ind w:firstLine="240" w:firstLineChars="100"/>
        <w:rPr>
          <w:rFonts w:hint="eastAsia" w:ascii="微软雅黑" w:hAnsi="微软雅黑" w:eastAsia="微软雅黑"/>
          <w:b/>
          <w:color w:val="000080"/>
          <w:sz w:val="22"/>
        </w:rPr>
      </w:pPr>
      <w:r>
        <w:rPr>
          <w:rFonts w:hint="eastAsia" w:ascii="微软雅黑" w:hAnsi="微软雅黑" w:eastAsia="微软雅黑"/>
          <w:b/>
          <w:color w:val="000080"/>
          <w:sz w:val="22"/>
        </w:rPr>
        <w:t>目标:</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lang w:val="en-US" w:eastAsia="zh-CN"/>
        </w:rPr>
      </w:pPr>
      <w:r>
        <w:rPr>
          <w:rFonts w:hint="eastAsia" w:ascii="微软雅黑" w:hAnsi="微软雅黑" w:eastAsia="微软雅黑"/>
          <w:color w:val="000080"/>
          <w:sz w:val="22"/>
          <w:lang w:val="en-US" w:eastAsia="zh-CN"/>
        </w:rPr>
        <w:t xml:space="preserve"> 运用“六个维度找筹码”的工具表</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szCs w:val="22"/>
          <w:lang w:val="en-US" w:eastAsia="zh-CN"/>
        </w:rPr>
      </w:pPr>
      <w:r>
        <w:rPr>
          <w:rFonts w:hint="eastAsia" w:ascii="微软雅黑" w:hAnsi="微软雅黑" w:eastAsia="微软雅黑"/>
          <w:color w:val="000080"/>
          <w:sz w:val="22"/>
          <w:szCs w:val="22"/>
          <w:lang w:val="en-US" w:eastAsia="zh-CN"/>
        </w:rPr>
        <w:t xml:space="preserve"> 学习“造势”的各种力量调整法，逆势反转找筹码，找到谈判突破点。</w:t>
      </w:r>
    </w:p>
    <w:p>
      <w:pPr>
        <w:pStyle w:val="2"/>
        <w:numPr>
          <w:ilvl w:val="0"/>
          <w:numId w:val="4"/>
        </w:numPr>
        <w:tabs>
          <w:tab w:val="left" w:pos="420"/>
        </w:tabs>
        <w:adjustRightInd/>
        <w:snapToGrid w:val="0"/>
        <w:spacing w:before="0" w:after="0" w:line="360" w:lineRule="exact"/>
        <w:ind w:left="698"/>
        <w:jc w:val="both"/>
        <w:textAlignment w:val="auto"/>
        <w:rPr>
          <w:rFonts w:hint="default" w:ascii="微软雅黑" w:hAnsi="微软雅黑" w:eastAsia="微软雅黑"/>
          <w:color w:val="000080"/>
          <w:sz w:val="22"/>
          <w:szCs w:val="22"/>
          <w:lang w:val="en-US" w:eastAsia="zh-CN"/>
        </w:rPr>
      </w:pPr>
      <w:r>
        <w:rPr>
          <w:rFonts w:hint="eastAsia" w:ascii="微软雅黑" w:hAnsi="微软雅黑" w:eastAsia="微软雅黑"/>
          <w:color w:val="000080"/>
          <w:sz w:val="22"/>
          <w:szCs w:val="22"/>
          <w:lang w:val="en-US" w:eastAsia="zh-CN"/>
        </w:rPr>
        <w:t xml:space="preserve"> 探讨我方谈判真实场景的”筹码库“，学会不同维度找筹码</w:t>
      </w:r>
    </w:p>
    <w:p>
      <w:pPr>
        <w:tabs>
          <w:tab w:val="left" w:pos="420"/>
        </w:tabs>
        <w:spacing w:before="120" w:beforeLines="50" w:line="440" w:lineRule="exact"/>
        <w:rPr>
          <w:rFonts w:hint="eastAsia" w:ascii="微软雅黑" w:hAnsi="微软雅黑" w:eastAsia="微软雅黑"/>
          <w:b/>
          <w:i/>
          <w:sz w:val="22"/>
        </w:rPr>
      </w:pPr>
      <w:r>
        <w:rPr>
          <w:rFonts w:hint="eastAsia" w:ascii="微软雅黑" w:hAnsi="微软雅黑" w:eastAsia="微软雅黑"/>
          <w:b/>
          <w:i/>
          <w:sz w:val="22"/>
        </w:rPr>
        <w:t>单元</w:t>
      </w:r>
      <w:r>
        <w:rPr>
          <w:rFonts w:hint="eastAsia" w:ascii="微软雅黑" w:hAnsi="微软雅黑" w:eastAsia="微软雅黑"/>
          <w:b/>
          <w:i/>
          <w:sz w:val="22"/>
          <w:lang w:val="en-US" w:eastAsia="zh-CN"/>
        </w:rPr>
        <w:t>3</w:t>
      </w:r>
      <w:r>
        <w:rPr>
          <w:rFonts w:hint="eastAsia" w:ascii="微软雅黑" w:hAnsi="微软雅黑" w:eastAsia="微软雅黑"/>
          <w:b/>
          <w:i/>
          <w:sz w:val="22"/>
        </w:rPr>
        <w:t>：谈判步骤（一）——开</w:t>
      </w:r>
      <w:r>
        <w:rPr>
          <w:rFonts w:hint="eastAsia" w:ascii="微软雅黑" w:hAnsi="微软雅黑" w:eastAsia="微软雅黑"/>
          <w:b/>
          <w:i/>
          <w:sz w:val="22"/>
          <w:lang w:val="en-US" w:eastAsia="zh-CN"/>
        </w:rPr>
        <w:t>场造势</w:t>
      </w:r>
      <w:r>
        <w:rPr>
          <w:rFonts w:hint="eastAsia" w:ascii="微软雅黑" w:hAnsi="微软雅黑" w:eastAsia="微软雅黑"/>
          <w:b/>
          <w:i/>
          <w:sz w:val="22"/>
        </w:rPr>
        <w:t xml:space="preserve">      </w:t>
      </w:r>
      <w:r>
        <w:rPr>
          <w:rFonts w:hint="eastAsia" w:ascii="微软雅黑" w:hAnsi="微软雅黑" w:eastAsia="微软雅黑"/>
          <w:b/>
          <w:i/>
          <w:sz w:val="22"/>
          <w:lang w:val="en-US" w:eastAsia="zh-CN"/>
        </w:rPr>
        <w:t xml:space="preserve">    </w:t>
      </w:r>
      <w:r>
        <w:rPr>
          <w:rFonts w:hint="eastAsia" w:ascii="微软雅黑" w:hAnsi="微软雅黑" w:eastAsia="微软雅黑"/>
          <w:b/>
          <w:i/>
          <w:sz w:val="22"/>
        </w:rPr>
        <w:t xml:space="preserve"> </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val="en-US" w:eastAsia="zh-CN"/>
        </w:rPr>
        <w:t>1.</w:t>
      </w:r>
      <w:r>
        <w:rPr>
          <w:rFonts w:hint="eastAsia" w:ascii="微软雅黑" w:hAnsi="微软雅黑" w:eastAsia="微软雅黑"/>
          <w:sz w:val="22"/>
          <w:szCs w:val="22"/>
          <w:lang w:eastAsia="zh-CN"/>
        </w:rPr>
        <w:t>PPP谈判开场陈述模式（Purpose目的、Process过程、Payoff收益）</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eastAsia="zh-CN"/>
        </w:rPr>
        <w:t>开局破冰、引进包厢、定位定调</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val="en-US" w:eastAsia="zh-CN"/>
        </w:rPr>
        <w:t>如何巧妙地从一开始就掌握话语权</w:t>
      </w: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如何定位定调？</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val="en-US" w:eastAsia="zh-CN"/>
        </w:rPr>
        <w:t>2.硬破冰和软破冰</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硬破冰</w:t>
      </w: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与</w:t>
      </w: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软破冰</w:t>
      </w:r>
      <w:r>
        <w:rPr>
          <w:rFonts w:hint="eastAsia" w:ascii="微软雅黑" w:hAnsi="微软雅黑" w:eastAsia="微软雅黑"/>
          <w:sz w:val="22"/>
          <w:szCs w:val="22"/>
          <w:lang w:eastAsia="zh-CN"/>
        </w:rPr>
        <w:t>”;</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default" w:ascii="微软雅黑" w:hAnsi="微软雅黑" w:eastAsia="微软雅黑"/>
          <w:sz w:val="22"/>
          <w:szCs w:val="22"/>
          <w:lang w:val="en-US" w:eastAsia="zh-CN"/>
        </w:rPr>
      </w:pPr>
      <w:r>
        <w:rPr>
          <w:rFonts w:hint="eastAsia" w:ascii="微软雅黑" w:hAnsi="微软雅黑" w:eastAsia="微软雅黑"/>
          <w:sz w:val="22"/>
          <w:szCs w:val="22"/>
          <w:lang w:val="en-US" w:eastAsia="zh-CN"/>
        </w:rPr>
        <w:t>用软语去</w:t>
      </w: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硬破冰</w:t>
      </w: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增进势能</w:t>
      </w:r>
    </w:p>
    <w:p>
      <w:pPr>
        <w:pStyle w:val="2"/>
        <w:keepNext w:val="0"/>
        <w:keepLines w:val="0"/>
        <w:pageBreakBefore w:val="0"/>
        <w:widowControl w:val="0"/>
        <w:numPr>
          <w:ilvl w:val="0"/>
          <w:numId w:val="0"/>
        </w:numPr>
        <w:tabs>
          <w:tab w:val="left" w:pos="263"/>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val="en-US" w:eastAsia="zh-CN"/>
        </w:rPr>
        <w:t>3.硬破冰和软破冰</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eastAsia="zh-CN"/>
        </w:rPr>
        <w:t>基于“立场”和“利益”两方面的谈判;</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eastAsia="zh-CN"/>
        </w:rPr>
        <w:t>练习区分“</w:t>
      </w:r>
      <w:r>
        <w:rPr>
          <w:rFonts w:hint="eastAsia" w:ascii="微软雅黑" w:hAnsi="微软雅黑" w:eastAsia="微软雅黑"/>
          <w:sz w:val="22"/>
          <w:szCs w:val="22"/>
          <w:lang w:val="en-US" w:eastAsia="zh-CN"/>
        </w:rPr>
        <w:t>公家</w:t>
      </w:r>
      <w:r>
        <w:rPr>
          <w:rFonts w:hint="eastAsia" w:ascii="微软雅黑" w:hAnsi="微软雅黑" w:eastAsia="微软雅黑"/>
          <w:sz w:val="22"/>
          <w:szCs w:val="22"/>
          <w:lang w:eastAsia="zh-CN"/>
        </w:rPr>
        <w:t>利益”/“感性利益”/“个人利益”</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案例：跟股东谈股权重新分配</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案例：跟政府官员谈责任风险</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案例：视频案例《芈月传》剖析谈判筹码综合运用</w:t>
      </w:r>
    </w:p>
    <w:p>
      <w:pPr>
        <w:pStyle w:val="2"/>
        <w:snapToGrid w:val="0"/>
        <w:spacing w:before="0" w:after="0" w:line="240" w:lineRule="auto"/>
        <w:ind w:firstLine="240" w:firstLineChars="100"/>
        <w:rPr>
          <w:rFonts w:hint="eastAsia" w:ascii="微软雅黑" w:hAnsi="微软雅黑" w:eastAsia="微软雅黑"/>
          <w:b/>
          <w:color w:val="000080"/>
          <w:sz w:val="22"/>
        </w:rPr>
      </w:pPr>
      <w:r>
        <w:rPr>
          <w:rFonts w:hint="eastAsia" w:ascii="微软雅黑" w:hAnsi="微软雅黑" w:eastAsia="微软雅黑"/>
          <w:b/>
          <w:color w:val="000080"/>
          <w:sz w:val="22"/>
        </w:rPr>
        <w:t>目标:</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lang w:val="en-US" w:eastAsia="zh-CN"/>
        </w:rPr>
      </w:pPr>
      <w:r>
        <w:rPr>
          <w:rFonts w:hint="eastAsia" w:ascii="微软雅黑" w:hAnsi="微软雅黑" w:eastAsia="微软雅黑"/>
          <w:color w:val="000080"/>
          <w:sz w:val="22"/>
          <w:lang w:val="en-US" w:eastAsia="zh-CN"/>
        </w:rPr>
        <w:t>谈判步骤（一）——开场造势 阶段目标：造势布局、定位定调</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lang w:val="en-US" w:eastAsia="zh-CN"/>
        </w:rPr>
      </w:pPr>
      <w:r>
        <w:rPr>
          <w:rFonts w:hint="eastAsia" w:ascii="微软雅黑" w:hAnsi="微软雅黑" w:eastAsia="微软雅黑"/>
          <w:color w:val="000080"/>
          <w:sz w:val="22"/>
          <w:lang w:val="en-US" w:eastAsia="zh-CN"/>
        </w:rPr>
        <w:t>会视情形运用“软破冰”或“硬破冰”，增进势能</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lang w:val="en-US" w:eastAsia="zh-CN"/>
        </w:rPr>
      </w:pPr>
      <w:r>
        <w:rPr>
          <w:rFonts w:hint="eastAsia" w:ascii="微软雅黑" w:hAnsi="微软雅黑" w:eastAsia="微软雅黑"/>
          <w:color w:val="000080"/>
          <w:sz w:val="22"/>
          <w:lang w:val="en-US" w:eastAsia="zh-CN"/>
        </w:rPr>
        <w:t>分析基于表面立场背后的“利益”，学习站在对方角度分析背后的利益点</w:t>
      </w:r>
    </w:p>
    <w:p>
      <w:pPr>
        <w:tabs>
          <w:tab w:val="left" w:pos="420"/>
        </w:tabs>
        <w:spacing w:before="120" w:beforeLines="50" w:line="440" w:lineRule="exact"/>
        <w:rPr>
          <w:rFonts w:hint="eastAsia" w:ascii="微软雅黑" w:hAnsi="微软雅黑" w:eastAsia="微软雅黑"/>
          <w:b/>
          <w:i/>
          <w:sz w:val="22"/>
          <w:lang w:val="en-US" w:eastAsia="zh-CN"/>
        </w:rPr>
      </w:pPr>
      <w:r>
        <w:rPr>
          <w:rFonts w:hint="eastAsia" w:ascii="微软雅黑" w:hAnsi="微软雅黑" w:eastAsia="微软雅黑"/>
          <w:b/>
          <w:i/>
          <w:sz w:val="22"/>
        </w:rPr>
        <w:t>单元</w:t>
      </w:r>
      <w:r>
        <w:rPr>
          <w:rFonts w:hint="eastAsia" w:ascii="微软雅黑" w:hAnsi="微软雅黑" w:eastAsia="微软雅黑"/>
          <w:b/>
          <w:i/>
          <w:sz w:val="22"/>
          <w:lang w:val="en-US" w:eastAsia="zh-CN"/>
        </w:rPr>
        <w:t>4</w:t>
      </w:r>
      <w:r>
        <w:rPr>
          <w:rFonts w:hint="eastAsia" w:ascii="微软雅黑" w:hAnsi="微软雅黑" w:eastAsia="微软雅黑"/>
          <w:b/>
          <w:i/>
          <w:sz w:val="22"/>
        </w:rPr>
        <w:t>：谈判步骤（二）——提案引导</w:t>
      </w:r>
      <w:r>
        <w:rPr>
          <w:rFonts w:hint="eastAsia" w:ascii="微软雅黑" w:hAnsi="微软雅黑" w:eastAsia="微软雅黑"/>
          <w:b/>
          <w:i/>
          <w:sz w:val="22"/>
          <w:lang w:val="en-US" w:eastAsia="zh-CN"/>
        </w:rPr>
        <w:t xml:space="preserve">  </w:t>
      </w:r>
      <w:r>
        <w:rPr>
          <w:rFonts w:hint="eastAsia" w:ascii="微软雅黑" w:hAnsi="微软雅黑" w:eastAsia="微软雅黑"/>
          <w:b/>
          <w:i/>
          <w:sz w:val="22"/>
        </w:rPr>
        <w:t xml:space="preserve">         </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1. 条件、引导式提案</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思考讨论：先开价还是后开价？</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用“条件句”开价，掌握主动权</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default" w:ascii="微软雅黑" w:hAnsi="微软雅黑" w:eastAsia="微软雅黑"/>
          <w:sz w:val="22"/>
          <w:szCs w:val="22"/>
          <w:lang w:val="en-US" w:eastAsia="zh-CN"/>
        </w:rPr>
      </w:pPr>
      <w:r>
        <w:rPr>
          <w:rFonts w:hint="eastAsia" w:ascii="微软雅黑" w:hAnsi="微软雅黑" w:eastAsia="微软雅黑"/>
          <w:sz w:val="22"/>
          <w:szCs w:val="22"/>
          <w:lang w:val="en-US" w:eastAsia="zh-CN"/>
        </w:rPr>
        <w:t>用“引导式”开价，引导期望值</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val="en-US" w:eastAsia="zh-CN"/>
        </w:rPr>
        <w:t>2.有理有据搭柱子提案强引导</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案例举证：用超低价买房谈判、跟老板谈升职加薪调岗、跨部门利益冲突协调</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出口成三</w:t>
      </w: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搭柱子提案法</w:t>
      </w:r>
      <w:r>
        <w:rPr>
          <w:rFonts w:hint="eastAsia" w:ascii="微软雅黑" w:hAnsi="微软雅黑" w:eastAsia="微软雅黑"/>
          <w:sz w:val="22"/>
          <w:szCs w:val="22"/>
          <w:lang w:eastAsia="zh-CN"/>
        </w:rPr>
        <w:t>;</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b/>
          <w:color w:val="333333"/>
          <w:sz w:val="22"/>
          <w:szCs w:val="22"/>
          <w:lang w:val="en-US" w:eastAsia="zh-CN"/>
        </w:rPr>
        <w:t>模拟演练：用学员小组真实案例模拟演练“搭柱子提案”</w:t>
      </w:r>
    </w:p>
    <w:p>
      <w:pPr>
        <w:pStyle w:val="2"/>
        <w:keepNext w:val="0"/>
        <w:keepLines w:val="0"/>
        <w:pageBreakBefore w:val="0"/>
        <w:widowControl w:val="0"/>
        <w:numPr>
          <w:ilvl w:val="0"/>
          <w:numId w:val="0"/>
        </w:numPr>
        <w:tabs>
          <w:tab w:val="left" w:pos="263"/>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default" w:ascii="微软雅黑" w:hAnsi="微软雅黑" w:eastAsia="微软雅黑"/>
          <w:sz w:val="22"/>
          <w:szCs w:val="22"/>
          <w:lang w:val="en-US" w:eastAsia="zh-CN"/>
        </w:rPr>
      </w:pPr>
      <w:r>
        <w:rPr>
          <w:rFonts w:hint="eastAsia" w:ascii="微软雅黑" w:hAnsi="微软雅黑" w:eastAsia="微软雅黑"/>
          <w:sz w:val="22"/>
          <w:szCs w:val="22"/>
          <w:lang w:val="en-US" w:eastAsia="zh-CN"/>
        </w:rPr>
        <w:t>3.探测推进四招</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强势高开硬出牌</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提供选择软出牌</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小利诱导请入瓮</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eastAsia="zh-CN"/>
        </w:rPr>
      </w:pPr>
      <w:r>
        <w:rPr>
          <w:rFonts w:hint="eastAsia" w:ascii="微软雅黑" w:hAnsi="微软雅黑" w:eastAsia="微软雅黑"/>
          <w:sz w:val="22"/>
          <w:szCs w:val="22"/>
          <w:lang w:eastAsia="zh-CN"/>
        </w:rPr>
        <w:t>先抑后扬定大局;</w:t>
      </w:r>
    </w:p>
    <w:p>
      <w:pPr>
        <w:pStyle w:val="2"/>
        <w:snapToGrid w:val="0"/>
        <w:spacing w:before="0" w:after="0" w:line="240" w:lineRule="auto"/>
        <w:ind w:firstLine="240" w:firstLineChars="100"/>
        <w:rPr>
          <w:rFonts w:hint="eastAsia" w:ascii="微软雅黑" w:hAnsi="微软雅黑" w:eastAsia="微软雅黑"/>
          <w:b/>
          <w:color w:val="000080"/>
          <w:sz w:val="22"/>
        </w:rPr>
      </w:pPr>
      <w:r>
        <w:rPr>
          <w:rFonts w:hint="eastAsia" w:ascii="微软雅黑" w:hAnsi="微软雅黑" w:eastAsia="微软雅黑"/>
          <w:b/>
          <w:color w:val="000080"/>
          <w:sz w:val="22"/>
        </w:rPr>
        <w:t>目标:</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rPr>
      </w:pPr>
      <w:r>
        <w:rPr>
          <w:rFonts w:hint="eastAsia" w:ascii="微软雅黑" w:hAnsi="微软雅黑" w:eastAsia="微软雅黑"/>
          <w:color w:val="000080"/>
          <w:sz w:val="22"/>
        </w:rPr>
        <w:t>谈判步骤（二）——提案引导</w:t>
      </w:r>
      <w:r>
        <w:rPr>
          <w:rFonts w:hint="eastAsia" w:ascii="微软雅黑" w:hAnsi="微软雅黑" w:eastAsia="微软雅黑"/>
          <w:color w:val="000080"/>
          <w:sz w:val="22"/>
          <w:lang w:val="en-US" w:eastAsia="zh-CN"/>
        </w:rPr>
        <w:t xml:space="preserve"> 阶段目标：影响对方期望值，探测对方底线</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rPr>
      </w:pPr>
      <w:r>
        <w:rPr>
          <w:rFonts w:hint="eastAsia" w:ascii="微软雅黑" w:hAnsi="微软雅黑" w:eastAsia="微软雅黑"/>
          <w:color w:val="000080"/>
          <w:sz w:val="22"/>
        </w:rPr>
        <w:t>学会运用“条件句”来提案并引导对方期望值</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rPr>
      </w:pPr>
      <w:r>
        <w:rPr>
          <w:rFonts w:hint="eastAsia" w:ascii="微软雅黑" w:hAnsi="微软雅黑" w:eastAsia="微软雅黑"/>
          <w:color w:val="000080"/>
          <w:sz w:val="22"/>
        </w:rPr>
        <w:t>掌握有理有据搭柱子的“提案思路”</w:t>
      </w:r>
    </w:p>
    <w:p>
      <w:pPr>
        <w:tabs>
          <w:tab w:val="left" w:pos="420"/>
        </w:tabs>
        <w:spacing w:before="120" w:beforeLines="50" w:line="440" w:lineRule="exact"/>
        <w:rPr>
          <w:rFonts w:hint="eastAsia" w:ascii="微软雅黑" w:hAnsi="微软雅黑" w:eastAsia="微软雅黑"/>
          <w:b/>
          <w:i/>
          <w:sz w:val="22"/>
          <w:lang w:val="en-US" w:eastAsia="zh-CN"/>
        </w:rPr>
      </w:pPr>
      <w:r>
        <w:rPr>
          <w:rFonts w:hint="eastAsia" w:ascii="微软雅黑" w:hAnsi="微软雅黑" w:eastAsia="微软雅黑"/>
          <w:b/>
          <w:i/>
          <w:sz w:val="22"/>
        </w:rPr>
        <w:t>单元</w:t>
      </w:r>
      <w:r>
        <w:rPr>
          <w:rFonts w:hint="eastAsia" w:ascii="微软雅黑" w:hAnsi="微软雅黑" w:eastAsia="微软雅黑"/>
          <w:b/>
          <w:i/>
          <w:sz w:val="22"/>
          <w:lang w:val="en-US" w:eastAsia="zh-CN"/>
        </w:rPr>
        <w:t>5</w:t>
      </w:r>
      <w:r>
        <w:rPr>
          <w:rFonts w:hint="eastAsia" w:ascii="微软雅黑" w:hAnsi="微软雅黑" w:eastAsia="微软雅黑"/>
          <w:b/>
          <w:i/>
          <w:sz w:val="22"/>
        </w:rPr>
        <w:t>：谈判步骤（三）——</w:t>
      </w:r>
      <w:r>
        <w:rPr>
          <w:rFonts w:hint="eastAsia" w:ascii="微软雅黑" w:hAnsi="微软雅黑" w:eastAsia="微软雅黑"/>
          <w:b/>
          <w:i/>
          <w:sz w:val="22"/>
          <w:lang w:val="en-US" w:eastAsia="zh-CN"/>
        </w:rPr>
        <w:t>议价推挡</w:t>
      </w:r>
      <w:r>
        <w:rPr>
          <w:rFonts w:hint="eastAsia" w:ascii="微软雅黑" w:hAnsi="微软雅黑" w:eastAsia="微软雅黑"/>
          <w:b/>
          <w:i/>
          <w:sz w:val="22"/>
        </w:rPr>
        <w:t xml:space="preserve">              </w:t>
      </w:r>
    </w:p>
    <w:p>
      <w:pPr>
        <w:pStyle w:val="2"/>
        <w:keepNext w:val="0"/>
        <w:keepLines w:val="0"/>
        <w:pageBreakBefore w:val="0"/>
        <w:widowControl w:val="0"/>
        <w:numPr>
          <w:ilvl w:val="0"/>
          <w:numId w:val="6"/>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议价心态与原则</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谈判桌上的心理博弈</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讨价还价的心理心态分析</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sz w:val="22"/>
          <w:szCs w:val="22"/>
          <w:lang w:val="en-US" w:eastAsia="zh-CN"/>
        </w:rPr>
      </w:pPr>
      <w:r>
        <w:rPr>
          <w:rFonts w:hint="eastAsia" w:ascii="微软雅黑" w:hAnsi="微软雅黑" w:eastAsia="微软雅黑"/>
          <w:sz w:val="22"/>
          <w:szCs w:val="22"/>
          <w:lang w:val="en-US" w:eastAsia="zh-CN"/>
        </w:rPr>
        <w:t>推挡博弈技巧——先挡后让</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sz w:val="22"/>
          <w:szCs w:val="22"/>
          <w:lang w:val="en-US" w:eastAsia="zh-CN"/>
        </w:rPr>
      </w:pPr>
      <w:r>
        <w:rPr>
          <w:rFonts w:hint="eastAsia" w:ascii="微软雅黑" w:hAnsi="微软雅黑" w:eastAsia="微软雅黑"/>
          <w:sz w:val="22"/>
          <w:szCs w:val="22"/>
          <w:lang w:val="en-US" w:eastAsia="zh-CN"/>
        </w:rPr>
        <w:t>讨价还价的原则：1）紧扣目标、坚守底线；2）最大争利；3）条件式让步</w:t>
      </w:r>
    </w:p>
    <w:p>
      <w:pPr>
        <w:pStyle w:val="2"/>
        <w:keepNext w:val="0"/>
        <w:keepLines w:val="0"/>
        <w:pageBreakBefore w:val="0"/>
        <w:widowControl w:val="0"/>
        <w:numPr>
          <w:ilvl w:val="0"/>
          <w:numId w:val="6"/>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让步的方法步骤</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让步技巧与推挡功夫</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三种常见让步方式</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讨价还价谈判的技巧(高抛、捍卫、做加法、做减法、交集法)</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让步的技巧和艺术</w:t>
      </w:r>
    </w:p>
    <w:p>
      <w:pPr>
        <w:pStyle w:val="2"/>
        <w:keepNext w:val="0"/>
        <w:keepLines w:val="0"/>
        <w:pageBreakBefore w:val="0"/>
        <w:widowControl w:val="0"/>
        <w:numPr>
          <w:ilvl w:val="0"/>
          <w:numId w:val="6"/>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条件式议价推挡</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让价格与各种条件捆绑,用各种组合探寻最有优势的谈判结果</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b/>
          <w:color w:val="333333"/>
          <w:sz w:val="22"/>
          <w:szCs w:val="22"/>
          <w:lang w:val="en-US" w:eastAsia="zh-CN"/>
        </w:rPr>
      </w:pPr>
      <w:r>
        <w:rPr>
          <w:rFonts w:hint="eastAsia" w:ascii="微软雅黑" w:hAnsi="微软雅黑" w:eastAsia="微软雅黑"/>
          <w:b/>
          <w:color w:val="333333"/>
          <w:sz w:val="22"/>
          <w:szCs w:val="22"/>
          <w:lang w:val="en-US" w:eastAsia="zh-CN"/>
        </w:rPr>
        <w:t xml:space="preserve">视频案例剖析：赎回人质的谈判视频剖析 </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default" w:ascii="微软雅黑" w:hAnsi="微软雅黑" w:eastAsia="微软雅黑"/>
          <w:sz w:val="22"/>
          <w:szCs w:val="22"/>
          <w:lang w:val="en-US" w:eastAsia="zh-CN"/>
        </w:rPr>
      </w:pPr>
      <w:r>
        <w:rPr>
          <w:rFonts w:hint="eastAsia" w:ascii="微软雅黑" w:hAnsi="微软雅黑" w:eastAsia="微软雅黑"/>
          <w:b/>
          <w:color w:val="333333"/>
          <w:sz w:val="22"/>
          <w:szCs w:val="22"/>
          <w:lang w:val="en-US" w:eastAsia="zh-CN"/>
        </w:rPr>
        <w:t>视频案例：《长沙保卫战》视频剖析：政治谈判的条件置换</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档的话术技巧</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以“NO”来传达信息，又能用“BUT”转换回来</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b/>
          <w:bCs/>
          <w:sz w:val="22"/>
          <w:szCs w:val="22"/>
          <w:lang w:val="en-US" w:eastAsia="zh-CN"/>
        </w:rPr>
      </w:pPr>
      <w:r>
        <w:rPr>
          <w:rFonts w:hint="eastAsia" w:ascii="微软雅黑" w:hAnsi="微软雅黑" w:eastAsia="微软雅黑"/>
          <w:b/>
          <w:bCs/>
          <w:sz w:val="22"/>
          <w:szCs w:val="22"/>
          <w:lang w:val="en-US" w:eastAsia="zh-CN"/>
        </w:rPr>
        <w:t>真实案例角色演练:议价 (用实际案例组与组之间PK挑战)</w:t>
      </w:r>
    </w:p>
    <w:p>
      <w:pPr>
        <w:pStyle w:val="2"/>
        <w:snapToGrid w:val="0"/>
        <w:spacing w:before="0" w:after="0" w:line="240" w:lineRule="auto"/>
        <w:ind w:firstLine="240" w:firstLineChars="100"/>
        <w:rPr>
          <w:rFonts w:hint="eastAsia" w:ascii="微软雅黑" w:hAnsi="微软雅黑" w:eastAsia="微软雅黑"/>
          <w:b/>
          <w:color w:val="000080"/>
          <w:sz w:val="22"/>
        </w:rPr>
      </w:pPr>
      <w:r>
        <w:rPr>
          <w:rFonts w:hint="eastAsia" w:ascii="微软雅黑" w:hAnsi="微软雅黑" w:eastAsia="微软雅黑"/>
          <w:b/>
          <w:color w:val="000080"/>
          <w:sz w:val="22"/>
        </w:rPr>
        <w:t>目标:</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rPr>
      </w:pPr>
      <w:r>
        <w:rPr>
          <w:rFonts w:hint="eastAsia" w:ascii="微软雅黑" w:hAnsi="微软雅黑" w:eastAsia="微软雅黑"/>
          <w:color w:val="000080"/>
          <w:sz w:val="22"/>
        </w:rPr>
        <w:t>谈判步骤（</w:t>
      </w:r>
      <w:r>
        <w:rPr>
          <w:rFonts w:hint="eastAsia" w:ascii="微软雅黑" w:hAnsi="微软雅黑" w:eastAsia="微软雅黑"/>
          <w:color w:val="000080"/>
          <w:sz w:val="22"/>
          <w:lang w:val="en-US" w:eastAsia="zh-CN"/>
        </w:rPr>
        <w:t>三</w:t>
      </w:r>
      <w:r>
        <w:rPr>
          <w:rFonts w:hint="eastAsia" w:ascii="微软雅黑" w:hAnsi="微软雅黑" w:eastAsia="微软雅黑"/>
          <w:color w:val="000080"/>
          <w:sz w:val="22"/>
        </w:rPr>
        <w:t>）——</w:t>
      </w:r>
      <w:r>
        <w:rPr>
          <w:rFonts w:hint="eastAsia" w:ascii="微软雅黑" w:hAnsi="微软雅黑" w:eastAsia="微软雅黑"/>
          <w:color w:val="000080"/>
          <w:sz w:val="22"/>
          <w:lang w:val="en-US" w:eastAsia="zh-CN"/>
        </w:rPr>
        <w:t>议价推挡 阶段目标：坚守底线、最大争利</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rPr>
      </w:pPr>
      <w:r>
        <w:rPr>
          <w:rFonts w:hint="eastAsia" w:ascii="微软雅黑" w:hAnsi="微软雅黑" w:eastAsia="微软雅黑"/>
          <w:color w:val="000080"/>
          <w:sz w:val="22"/>
        </w:rPr>
        <w:t>掌握“有条件让步”</w:t>
      </w:r>
      <w:r>
        <w:rPr>
          <w:rFonts w:hint="eastAsia" w:ascii="微软雅黑" w:hAnsi="微软雅黑" w:eastAsia="微软雅黑"/>
          <w:color w:val="000080"/>
          <w:sz w:val="22"/>
          <w:lang w:val="en-US" w:eastAsia="zh-CN"/>
        </w:rPr>
        <w:t>技巧</w:t>
      </w:r>
      <w:r>
        <w:rPr>
          <w:rFonts w:hint="eastAsia" w:ascii="微软雅黑" w:hAnsi="微软雅黑" w:eastAsia="微软雅黑"/>
          <w:color w:val="000080"/>
          <w:sz w:val="22"/>
          <w:lang w:eastAsia="zh-CN"/>
        </w:rPr>
        <w:t>，</w:t>
      </w:r>
      <w:r>
        <w:rPr>
          <w:rFonts w:hint="eastAsia" w:ascii="微软雅黑" w:hAnsi="微软雅黑" w:eastAsia="微软雅黑"/>
          <w:color w:val="000080"/>
          <w:sz w:val="22"/>
          <w:lang w:val="en-US" w:eastAsia="zh-CN"/>
        </w:rPr>
        <w:t>学习</w:t>
      </w:r>
      <w:r>
        <w:rPr>
          <w:rFonts w:hint="eastAsia" w:ascii="微软雅黑" w:hAnsi="微软雅黑" w:eastAsia="微软雅黑"/>
          <w:color w:val="000080"/>
          <w:sz w:val="22"/>
        </w:rPr>
        <w:t>谈判桌上的各种“推挡”功夫</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rPr>
      </w:pPr>
      <w:r>
        <w:rPr>
          <w:rFonts w:hint="eastAsia" w:ascii="微软雅黑" w:hAnsi="微软雅黑" w:eastAsia="微软雅黑"/>
          <w:color w:val="000080"/>
          <w:sz w:val="22"/>
          <w:lang w:val="en-US" w:eastAsia="zh-CN"/>
        </w:rPr>
        <w:t>运用真实案例进行大谈判练习，群策群力研讨和点评解决实际谈判问题</w:t>
      </w:r>
    </w:p>
    <w:p>
      <w:pPr>
        <w:numPr>
          <w:ilvl w:val="0"/>
          <w:numId w:val="0"/>
        </w:numPr>
        <w:tabs>
          <w:tab w:val="left" w:pos="420"/>
        </w:tabs>
        <w:spacing w:before="120" w:beforeLines="50" w:line="440" w:lineRule="exact"/>
        <w:rPr>
          <w:rFonts w:hint="eastAsia" w:ascii="微软雅黑" w:hAnsi="微软雅黑" w:eastAsia="微软雅黑"/>
          <w:b/>
          <w:i/>
          <w:sz w:val="22"/>
        </w:rPr>
      </w:pPr>
      <w:r>
        <w:rPr>
          <w:rFonts w:hint="eastAsia" w:ascii="微软雅黑" w:hAnsi="微软雅黑" w:eastAsia="微软雅黑"/>
          <w:b/>
          <w:i/>
          <w:sz w:val="22"/>
        </w:rPr>
        <w:t>单元</w:t>
      </w:r>
      <w:r>
        <w:rPr>
          <w:rFonts w:hint="eastAsia" w:ascii="微软雅黑" w:hAnsi="微软雅黑" w:eastAsia="微软雅黑"/>
          <w:b/>
          <w:i/>
          <w:sz w:val="22"/>
          <w:lang w:val="en-US" w:eastAsia="zh-CN"/>
        </w:rPr>
        <w:t>6</w:t>
      </w:r>
      <w:r>
        <w:rPr>
          <w:rFonts w:hint="eastAsia" w:ascii="微软雅黑" w:hAnsi="微软雅黑" w:eastAsia="微软雅黑"/>
          <w:b/>
          <w:i/>
          <w:sz w:val="22"/>
        </w:rPr>
        <w:t>：谈判步骤（四）——促成</w:t>
      </w:r>
      <w:r>
        <w:rPr>
          <w:rFonts w:hint="eastAsia" w:ascii="微软雅黑" w:hAnsi="微软雅黑" w:eastAsia="微软雅黑"/>
          <w:b/>
          <w:i/>
          <w:sz w:val="22"/>
          <w:lang w:val="en-US" w:eastAsia="zh-CN"/>
        </w:rPr>
        <w:t>共识</w:t>
      </w:r>
      <w:r>
        <w:rPr>
          <w:rFonts w:hint="eastAsia" w:ascii="微软雅黑" w:hAnsi="微软雅黑" w:eastAsia="微软雅黑"/>
          <w:b/>
          <w:i/>
          <w:sz w:val="22"/>
        </w:rPr>
        <w:t xml:space="preserve">          </w:t>
      </w:r>
    </w:p>
    <w:p>
      <w:pPr>
        <w:pStyle w:val="2"/>
        <w:keepNext w:val="0"/>
        <w:keepLines w:val="0"/>
        <w:pageBreakBefore w:val="0"/>
        <w:widowControl w:val="0"/>
        <w:numPr>
          <w:ilvl w:val="0"/>
          <w:numId w:val="7"/>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促进成交策略</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拓宽策略与逐项策略</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right="0" w:rightChars="0" w:firstLine="480" w:firstLineChars="2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达成共识的技巧(交集法,切割法,拓展法)</w:t>
      </w:r>
    </w:p>
    <w:p>
      <w:pPr>
        <w:pStyle w:val="2"/>
        <w:keepNext w:val="0"/>
        <w:keepLines w:val="0"/>
        <w:pageBreakBefore w:val="0"/>
        <w:widowControl w:val="0"/>
        <w:numPr>
          <w:ilvl w:val="0"/>
          <w:numId w:val="7"/>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应对突破僵局</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协议阶段可能出现的僵局突破</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探讨谈判中可能出现的各种僵局/异议/圈套等问题应对</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准备替代方案BATNA</w:t>
      </w:r>
    </w:p>
    <w:p>
      <w:pPr>
        <w:pStyle w:val="2"/>
        <w:keepNext w:val="0"/>
        <w:keepLines w:val="0"/>
        <w:pageBreakBefore w:val="0"/>
        <w:widowControl w:val="0"/>
        <w:numPr>
          <w:ilvl w:val="0"/>
          <w:numId w:val="7"/>
        </w:numPr>
        <w:tabs>
          <w:tab w:val="left" w:pos="420"/>
        </w:tabs>
        <w:kinsoku/>
        <w:wordWrap/>
        <w:overflowPunct/>
        <w:topLinePunct w:val="0"/>
        <w:autoSpaceDE/>
        <w:autoSpaceDN/>
        <w:bidi w:val="0"/>
        <w:adjustRightInd/>
        <w:snapToGrid w:val="0"/>
        <w:spacing w:before="0" w:after="0" w:line="240" w:lineRule="auto"/>
        <w:ind w:left="277" w:leftChars="0" w:right="0" w:rightChars="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达成共识共赢</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把面子留给对方,里子留给自己，实现“感觉双赢”</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学员运用正在谈判的项目，结合在课程中相关的概念和技巧,提出相关的问题</w:t>
      </w:r>
    </w:p>
    <w:p>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0" w:after="0" w:line="240" w:lineRule="auto"/>
        <w:ind w:left="277" w:leftChars="0" w:right="0" w:rightChars="0" w:firstLine="240" w:firstLineChars="100"/>
        <w:jc w:val="both"/>
        <w:textAlignment w:val="auto"/>
        <w:outlineLvl w:val="9"/>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行动改善计划</w:t>
      </w:r>
    </w:p>
    <w:p>
      <w:pPr>
        <w:pStyle w:val="2"/>
        <w:snapToGrid w:val="0"/>
        <w:spacing w:before="0" w:after="0" w:line="240" w:lineRule="auto"/>
        <w:ind w:firstLine="240" w:firstLineChars="100"/>
        <w:rPr>
          <w:rFonts w:hint="eastAsia" w:ascii="微软雅黑" w:hAnsi="微软雅黑" w:eastAsia="微软雅黑"/>
          <w:b/>
          <w:color w:val="000080"/>
          <w:sz w:val="22"/>
        </w:rPr>
      </w:pPr>
      <w:r>
        <w:rPr>
          <w:rFonts w:hint="eastAsia" w:ascii="微软雅黑" w:hAnsi="微软雅黑" w:eastAsia="微软雅黑"/>
          <w:b/>
          <w:color w:val="000080"/>
          <w:sz w:val="22"/>
        </w:rPr>
        <w:t>目标:</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rPr>
      </w:pPr>
      <w:r>
        <w:rPr>
          <w:rFonts w:hint="eastAsia" w:ascii="微软雅黑" w:hAnsi="微软雅黑" w:eastAsia="微软雅黑"/>
          <w:color w:val="000080"/>
          <w:sz w:val="22"/>
        </w:rPr>
        <w:t>谈判步骤（</w:t>
      </w:r>
      <w:r>
        <w:rPr>
          <w:rFonts w:hint="eastAsia" w:ascii="微软雅黑" w:hAnsi="微软雅黑" w:eastAsia="微软雅黑"/>
          <w:color w:val="000080"/>
          <w:sz w:val="22"/>
          <w:lang w:val="en-US" w:eastAsia="zh-CN"/>
        </w:rPr>
        <w:t>四</w:t>
      </w:r>
      <w:r>
        <w:rPr>
          <w:rFonts w:hint="eastAsia" w:ascii="微软雅黑" w:hAnsi="微软雅黑" w:eastAsia="微软雅黑"/>
          <w:color w:val="000080"/>
          <w:sz w:val="22"/>
        </w:rPr>
        <w:t>）——</w:t>
      </w:r>
      <w:r>
        <w:rPr>
          <w:rFonts w:hint="eastAsia" w:ascii="微软雅黑" w:hAnsi="微软雅黑" w:eastAsia="微软雅黑"/>
          <w:color w:val="000080"/>
          <w:sz w:val="22"/>
          <w:lang w:val="en-US" w:eastAsia="zh-CN"/>
        </w:rPr>
        <w:t>促成共识 阶段目标：促进促成、感觉共赢</w:t>
      </w:r>
    </w:p>
    <w:p>
      <w:pPr>
        <w:pStyle w:val="2"/>
        <w:numPr>
          <w:ilvl w:val="0"/>
          <w:numId w:val="4"/>
        </w:numPr>
        <w:tabs>
          <w:tab w:val="left" w:pos="420"/>
        </w:tabs>
        <w:adjustRightInd/>
        <w:snapToGrid w:val="0"/>
        <w:spacing w:before="0" w:after="0" w:line="360" w:lineRule="exact"/>
        <w:ind w:left="698"/>
        <w:jc w:val="both"/>
        <w:textAlignment w:val="auto"/>
        <w:rPr>
          <w:rFonts w:hint="eastAsia" w:ascii="微软雅黑" w:hAnsi="微软雅黑" w:eastAsia="微软雅黑"/>
          <w:color w:val="000080"/>
          <w:sz w:val="22"/>
        </w:rPr>
      </w:pPr>
      <w:r>
        <w:rPr>
          <w:rFonts w:hint="eastAsia" w:ascii="微软雅黑" w:hAnsi="微软雅黑" w:eastAsia="微软雅黑"/>
          <w:color w:val="000080"/>
          <w:sz w:val="22"/>
        </w:rPr>
        <w:t>学习协议阶段的拓宽思路解决问题方法</w:t>
      </w:r>
    </w:p>
    <w:p>
      <w:pPr>
        <w:pStyle w:val="2"/>
        <w:numPr>
          <w:ilvl w:val="0"/>
          <w:numId w:val="4"/>
        </w:numPr>
        <w:tabs>
          <w:tab w:val="left" w:pos="420"/>
        </w:tabs>
        <w:adjustRightInd/>
        <w:snapToGrid w:val="0"/>
        <w:spacing w:before="0" w:after="0" w:line="360" w:lineRule="exact"/>
        <w:ind w:left="698"/>
        <w:jc w:val="both"/>
        <w:textAlignment w:val="auto"/>
        <w:rPr>
          <w:rFonts w:ascii="宋体" w:hAnsi="宋体"/>
        </w:rPr>
      </w:pPr>
      <w:r>
        <w:rPr>
          <w:rFonts w:hint="eastAsia" w:ascii="微软雅黑" w:hAnsi="微软雅黑" w:eastAsia="微软雅黑"/>
          <w:color w:val="000080"/>
          <w:sz w:val="22"/>
          <w:lang w:val="en-US" w:eastAsia="zh-CN"/>
        </w:rPr>
        <w:t>学习</w:t>
      </w:r>
      <w:r>
        <w:rPr>
          <w:rFonts w:hint="eastAsia" w:ascii="微软雅黑" w:hAnsi="微软雅黑" w:eastAsia="微软雅黑"/>
          <w:color w:val="000080"/>
          <w:sz w:val="22"/>
        </w:rPr>
        <w:t xml:space="preserve"> </w:t>
      </w:r>
      <w:r>
        <w:rPr>
          <w:rFonts w:hint="eastAsia" w:ascii="微软雅黑" w:hAnsi="微软雅黑" w:eastAsia="微软雅黑"/>
          <w:color w:val="000080"/>
          <w:sz w:val="22"/>
          <w:lang w:val="en-US" w:eastAsia="zh-CN"/>
        </w:rPr>
        <w:t>突破</w:t>
      </w:r>
      <w:r>
        <w:rPr>
          <w:rFonts w:hint="eastAsia" w:ascii="微软雅黑" w:hAnsi="微软雅黑" w:eastAsia="微软雅黑"/>
          <w:color w:val="000080"/>
          <w:sz w:val="22"/>
        </w:rPr>
        <w:t>僵局/</w:t>
      </w:r>
      <w:r>
        <w:rPr>
          <w:rFonts w:hint="eastAsia" w:ascii="微软雅黑" w:hAnsi="微软雅黑" w:eastAsia="微软雅黑"/>
          <w:color w:val="000080"/>
          <w:sz w:val="22"/>
          <w:lang w:val="en-US" w:eastAsia="zh-CN"/>
        </w:rPr>
        <w:t>感觉共赢的心态和方法</w:t>
      </w:r>
    </w:p>
    <w:p>
      <w:pPr>
        <w:spacing w:line="360" w:lineRule="auto"/>
        <w:rPr>
          <w:rFonts w:asciiTheme="minorEastAsia" w:hAnsiTheme="minorEastAsia" w:eastAsiaTheme="minorEastAsia" w:cstheme="minorEastAsia"/>
          <w:bCs/>
          <w:sz w:val="22"/>
          <w:szCs w:val="22"/>
        </w:rPr>
      </w:pPr>
    </w:p>
    <w:p>
      <w:pPr>
        <w:spacing w:line="360" w:lineRule="auto"/>
        <w:rPr>
          <w:rFonts w:asciiTheme="minorEastAsia" w:hAnsiTheme="minorEastAsia" w:eastAsiaTheme="minorEastAsia" w:cstheme="minorEastAsia"/>
          <w:bCs/>
          <w:sz w:val="22"/>
          <w:szCs w:val="22"/>
        </w:rPr>
      </w:pPr>
    </w:p>
    <w:p>
      <w:pPr>
        <w:spacing w:line="360" w:lineRule="auto"/>
        <w:rPr>
          <w:rFonts w:asciiTheme="minorEastAsia" w:hAnsiTheme="minorEastAsia" w:eastAsiaTheme="minorEastAsia" w:cstheme="minorEastAsia"/>
          <w:bCs/>
          <w:sz w:val="22"/>
          <w:szCs w:val="22"/>
        </w:rPr>
      </w:pPr>
    </w:p>
    <w:p>
      <w:pPr>
        <w:spacing w:line="360" w:lineRule="auto"/>
        <w:rPr>
          <w:rFonts w:asciiTheme="minorEastAsia" w:hAnsiTheme="minorEastAsia" w:eastAsiaTheme="minorEastAsia" w:cstheme="minorEastAsia"/>
          <w:bCs/>
          <w:sz w:val="22"/>
          <w:szCs w:val="22"/>
        </w:rPr>
      </w:pPr>
    </w:p>
    <w:p>
      <w:pPr>
        <w:spacing w:line="360" w:lineRule="auto"/>
        <w:rPr>
          <w:rFonts w:asciiTheme="minorEastAsia" w:hAnsiTheme="minorEastAsia" w:eastAsiaTheme="minorEastAsia" w:cstheme="minorEastAsia"/>
          <w:bCs/>
          <w:sz w:val="22"/>
          <w:szCs w:val="22"/>
        </w:rPr>
      </w:pPr>
    </w:p>
    <w:p>
      <w:pPr>
        <w:spacing w:line="440" w:lineRule="exact"/>
        <w:rPr>
          <w:rFonts w:hint="eastAsia" w:asciiTheme="minorEastAsia" w:hAnsiTheme="minorEastAsia" w:eastAsiaTheme="minorEastAsia" w:cstheme="minorEastAsia"/>
          <w:b/>
          <w:bCs/>
          <w:sz w:val="32"/>
          <w:szCs w:val="32"/>
        </w:rPr>
      </w:pPr>
    </w:p>
    <w:p>
      <w:pPr>
        <w:pStyle w:val="6"/>
        <w:adjustRightInd w:val="0"/>
        <w:snapToGrid w:val="0"/>
        <w:spacing w:before="0" w:beforeAutospacing="0" w:after="0" w:afterAutospacing="0" w:line="460" w:lineRule="exact"/>
        <w:jc w:val="both"/>
        <w:rPr>
          <w:rFonts w:asciiTheme="minorEastAsia" w:hAnsiTheme="minorEastAsia" w:eastAsiaTheme="minorEastAsia" w:cstheme="minorEastAsia"/>
          <w:b/>
          <w:bCs/>
          <w:sz w:val="40"/>
          <w:szCs w:val="40"/>
        </w:rPr>
      </w:pPr>
      <w:r>
        <w:rPr>
          <w:sz w:val="32"/>
          <w:szCs w:val="32"/>
        </w:rPr>
        <w:drawing>
          <wp:anchor distT="0" distB="0" distL="114300" distR="114300" simplePos="0" relativeHeight="251659264" behindDoc="0" locked="0" layoutInCell="1" allowOverlap="1">
            <wp:simplePos x="0" y="0"/>
            <wp:positionH relativeFrom="column">
              <wp:posOffset>4754245</wp:posOffset>
            </wp:positionH>
            <wp:positionV relativeFrom="paragraph">
              <wp:posOffset>33655</wp:posOffset>
            </wp:positionV>
            <wp:extent cx="1608455" cy="1985645"/>
            <wp:effectExtent l="0" t="0" r="10795" b="14605"/>
            <wp:wrapSquare wrapText="bothSides"/>
            <wp:docPr id="3" name="图片 2" descr="2022授课小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22授课小照"/>
                    <pic:cNvPicPr>
                      <a:picLocks noChangeAspect="1"/>
                    </pic:cNvPicPr>
                  </pic:nvPicPr>
                  <pic:blipFill>
                    <a:blip r:embed="rId7"/>
                    <a:stretch>
                      <a:fillRect/>
                    </a:stretch>
                  </pic:blipFill>
                  <pic:spPr>
                    <a:xfrm>
                      <a:off x="0" y="0"/>
                      <a:ext cx="1608455" cy="1985645"/>
                    </a:xfrm>
                    <a:prstGeom prst="rect">
                      <a:avLst/>
                    </a:prstGeom>
                    <a:noFill/>
                    <a:ln>
                      <a:noFill/>
                    </a:ln>
                  </pic:spPr>
                </pic:pic>
              </a:graphicData>
            </a:graphic>
          </wp:anchor>
        </w:drawing>
      </w:r>
      <w:r>
        <w:rPr>
          <w:rFonts w:hint="eastAsia" w:asciiTheme="minorEastAsia" w:hAnsiTheme="minorEastAsia" w:eastAsiaTheme="minorEastAsia" w:cstheme="minorEastAsia"/>
          <w:b/>
          <w:bCs/>
          <w:sz w:val="40"/>
          <w:szCs w:val="40"/>
          <w:lang w:eastAsia="zh-CN"/>
        </w:rPr>
        <w:t>吕春兰</w:t>
      </w:r>
      <w:r>
        <w:rPr>
          <w:rFonts w:hint="eastAsia" w:asciiTheme="minorEastAsia" w:hAnsiTheme="minorEastAsia" w:eastAsiaTheme="minorEastAsia" w:cstheme="minorEastAsia"/>
          <w:b/>
          <w:bCs/>
          <w:sz w:val="40"/>
          <w:szCs w:val="40"/>
        </w:rPr>
        <w:t>老师</w:t>
      </w:r>
      <w:r>
        <w:rPr>
          <w:rFonts w:hint="eastAsia" w:asciiTheme="minorEastAsia" w:hAnsiTheme="minorEastAsia" w:eastAsiaTheme="minorEastAsia" w:cstheme="minorEastAsia"/>
          <w:b/>
          <w:bCs/>
          <w:sz w:val="40"/>
          <w:szCs w:val="40"/>
          <w:lang w:val="en-US" w:eastAsia="zh-CN"/>
        </w:rPr>
        <w:t xml:space="preserve">  谈判专家、销售 培训师</w:t>
      </w:r>
    </w:p>
    <w:p>
      <w:pPr>
        <w:pStyle w:val="6"/>
        <w:numPr>
          <w:ilvl w:val="0"/>
          <w:numId w:val="8"/>
        </w:numPr>
        <w:spacing w:before="0" w:beforeAutospacing="0" w:after="0" w:afterAutospacing="0" w:line="400" w:lineRule="exact"/>
        <w:rPr>
          <w:rFonts w:hint="eastAsia" w:ascii="微软雅黑" w:hAnsi="微软雅黑" w:eastAsia="微软雅黑" w:cs="微软雅黑"/>
          <w:b/>
          <w:shadow/>
          <w:color w:val="003366"/>
          <w:sz w:val="21"/>
          <w:szCs w:val="21"/>
        </w:rPr>
      </w:pPr>
      <w:r>
        <w:rPr>
          <w:rFonts w:hint="eastAsia" w:ascii="微软雅黑" w:hAnsi="微软雅黑" w:eastAsia="微软雅黑" w:cs="微软雅黑"/>
          <w:b/>
          <w:shadow/>
          <w:color w:val="003366"/>
          <w:sz w:val="21"/>
          <w:szCs w:val="21"/>
          <w:lang w:val="en-US" w:eastAsia="zh-CN"/>
        </w:rPr>
        <w:t>20</w:t>
      </w:r>
      <w:r>
        <w:rPr>
          <w:rFonts w:hint="eastAsia" w:ascii="微软雅黑" w:hAnsi="微软雅黑" w:eastAsia="微软雅黑" w:cs="微软雅黑"/>
          <w:b/>
          <w:shadow/>
          <w:color w:val="003366"/>
          <w:sz w:val="21"/>
          <w:szCs w:val="21"/>
        </w:rPr>
        <w:t>年、</w:t>
      </w:r>
      <w:r>
        <w:rPr>
          <w:rFonts w:hint="eastAsia" w:ascii="微软雅黑" w:hAnsi="微软雅黑" w:eastAsia="微软雅黑" w:cs="微软雅黑"/>
          <w:b/>
          <w:shadow/>
          <w:color w:val="003366"/>
          <w:sz w:val="21"/>
          <w:szCs w:val="21"/>
          <w:lang w:val="en-US" w:eastAsia="zh-CN"/>
        </w:rPr>
        <w:t>2万多</w:t>
      </w:r>
      <w:r>
        <w:rPr>
          <w:rFonts w:hint="eastAsia" w:ascii="微软雅黑" w:hAnsi="微软雅黑" w:eastAsia="微软雅黑" w:cs="微软雅黑"/>
          <w:b/>
          <w:shadow/>
          <w:color w:val="003366"/>
          <w:sz w:val="21"/>
          <w:szCs w:val="21"/>
        </w:rPr>
        <w:t>小时，为</w:t>
      </w:r>
      <w:r>
        <w:rPr>
          <w:rFonts w:hint="eastAsia" w:ascii="微软雅黑" w:hAnsi="微软雅黑" w:eastAsia="微软雅黑" w:cs="微软雅黑"/>
          <w:b/>
          <w:shadow/>
          <w:color w:val="003366"/>
          <w:sz w:val="21"/>
          <w:szCs w:val="21"/>
          <w:lang w:val="en-US" w:eastAsia="zh-CN"/>
        </w:rPr>
        <w:t>近2千</w:t>
      </w:r>
      <w:r>
        <w:rPr>
          <w:rFonts w:hint="eastAsia" w:ascii="微软雅黑" w:hAnsi="微软雅黑" w:eastAsia="微软雅黑" w:cs="微软雅黑"/>
          <w:b/>
          <w:shadow/>
          <w:color w:val="003366"/>
          <w:sz w:val="21"/>
          <w:szCs w:val="21"/>
        </w:rPr>
        <w:t>家</w:t>
      </w:r>
      <w:r>
        <w:rPr>
          <w:rFonts w:hint="eastAsia" w:ascii="微软雅黑" w:hAnsi="微软雅黑" w:eastAsia="微软雅黑" w:cs="微软雅黑"/>
          <w:b/>
          <w:shadow/>
          <w:color w:val="003366"/>
          <w:sz w:val="21"/>
          <w:szCs w:val="21"/>
          <w:lang w:val="en-US" w:eastAsia="zh-CN"/>
        </w:rPr>
        <w:t>企业</w:t>
      </w:r>
      <w:r>
        <w:rPr>
          <w:rFonts w:hint="eastAsia" w:ascii="微软雅黑" w:hAnsi="微软雅黑" w:eastAsia="微软雅黑" w:cs="微软雅黑"/>
          <w:b/>
          <w:shadow/>
          <w:color w:val="003366"/>
          <w:sz w:val="21"/>
          <w:szCs w:val="21"/>
        </w:rPr>
        <w:t>客户、</w:t>
      </w:r>
      <w:r>
        <w:rPr>
          <w:rFonts w:hint="eastAsia" w:ascii="微软雅黑" w:hAnsi="微软雅黑" w:eastAsia="微软雅黑" w:cs="微软雅黑"/>
          <w:b/>
          <w:shadow/>
          <w:color w:val="003366"/>
          <w:sz w:val="21"/>
          <w:szCs w:val="21"/>
          <w:lang w:val="en-US" w:eastAsia="zh-CN"/>
        </w:rPr>
        <w:t>2</w:t>
      </w:r>
      <w:r>
        <w:rPr>
          <w:rFonts w:hint="eastAsia" w:ascii="微软雅黑" w:hAnsi="微软雅黑" w:eastAsia="微软雅黑" w:cs="微软雅黑"/>
          <w:b/>
          <w:shadow/>
          <w:color w:val="003366"/>
          <w:sz w:val="21"/>
          <w:szCs w:val="21"/>
        </w:rPr>
        <w:t>0</w:t>
      </w:r>
      <w:r>
        <w:rPr>
          <w:rFonts w:hint="eastAsia" w:ascii="微软雅黑" w:hAnsi="微软雅黑" w:eastAsia="微软雅黑" w:cs="微软雅黑"/>
          <w:b/>
          <w:shadow/>
          <w:color w:val="003366"/>
          <w:sz w:val="21"/>
          <w:szCs w:val="21"/>
          <w:lang w:val="en-US" w:eastAsia="zh-CN"/>
        </w:rPr>
        <w:t>多</w:t>
      </w:r>
      <w:r>
        <w:rPr>
          <w:rFonts w:hint="eastAsia" w:ascii="微软雅黑" w:hAnsi="微软雅黑" w:eastAsia="微软雅黑" w:cs="微软雅黑"/>
          <w:b/>
          <w:shadow/>
          <w:color w:val="003366"/>
          <w:sz w:val="21"/>
          <w:szCs w:val="21"/>
        </w:rPr>
        <w:t>万名学员培训授课，是百胜集团、一汽大众、</w:t>
      </w:r>
      <w:r>
        <w:rPr>
          <w:rFonts w:hint="eastAsia" w:ascii="微软雅黑" w:hAnsi="微软雅黑" w:eastAsia="微软雅黑" w:cs="微软雅黑"/>
          <w:b/>
          <w:shadow/>
          <w:color w:val="003366"/>
          <w:sz w:val="21"/>
          <w:szCs w:val="21"/>
          <w:lang w:val="en-US" w:eastAsia="zh-CN"/>
        </w:rPr>
        <w:t>宝马中国</w:t>
      </w:r>
      <w:r>
        <w:rPr>
          <w:rFonts w:hint="eastAsia" w:ascii="微软雅黑" w:hAnsi="微软雅黑" w:eastAsia="微软雅黑" w:cs="微软雅黑"/>
          <w:b/>
          <w:shadow/>
          <w:color w:val="003366"/>
          <w:sz w:val="21"/>
          <w:szCs w:val="21"/>
        </w:rPr>
        <w:t>、阿里巴巴、</w:t>
      </w:r>
      <w:r>
        <w:rPr>
          <w:rFonts w:hint="eastAsia" w:ascii="微软雅黑" w:hAnsi="微软雅黑" w:eastAsia="微软雅黑" w:cs="微软雅黑"/>
          <w:b/>
          <w:shadow/>
          <w:color w:val="003366"/>
          <w:sz w:val="21"/>
          <w:szCs w:val="21"/>
          <w:lang w:val="en-US" w:eastAsia="zh-CN"/>
        </w:rPr>
        <w:t>美团</w:t>
      </w:r>
      <w:r>
        <w:rPr>
          <w:rFonts w:hint="eastAsia" w:ascii="微软雅黑" w:hAnsi="微软雅黑" w:eastAsia="微软雅黑" w:cs="微软雅黑"/>
          <w:b/>
          <w:shadow/>
          <w:color w:val="003366"/>
          <w:sz w:val="21"/>
          <w:szCs w:val="21"/>
        </w:rPr>
        <w:t>等等知名企业指定培训师，被学员客户评价为“最务实谈判培训师”；</w:t>
      </w:r>
    </w:p>
    <w:p>
      <w:pPr>
        <w:pStyle w:val="6"/>
        <w:numPr>
          <w:ilvl w:val="0"/>
          <w:numId w:val="8"/>
        </w:numPr>
        <w:spacing w:before="0" w:beforeAutospacing="0" w:after="0" w:afterAutospacing="0" w:line="400" w:lineRule="exact"/>
        <w:rPr>
          <w:rFonts w:hint="eastAsia" w:ascii="微软雅黑" w:hAnsi="微软雅黑" w:eastAsia="微软雅黑" w:cs="微软雅黑"/>
          <w:b/>
          <w:shadow/>
          <w:color w:val="003366"/>
          <w:sz w:val="21"/>
          <w:szCs w:val="21"/>
        </w:rPr>
      </w:pPr>
      <w:r>
        <w:rPr>
          <w:rFonts w:hint="eastAsia" w:ascii="微软雅黑" w:hAnsi="微软雅黑" w:eastAsia="微软雅黑" w:cs="微软雅黑"/>
          <w:b/>
          <w:shadow/>
          <w:color w:val="003366"/>
          <w:sz w:val="21"/>
          <w:szCs w:val="21"/>
        </w:rPr>
        <w:t>长期为上海交大、</w:t>
      </w:r>
      <w:r>
        <w:rPr>
          <w:rFonts w:hint="eastAsia" w:ascii="微软雅黑" w:hAnsi="微软雅黑" w:eastAsia="微软雅黑" w:cs="微软雅黑"/>
          <w:b/>
          <w:shadow/>
          <w:color w:val="003366"/>
          <w:sz w:val="21"/>
          <w:szCs w:val="21"/>
          <w:lang w:val="en-US" w:eastAsia="zh-CN"/>
        </w:rPr>
        <w:t>复旦大学</w:t>
      </w:r>
      <w:r>
        <w:rPr>
          <w:rFonts w:hint="eastAsia" w:ascii="微软雅黑" w:hAnsi="微软雅黑" w:eastAsia="微软雅黑" w:cs="微软雅黑"/>
          <w:b/>
          <w:shadow/>
          <w:color w:val="003366"/>
          <w:sz w:val="21"/>
          <w:szCs w:val="21"/>
        </w:rPr>
        <w:t>、南京大学、</w:t>
      </w:r>
      <w:r>
        <w:rPr>
          <w:rFonts w:hint="eastAsia" w:ascii="微软雅黑" w:hAnsi="微软雅黑" w:eastAsia="微软雅黑" w:cs="微软雅黑"/>
          <w:b/>
          <w:shadow/>
          <w:color w:val="003366"/>
          <w:sz w:val="21"/>
          <w:szCs w:val="21"/>
          <w:lang w:val="en-US" w:eastAsia="zh-CN"/>
        </w:rPr>
        <w:t>厦门大学</w:t>
      </w:r>
      <w:r>
        <w:rPr>
          <w:rFonts w:hint="eastAsia" w:ascii="微软雅黑" w:hAnsi="微软雅黑" w:eastAsia="微软雅黑" w:cs="微软雅黑"/>
          <w:b/>
          <w:shadow/>
          <w:color w:val="003366"/>
          <w:sz w:val="21"/>
          <w:szCs w:val="21"/>
        </w:rPr>
        <w:t>、西安交大、上海财大、新华都商学院、</w:t>
      </w:r>
      <w:r>
        <w:rPr>
          <w:rFonts w:hint="eastAsia" w:ascii="微软雅黑" w:hAnsi="微软雅黑" w:eastAsia="微软雅黑" w:cs="微软雅黑"/>
          <w:b/>
          <w:shadow/>
          <w:color w:val="003366"/>
          <w:sz w:val="21"/>
          <w:szCs w:val="21"/>
          <w:lang w:val="en-US" w:eastAsia="zh-CN"/>
        </w:rPr>
        <w:t>华创商学院</w:t>
      </w:r>
      <w:r>
        <w:rPr>
          <w:rFonts w:hint="eastAsia" w:ascii="微软雅黑" w:hAnsi="微软雅黑" w:eastAsia="微软雅黑" w:cs="微软雅黑"/>
          <w:b/>
          <w:shadow/>
          <w:color w:val="003366"/>
          <w:sz w:val="21"/>
          <w:szCs w:val="21"/>
        </w:rPr>
        <w:t>等EMBA班、总裁班、营销总监班授课，被评为“最接地气的教授”</w:t>
      </w:r>
      <w:r>
        <w:rPr>
          <w:rFonts w:hint="eastAsia" w:ascii="微软雅黑" w:hAnsi="微软雅黑" w:eastAsia="微软雅黑" w:cs="微软雅黑"/>
          <w:b/>
          <w:shadow/>
          <w:color w:val="003366"/>
          <w:sz w:val="21"/>
          <w:szCs w:val="21"/>
          <w:lang w:eastAsia="zh-CN"/>
        </w:rPr>
        <w:t>；</w:t>
      </w:r>
    </w:p>
    <w:p>
      <w:pPr>
        <w:pStyle w:val="6"/>
        <w:numPr>
          <w:ilvl w:val="0"/>
          <w:numId w:val="9"/>
        </w:numPr>
        <w:spacing w:before="0" w:beforeAutospacing="0" w:after="0" w:afterAutospacing="0" w:line="400" w:lineRule="exact"/>
        <w:rPr>
          <w:rFonts w:hint="eastAsia" w:ascii="宋体" w:hAnsi="宋体" w:eastAsia="宋体" w:cs="Times New Roman"/>
          <w:b/>
          <w:shadow/>
          <w:color w:val="003366"/>
          <w:sz w:val="21"/>
          <w:szCs w:val="21"/>
        </w:rPr>
      </w:pPr>
      <w:r>
        <w:rPr>
          <w:rFonts w:hint="eastAsia" w:ascii="微软雅黑" w:hAnsi="微软雅黑" w:eastAsia="微软雅黑" w:cs="微软雅黑"/>
          <w:b/>
          <w:shadow/>
          <w:color w:val="003366"/>
          <w:sz w:val="21"/>
          <w:szCs w:val="21"/>
        </w:rPr>
        <w:t xml:space="preserve">22年销售管理、历经4个行业6个城市8家公司的销售经理、总监、总经理，丰富的实战经验可直面问题、直击重点； 其课堂现场解决实际问题，直接产出结果。 </w:t>
      </w:r>
      <w:r>
        <w:rPr>
          <w:rFonts w:hint="eastAsia" w:ascii="楷体_GB2312" w:eastAsia="楷体_GB2312"/>
          <w:b/>
          <w:sz w:val="44"/>
          <w:szCs w:val="48"/>
        </w:rPr>
        <w:t xml:space="preserve">      </w:t>
      </w:r>
    </w:p>
    <w:p>
      <w:pPr>
        <w:spacing w:line="340" w:lineRule="exact"/>
        <w:rPr>
          <w:rFonts w:hint="eastAsia" w:ascii="宋体" w:hAnsi="宋体"/>
          <w:b/>
        </w:rPr>
      </w:pPr>
    </w:p>
    <w:p>
      <w:pPr>
        <w:spacing w:line="340" w:lineRule="exact"/>
        <w:rPr>
          <w:rFonts w:hint="eastAsia" w:ascii="宋体" w:hAnsi="宋体"/>
        </w:rPr>
      </w:pPr>
      <w:r>
        <w:rPr>
          <w:rFonts w:hint="eastAsia" w:ascii="宋体" w:hAnsi="宋体"/>
          <w:b/>
        </w:rPr>
        <w:t>学资历：</w:t>
      </w:r>
      <w:r>
        <w:rPr>
          <w:rFonts w:hint="eastAsia" w:ascii="宋体" w:hAnsi="宋体"/>
        </w:rPr>
        <w:t>美国田纳西大学</w:t>
      </w:r>
      <w:r>
        <w:rPr>
          <w:rFonts w:hint="eastAsia" w:ascii="Arial Unicode MS" w:hAnsi="Arial Unicode MS" w:eastAsia="Arial Unicode MS" w:cs="Arial Unicode MS"/>
        </w:rPr>
        <w:t>Marketplace</w:t>
      </w:r>
      <w:r>
        <w:rPr>
          <w:rFonts w:hint="eastAsia" w:ascii="宋体" w:hAnsi="宋体"/>
        </w:rPr>
        <w:t>企业经营决策模拟系列课程授证讲师</w:t>
      </w:r>
      <w:bookmarkStart w:id="0" w:name="_GoBack"/>
      <w:bookmarkEnd w:id="0"/>
    </w:p>
    <w:p>
      <w:pPr>
        <w:spacing w:line="340" w:lineRule="exact"/>
        <w:ind w:left="630" w:leftChars="300" w:firstLine="210" w:firstLineChars="100"/>
        <w:rPr>
          <w:rFonts w:hint="eastAsia" w:ascii="宋体" w:hAnsi="宋体"/>
        </w:rPr>
      </w:pPr>
      <w:r>
        <w:rPr>
          <w:rFonts w:hint="eastAsia" w:ascii="宋体" w:hAnsi="宋体"/>
        </w:rPr>
        <w:t>美国</w:t>
      </w:r>
      <w:r>
        <w:rPr>
          <w:rFonts w:hint="eastAsia" w:ascii="Arial Unicode MS" w:hAnsi="Arial Unicode MS" w:eastAsia="Arial Unicode MS" w:cs="Arial Unicode MS"/>
        </w:rPr>
        <w:t>Training House</w:t>
      </w:r>
      <w:r>
        <w:rPr>
          <w:rFonts w:hint="eastAsia" w:ascii="宋体" w:hAnsi="宋体"/>
        </w:rPr>
        <w:t>管理能力发展系统(MAP-EXCEL)专业讲师认证</w:t>
      </w:r>
    </w:p>
    <w:p>
      <w:pPr>
        <w:spacing w:line="340" w:lineRule="exact"/>
        <w:ind w:left="630" w:leftChars="300"/>
        <w:rPr>
          <w:rFonts w:hint="eastAsia" w:ascii="宋体" w:hAnsi="宋体"/>
        </w:rPr>
      </w:pPr>
      <w:r>
        <w:rPr>
          <w:rFonts w:hint="eastAsia" w:ascii="宋体" w:hAnsi="宋体"/>
        </w:rPr>
        <w:t xml:space="preserve">  英国</w:t>
      </w:r>
      <w:r>
        <w:rPr>
          <w:rFonts w:hint="eastAsia" w:ascii="Arial Unicode MS" w:hAnsi="Arial Unicode MS" w:eastAsia="Arial Unicode MS" w:cs="Arial Unicode MS"/>
        </w:rPr>
        <w:t>City &amp; Guilds</w:t>
      </w:r>
      <w:r>
        <w:rPr>
          <w:rFonts w:hint="eastAsia" w:ascii="宋体" w:hAnsi="宋体"/>
        </w:rPr>
        <w:t>伦敦城市行业协会 “国际职业培训师导师”</w:t>
      </w:r>
    </w:p>
    <w:p>
      <w:pPr>
        <w:spacing w:line="340" w:lineRule="exact"/>
        <w:ind w:left="630" w:leftChars="300"/>
        <w:rPr>
          <w:rFonts w:hint="eastAsia" w:ascii="宋体" w:hAnsi="宋体"/>
        </w:rPr>
      </w:pPr>
      <w:r>
        <w:rPr>
          <w:rFonts w:hint="eastAsia" w:ascii="宋体" w:hAnsi="宋体"/>
        </w:rPr>
        <w:t xml:space="preserve">  DISC性格测试分析授证讲师</w:t>
      </w:r>
    </w:p>
    <w:p>
      <w:pPr>
        <w:spacing w:line="340" w:lineRule="exact"/>
        <w:ind w:firstLine="840" w:firstLineChars="400"/>
        <w:rPr>
          <w:rFonts w:hint="eastAsia" w:ascii="宋体" w:hAnsi="宋体"/>
        </w:rPr>
      </w:pPr>
      <w:r>
        <w:rPr>
          <w:rFonts w:hint="eastAsia" w:ascii="宋体" w:hAnsi="宋体"/>
        </w:rPr>
        <w:t>厦门大学理学学士，上海交大EMBA</w:t>
      </w:r>
    </w:p>
    <w:p>
      <w:pPr>
        <w:spacing w:line="340" w:lineRule="exact"/>
        <w:rPr>
          <w:rFonts w:hint="eastAsia" w:ascii="宋体" w:hAnsi="宋体"/>
          <w:b/>
        </w:rPr>
      </w:pPr>
      <w:r>
        <w:rPr>
          <w:rFonts w:hint="eastAsia" w:ascii="宋体" w:hAnsi="宋体"/>
          <w:b/>
        </w:rPr>
        <w:t xml:space="preserve">工作经历：  </w:t>
      </w:r>
    </w:p>
    <w:p>
      <w:pPr>
        <w:spacing w:line="340" w:lineRule="exact"/>
        <w:ind w:left="840" w:leftChars="400"/>
        <w:rPr>
          <w:rFonts w:hint="eastAsia" w:ascii="宋体" w:hAnsi="宋体"/>
        </w:rPr>
      </w:pPr>
      <w:r>
        <w:rPr>
          <w:rFonts w:hint="eastAsia" w:ascii="宋体" w:hAnsi="宋体"/>
        </w:rPr>
        <w:t>上海引帆管理咨询有限公司 总经理/专职讲师</w:t>
      </w:r>
    </w:p>
    <w:p>
      <w:pPr>
        <w:spacing w:line="340" w:lineRule="exact"/>
        <w:ind w:left="630" w:leftChars="300" w:firstLine="210" w:firstLineChars="100"/>
        <w:rPr>
          <w:rFonts w:hint="eastAsia" w:ascii="宋体" w:hAnsi="宋体"/>
        </w:rPr>
      </w:pPr>
      <w:r>
        <w:rPr>
          <w:rFonts w:hint="eastAsia" w:ascii="宋体" w:hAnsi="宋体"/>
        </w:rPr>
        <w:t>上海精群管理咨询有限公司(美资) 顾问师/培训顾问部经理</w:t>
      </w:r>
    </w:p>
    <w:p>
      <w:pPr>
        <w:spacing w:line="340" w:lineRule="exact"/>
        <w:ind w:left="630" w:leftChars="300" w:firstLine="210" w:firstLineChars="100"/>
        <w:rPr>
          <w:rFonts w:hint="eastAsia" w:ascii="宋体" w:hAnsi="宋体"/>
        </w:rPr>
      </w:pPr>
      <w:r>
        <w:rPr>
          <w:rFonts w:hint="eastAsia" w:ascii="宋体" w:hAnsi="宋体"/>
        </w:rPr>
        <w:t>上海松谊企业管理咨询公司(台资) 培训发展部经理</w:t>
      </w:r>
    </w:p>
    <w:p>
      <w:pPr>
        <w:spacing w:line="340" w:lineRule="exact"/>
        <w:ind w:left="630" w:leftChars="300" w:firstLine="210" w:firstLineChars="100"/>
        <w:rPr>
          <w:rFonts w:hint="eastAsia" w:ascii="宋体" w:hAnsi="宋体"/>
        </w:rPr>
      </w:pPr>
      <w:r>
        <w:rPr>
          <w:rFonts w:hint="eastAsia" w:ascii="宋体" w:hAnsi="宋体"/>
        </w:rPr>
        <w:t>香港荣利集团   华东区销售总监(IT业)</w:t>
      </w:r>
    </w:p>
    <w:p>
      <w:pPr>
        <w:tabs>
          <w:tab w:val="left" w:pos="5220"/>
        </w:tabs>
        <w:spacing w:line="340" w:lineRule="exact"/>
        <w:ind w:left="630" w:leftChars="300" w:firstLine="210" w:firstLineChars="100"/>
        <w:rPr>
          <w:rFonts w:hint="eastAsia" w:ascii="宋体" w:hAnsi="宋体"/>
        </w:rPr>
      </w:pPr>
      <w:r>
        <w:rPr>
          <w:rFonts w:hint="eastAsia" w:ascii="宋体" w:hAnsi="宋体"/>
        </w:rPr>
        <w:t>广东龙泉科技股份有限公司 项目经理(IT业)</w:t>
      </w:r>
      <w:r>
        <w:rPr>
          <w:rFonts w:hint="eastAsia" w:ascii="宋体" w:hAnsi="宋体"/>
        </w:rPr>
        <w:tab/>
      </w:r>
    </w:p>
    <w:p>
      <w:pPr>
        <w:spacing w:line="340" w:lineRule="exact"/>
        <w:ind w:left="630" w:leftChars="300" w:firstLine="210" w:firstLineChars="100"/>
        <w:rPr>
          <w:rFonts w:hint="eastAsia" w:ascii="宋体" w:hAnsi="宋体"/>
        </w:rPr>
      </w:pPr>
      <w:r>
        <w:rPr>
          <w:rFonts w:hint="eastAsia" w:ascii="宋体" w:hAnsi="宋体"/>
        </w:rPr>
        <w:t>唐京集团（广州分公司）  销售经理/培训讲师</w:t>
      </w:r>
    </w:p>
    <w:p>
      <w:pPr>
        <w:spacing w:line="340" w:lineRule="exact"/>
        <w:ind w:left="630" w:leftChars="300" w:firstLine="210" w:firstLineChars="100"/>
        <w:rPr>
          <w:rFonts w:hint="eastAsia" w:ascii="宋体" w:hAnsi="宋体"/>
        </w:rPr>
      </w:pPr>
      <w:r>
        <w:rPr>
          <w:rFonts w:hint="eastAsia" w:ascii="宋体" w:hAnsi="宋体"/>
        </w:rPr>
        <w:t>广东环球汽车用品有限公司 产品推广部经理</w:t>
      </w:r>
    </w:p>
    <w:p>
      <w:pPr>
        <w:spacing w:line="340" w:lineRule="exact"/>
        <w:ind w:left="630" w:leftChars="300" w:firstLine="210" w:firstLineChars="100"/>
        <w:rPr>
          <w:rFonts w:hint="eastAsia" w:ascii="宋体" w:hAnsi="宋体"/>
        </w:rPr>
      </w:pPr>
      <w:r>
        <w:rPr>
          <w:rFonts w:hint="eastAsia" w:ascii="宋体" w:hAnsi="宋体"/>
        </w:rPr>
        <w:t>广东中山小榄国旅 外联销售经理</w:t>
      </w:r>
    </w:p>
    <w:p>
      <w:pPr>
        <w:spacing w:line="360" w:lineRule="exact"/>
        <w:rPr>
          <w:rFonts w:hint="eastAsia" w:ascii="宋体" w:hAnsi="宋体"/>
          <w:b/>
        </w:rPr>
      </w:pPr>
      <w:r>
        <w:rPr>
          <w:rFonts w:hint="eastAsia" w:ascii="宋体" w:hAnsi="宋体"/>
          <w:b/>
        </w:rPr>
        <w:t>授课主题：</w:t>
      </w:r>
    </w:p>
    <w:p>
      <w:pPr>
        <w:snapToGrid w:val="0"/>
        <w:spacing w:line="340" w:lineRule="exact"/>
        <w:rPr>
          <w:rFonts w:hint="eastAsia" w:ascii="宋体" w:hAnsi="宋体" w:eastAsia="宋体"/>
          <w:lang w:eastAsia="zh-CN"/>
        </w:rPr>
      </w:pPr>
      <w:r>
        <w:rPr>
          <w:rFonts w:hint="eastAsia" w:ascii="宋体" w:hAnsi="宋体"/>
          <w:b/>
          <w:bCs/>
          <w:u w:val="single"/>
          <w:lang w:val="en-US" w:eastAsia="zh-CN"/>
        </w:rPr>
        <w:t>谈判课</w:t>
      </w:r>
      <w:r>
        <w:rPr>
          <w:rFonts w:hint="eastAsia" w:ascii="宋体" w:hAnsi="宋体"/>
          <w:lang w:val="en-US" w:eastAsia="zh-CN"/>
        </w:rPr>
        <w:t>（</w:t>
      </w:r>
      <w:r>
        <w:rPr>
          <w:rFonts w:hint="eastAsia" w:ascii="宋体" w:hAnsi="宋体"/>
        </w:rPr>
        <w:t>商务谈判</w:t>
      </w:r>
      <w:r>
        <w:rPr>
          <w:rFonts w:hint="eastAsia" w:ascii="宋体" w:hAnsi="宋体"/>
          <w:lang w:val="en-US" w:eastAsia="zh-CN"/>
        </w:rPr>
        <w:t>/</w:t>
      </w:r>
      <w:r>
        <w:rPr>
          <w:rFonts w:hint="eastAsia" w:ascii="宋体" w:hAnsi="宋体"/>
        </w:rPr>
        <w:t>销售谈判</w:t>
      </w:r>
      <w:r>
        <w:rPr>
          <w:rFonts w:hint="eastAsia" w:ascii="宋体" w:hAnsi="宋体"/>
          <w:lang w:val="en-US" w:eastAsia="zh-CN"/>
        </w:rPr>
        <w:t>/采购谈判/人力资源谈判/汽车业</w:t>
      </w:r>
      <w:r>
        <w:rPr>
          <w:rFonts w:hint="eastAsia" w:ascii="Arial" w:hAnsi="Arial" w:cs="Arial"/>
          <w:color w:val="000000"/>
        </w:rPr>
        <w:t>、</w:t>
      </w:r>
      <w:r>
        <w:rPr>
          <w:rFonts w:hint="eastAsia" w:ascii="Arial" w:hAnsi="Arial" w:cs="Arial"/>
          <w:color w:val="000000"/>
          <w:lang w:val="en-US" w:eastAsia="zh-CN"/>
        </w:rPr>
        <w:t>地产业</w:t>
      </w:r>
      <w:r>
        <w:rPr>
          <w:rFonts w:hint="eastAsia" w:ascii="Arial" w:hAnsi="Arial" w:cs="Arial"/>
          <w:color w:val="000000"/>
        </w:rPr>
        <w:t>、</w:t>
      </w:r>
      <w:r>
        <w:rPr>
          <w:rFonts w:hint="eastAsia" w:ascii="Arial" w:hAnsi="Arial" w:cs="Arial"/>
          <w:color w:val="000000"/>
          <w:lang w:val="en-US" w:eastAsia="zh-CN"/>
        </w:rPr>
        <w:t>金融等各行业各种</w:t>
      </w:r>
      <w:r>
        <w:rPr>
          <w:rFonts w:hint="eastAsia" w:ascii="宋体" w:hAnsi="宋体"/>
        </w:rPr>
        <w:t>谈判</w:t>
      </w:r>
      <w:r>
        <w:rPr>
          <w:rFonts w:hint="eastAsia" w:ascii="宋体" w:hAnsi="宋体"/>
          <w:lang w:eastAsia="zh-CN"/>
        </w:rPr>
        <w:t>）</w:t>
      </w:r>
    </w:p>
    <w:p>
      <w:pPr>
        <w:snapToGrid w:val="0"/>
        <w:spacing w:line="340" w:lineRule="exact"/>
        <w:rPr>
          <w:rFonts w:hint="eastAsia" w:ascii="宋体" w:hAnsi="宋体"/>
          <w:lang w:eastAsia="zh-CN"/>
        </w:rPr>
      </w:pPr>
      <w:r>
        <w:rPr>
          <w:rFonts w:hint="eastAsia" w:ascii="宋体" w:hAnsi="宋体"/>
          <w:b/>
          <w:bCs/>
          <w:u w:val="single"/>
          <w:lang w:val="en-US" w:eastAsia="zh-CN"/>
        </w:rPr>
        <w:t>销售课</w:t>
      </w:r>
      <w:r>
        <w:rPr>
          <w:rFonts w:hint="eastAsia" w:ascii="宋体" w:hAnsi="宋体"/>
          <w:szCs w:val="22"/>
          <w:lang w:val="en-US" w:eastAsia="zh-CN"/>
        </w:rPr>
        <w:t>（大客户销售/顾问式销售、销售团队管理，专精于to B端销售</w:t>
      </w:r>
      <w:r>
        <w:rPr>
          <w:rFonts w:hint="eastAsia" w:ascii="宋体" w:hAnsi="宋体"/>
          <w:lang w:eastAsia="zh-CN"/>
        </w:rPr>
        <w:t>）</w:t>
      </w:r>
    </w:p>
    <w:p>
      <w:pPr>
        <w:snapToGrid w:val="0"/>
        <w:spacing w:line="340" w:lineRule="exact"/>
        <w:rPr>
          <w:rFonts w:hint="eastAsia" w:ascii="宋体" w:hAnsi="宋体" w:eastAsia="宋体"/>
          <w:lang w:eastAsia="zh-CN"/>
        </w:rPr>
      </w:pPr>
      <w:r>
        <w:rPr>
          <w:rFonts w:hint="eastAsia" w:ascii="宋体" w:hAnsi="宋体"/>
          <w:b/>
          <w:bCs/>
          <w:u w:val="single"/>
          <w:lang w:val="en-US" w:eastAsia="zh-CN"/>
        </w:rPr>
        <w:t>沟通课</w:t>
      </w:r>
      <w:r>
        <w:rPr>
          <w:rFonts w:hint="eastAsia" w:ascii="宋体" w:hAnsi="宋体"/>
          <w:szCs w:val="22"/>
          <w:lang w:val="en-US" w:eastAsia="zh-CN"/>
        </w:rPr>
        <w:t>（</w:t>
      </w:r>
      <w:r>
        <w:rPr>
          <w:rFonts w:hint="eastAsia" w:ascii="宋体" w:hAnsi="宋体"/>
        </w:rPr>
        <w:t>跨部门沟通</w:t>
      </w:r>
      <w:r>
        <w:rPr>
          <w:rFonts w:hint="eastAsia" w:ascii="宋体" w:hAnsi="宋体"/>
          <w:lang w:val="en-US" w:eastAsia="zh-CN"/>
        </w:rPr>
        <w:t>/上下级沟通/高效职场沟通/</w:t>
      </w:r>
      <w:r>
        <w:rPr>
          <w:rFonts w:hint="eastAsia" w:ascii="宋体" w:hAnsi="宋体"/>
        </w:rPr>
        <w:t>目标导向的影响力沟通</w:t>
      </w:r>
      <w:r>
        <w:rPr>
          <w:rFonts w:hint="eastAsia" w:ascii="宋体" w:hAnsi="宋体"/>
          <w:lang w:val="en-US" w:eastAsia="zh-CN"/>
        </w:rPr>
        <w:t>/</w:t>
      </w:r>
      <w:r>
        <w:rPr>
          <w:rFonts w:hint="eastAsia" w:ascii="宋体" w:hAnsi="宋体"/>
        </w:rPr>
        <w:t>性格分析沟通</w:t>
      </w:r>
      <w:r>
        <w:rPr>
          <w:rFonts w:hint="eastAsia" w:ascii="宋体" w:hAnsi="宋体"/>
          <w:lang w:eastAsia="zh-CN"/>
        </w:rPr>
        <w:t>）</w:t>
      </w:r>
    </w:p>
    <w:p>
      <w:pPr>
        <w:snapToGrid w:val="0"/>
        <w:spacing w:line="340" w:lineRule="exact"/>
        <w:rPr>
          <w:rFonts w:hint="eastAsia" w:ascii="宋体" w:hAnsi="宋体"/>
          <w:b/>
          <w:bCs/>
        </w:rPr>
      </w:pPr>
      <w:r>
        <w:rPr>
          <w:rFonts w:hint="eastAsia" w:ascii="宋体" w:hAnsi="宋体"/>
          <w:b/>
          <w:bCs/>
          <w:u w:val="single"/>
          <w:lang w:val="en-US" w:eastAsia="zh-CN"/>
        </w:rPr>
        <w:t>谈判、销售类课程</w:t>
      </w:r>
      <w:r>
        <w:rPr>
          <w:rFonts w:hint="eastAsia" w:ascii="宋体" w:hAnsi="宋体"/>
          <w:b/>
          <w:bCs/>
          <w:lang w:val="en-US" w:eastAsia="zh-CN"/>
        </w:rPr>
        <w:t>授课后均能进行后续落地辅导，最佳效果是2天基础培训+2天落地辅导。</w:t>
      </w:r>
      <w:r>
        <w:rPr>
          <w:rFonts w:hint="eastAsia" w:ascii="宋体" w:hAnsi="宋体"/>
          <w:b/>
          <w:bCs/>
        </w:rPr>
        <w:t xml:space="preserve">   </w:t>
      </w:r>
    </w:p>
    <w:p>
      <w:pPr>
        <w:snapToGrid w:val="0"/>
        <w:spacing w:line="340" w:lineRule="exact"/>
        <w:rPr>
          <w:rFonts w:hint="eastAsia" w:ascii="宋体" w:hAnsi="宋体"/>
        </w:rPr>
      </w:pPr>
      <w:r>
        <w:rPr>
          <w:rFonts w:hint="eastAsia" w:ascii="宋体" w:hAnsi="宋体"/>
          <w:b/>
          <w:bCs/>
        </w:rPr>
        <w:t xml:space="preserve">  </w:t>
      </w:r>
      <w:r>
        <w:rPr>
          <w:rFonts w:hint="eastAsia" w:ascii="宋体" w:hAnsi="宋体"/>
        </w:rPr>
        <w:t xml:space="preserve">     </w:t>
      </w:r>
    </w:p>
    <w:p>
      <w:pPr>
        <w:snapToGrid w:val="0"/>
        <w:spacing w:line="340" w:lineRule="exact"/>
        <w:rPr>
          <w:rFonts w:hint="eastAsia" w:ascii="宋体" w:hAnsi="宋体"/>
          <w:b/>
        </w:rPr>
      </w:pPr>
      <w:r>
        <w:rPr>
          <w:rFonts w:hint="eastAsia" w:ascii="宋体" w:hAnsi="宋体"/>
          <w:b/>
        </w:rPr>
        <w:t>授课风格和优势:</w:t>
      </w:r>
    </w:p>
    <w:p>
      <w:pPr>
        <w:numPr>
          <w:ilvl w:val="0"/>
          <w:numId w:val="10"/>
        </w:numPr>
        <w:snapToGrid w:val="0"/>
        <w:spacing w:line="400" w:lineRule="exact"/>
        <w:ind w:right="42" w:rightChars="20"/>
        <w:rPr>
          <w:rFonts w:hint="eastAsia" w:ascii="Arial" w:hAnsi="Arial" w:cs="Arial"/>
          <w:color w:val="000000"/>
        </w:rPr>
      </w:pPr>
      <w:r>
        <w:rPr>
          <w:rFonts w:hint="eastAsia" w:ascii="Arial" w:hAnsi="Arial" w:cs="Arial"/>
          <w:b/>
          <w:bCs/>
          <w:color w:val="000000"/>
        </w:rPr>
        <w:t>务实有效。</w:t>
      </w:r>
      <w:r>
        <w:rPr>
          <w:rFonts w:hint="eastAsia" w:ascii="Arial" w:hAnsi="Arial" w:cs="Arial"/>
          <w:color w:val="000000"/>
        </w:rPr>
        <w:t>用</w:t>
      </w:r>
      <w:r>
        <w:rPr>
          <w:rFonts w:hint="eastAsia" w:ascii="Arial" w:hAnsi="Arial" w:cs="Arial"/>
          <w:color w:val="000000"/>
          <w:lang w:val="en-US" w:eastAsia="zh-CN"/>
        </w:rPr>
        <w:t>吕老师自己</w:t>
      </w:r>
      <w:r>
        <w:rPr>
          <w:rFonts w:hint="eastAsia" w:ascii="Arial" w:hAnsi="Arial" w:cs="Arial"/>
          <w:color w:val="000000"/>
        </w:rPr>
        <w:t>在</w:t>
      </w:r>
      <w:r>
        <w:rPr>
          <w:rFonts w:ascii="Arial" w:hAnsi="Arial" w:cs="Arial"/>
          <w:color w:val="000000"/>
        </w:rPr>
        <w:t>TTT</w:t>
      </w:r>
      <w:r>
        <w:rPr>
          <w:rFonts w:hint="eastAsia" w:ascii="Arial" w:hAnsi="Arial" w:cs="Arial"/>
          <w:color w:val="000000"/>
        </w:rPr>
        <w:t>教学中倡导的“实用、适用、易用”作为自己授课的毕生追求，</w:t>
      </w:r>
      <w:r>
        <w:rPr>
          <w:rFonts w:hint="eastAsia" w:ascii="Arial" w:hAnsi="Arial" w:cs="Arial"/>
          <w:color w:val="000000"/>
          <w:lang w:val="en-US" w:eastAsia="zh-CN"/>
        </w:rPr>
        <w:t>教学移懂实用，</w:t>
      </w:r>
      <w:r>
        <w:rPr>
          <w:rFonts w:hint="eastAsia" w:ascii="Arial" w:hAnsi="Arial" w:cs="Arial"/>
          <w:color w:val="000000"/>
        </w:rPr>
        <w:t>每次课程都要求学员现场</w:t>
      </w:r>
      <w:r>
        <w:rPr>
          <w:rFonts w:hint="eastAsia" w:ascii="Arial" w:hAnsi="Arial" w:cs="Arial"/>
          <w:color w:val="000000"/>
          <w:lang w:val="en-US" w:eastAsia="zh-CN"/>
        </w:rPr>
        <w:t>提出案例解决问题</w:t>
      </w:r>
      <w:r>
        <w:rPr>
          <w:rFonts w:hint="eastAsia" w:ascii="Arial" w:hAnsi="Arial" w:cs="Arial"/>
          <w:color w:val="000000"/>
        </w:rPr>
        <w:t>、</w:t>
      </w:r>
      <w:r>
        <w:rPr>
          <w:rFonts w:hint="eastAsia" w:ascii="Arial" w:hAnsi="Arial" w:cs="Arial"/>
          <w:color w:val="000000"/>
          <w:lang w:val="en-US" w:eastAsia="zh-CN"/>
        </w:rPr>
        <w:t>带回工具即学即用</w:t>
      </w:r>
      <w:r>
        <w:rPr>
          <w:rFonts w:hint="eastAsia" w:ascii="Arial" w:hAnsi="Arial" w:cs="Arial"/>
          <w:color w:val="000000"/>
          <w:lang w:eastAsia="zh-CN"/>
        </w:rPr>
        <w:t>；</w:t>
      </w:r>
    </w:p>
    <w:p>
      <w:pPr>
        <w:numPr>
          <w:ilvl w:val="0"/>
          <w:numId w:val="10"/>
        </w:numPr>
        <w:snapToGrid w:val="0"/>
        <w:spacing w:line="400" w:lineRule="exact"/>
        <w:ind w:right="42" w:rightChars="20"/>
        <w:rPr>
          <w:rFonts w:ascii="Arial" w:hAnsi="Arial" w:cs="Arial"/>
          <w:color w:val="000000"/>
        </w:rPr>
      </w:pPr>
      <w:r>
        <w:rPr>
          <w:rFonts w:hint="eastAsia" w:ascii="Arial" w:hAnsi="Arial" w:cs="Arial"/>
          <w:b/>
          <w:bCs/>
          <w:color w:val="000000"/>
        </w:rPr>
        <w:t>互动控场。</w:t>
      </w:r>
      <w:r>
        <w:rPr>
          <w:rFonts w:hint="eastAsia" w:ascii="Arial" w:hAnsi="Arial" w:eastAsia="宋体" w:cs="Arial"/>
          <w:color w:val="000000"/>
          <w:lang w:val="en-US" w:eastAsia="zh-CN"/>
        </w:rPr>
        <w:t>所有知识点都用案例带出，</w:t>
      </w:r>
      <w:r>
        <w:rPr>
          <w:rFonts w:hint="eastAsia" w:ascii="Arial" w:hAnsi="Arial" w:eastAsia="宋体" w:cs="Arial"/>
          <w:color w:val="000000"/>
        </w:rPr>
        <w:t>具很</w:t>
      </w:r>
      <w:r>
        <w:rPr>
          <w:rFonts w:hint="eastAsia" w:ascii="Arial" w:hAnsi="Arial" w:cs="Arial"/>
          <w:color w:val="000000"/>
        </w:rPr>
        <w:t>强的案例引导</w:t>
      </w:r>
      <w:r>
        <w:rPr>
          <w:rFonts w:hint="eastAsia" w:ascii="Arial" w:hAnsi="Arial" w:cs="Arial"/>
          <w:color w:val="000000"/>
          <w:lang w:val="en-US" w:eastAsia="zh-CN"/>
        </w:rPr>
        <w:t>剖析</w:t>
      </w:r>
      <w:r>
        <w:rPr>
          <w:rFonts w:hint="eastAsia" w:ascii="Arial" w:hAnsi="Arial" w:cs="Arial"/>
          <w:color w:val="000000"/>
        </w:rPr>
        <w:t>、</w:t>
      </w:r>
      <w:r>
        <w:rPr>
          <w:rFonts w:hint="eastAsia" w:ascii="Arial" w:hAnsi="Arial" w:cs="Arial"/>
          <w:color w:val="000000"/>
          <w:lang w:val="en-US" w:eastAsia="zh-CN"/>
        </w:rPr>
        <w:t>模拟演练点评等</w:t>
      </w:r>
      <w:r>
        <w:rPr>
          <w:rFonts w:hint="eastAsia" w:ascii="Arial" w:hAnsi="Arial" w:cs="Arial"/>
          <w:color w:val="000000"/>
        </w:rPr>
        <w:t>互动</w:t>
      </w:r>
      <w:r>
        <w:rPr>
          <w:rFonts w:hint="eastAsia" w:ascii="Arial" w:hAnsi="Arial" w:cs="Arial"/>
          <w:color w:val="000000"/>
          <w:lang w:val="en-US" w:eastAsia="zh-CN"/>
        </w:rPr>
        <w:t>控场</w:t>
      </w:r>
      <w:r>
        <w:rPr>
          <w:rFonts w:hint="eastAsia" w:ascii="Arial" w:hAnsi="Arial" w:cs="Arial"/>
          <w:color w:val="000000"/>
        </w:rPr>
        <w:t>力，</w:t>
      </w:r>
      <w:r>
        <w:rPr>
          <w:rFonts w:hint="eastAsia" w:ascii="Arial" w:hAnsi="Arial" w:cs="Arial"/>
          <w:color w:val="000000"/>
          <w:lang w:val="en-US" w:eastAsia="zh-CN"/>
        </w:rPr>
        <w:t>用学员真实案例带课点评并</w:t>
      </w:r>
      <w:r>
        <w:rPr>
          <w:rFonts w:hint="eastAsia" w:ascii="Arial" w:hAnsi="Arial" w:cs="Arial"/>
          <w:color w:val="000000"/>
        </w:rPr>
        <w:t>举一反三</w:t>
      </w:r>
      <w:r>
        <w:rPr>
          <w:rFonts w:hint="eastAsia" w:ascii="Arial" w:hAnsi="Arial" w:cs="Arial"/>
          <w:color w:val="000000"/>
          <w:lang w:eastAsia="zh-CN"/>
        </w:rPr>
        <w:t>、</w:t>
      </w:r>
      <w:r>
        <w:rPr>
          <w:rFonts w:hint="eastAsia" w:ascii="Arial" w:hAnsi="Arial" w:cs="Arial"/>
          <w:color w:val="000000"/>
          <w:lang w:val="en-US" w:eastAsia="zh-CN"/>
        </w:rPr>
        <w:t>收放自如，</w:t>
      </w:r>
      <w:r>
        <w:rPr>
          <w:rFonts w:hint="eastAsia" w:ascii="Arial" w:hAnsi="Arial" w:cs="Arial"/>
          <w:color w:val="000000"/>
        </w:rPr>
        <w:t>让学员有深刻感悟甚至</w:t>
      </w:r>
      <w:r>
        <w:rPr>
          <w:rFonts w:hint="eastAsia" w:ascii="Arial" w:hAnsi="Arial" w:cs="Arial"/>
          <w:color w:val="000000"/>
          <w:lang w:val="en-US" w:eastAsia="zh-CN"/>
        </w:rPr>
        <w:t>说醍醐灌顶</w:t>
      </w:r>
      <w:r>
        <w:rPr>
          <w:rFonts w:hint="eastAsia" w:ascii="Arial" w:hAnsi="Arial" w:cs="Arial"/>
          <w:color w:val="000000"/>
          <w:lang w:eastAsia="zh-CN"/>
        </w:rPr>
        <w:t>；</w:t>
      </w:r>
    </w:p>
    <w:p>
      <w:pPr>
        <w:numPr>
          <w:ilvl w:val="0"/>
          <w:numId w:val="10"/>
        </w:numPr>
        <w:snapToGrid w:val="0"/>
        <w:spacing w:line="400" w:lineRule="exact"/>
        <w:ind w:right="42" w:rightChars="20"/>
        <w:rPr>
          <w:rFonts w:ascii="Arial" w:hAnsi="Arial" w:cs="Arial"/>
          <w:color w:val="000000"/>
        </w:rPr>
      </w:pPr>
      <w:r>
        <w:rPr>
          <w:rFonts w:hint="eastAsia" w:ascii="Arial" w:hAnsi="Arial" w:cs="Arial"/>
          <w:b/>
          <w:bCs/>
          <w:color w:val="000000"/>
        </w:rPr>
        <w:t>亲切和蔼而又激情渲染、逻辑严谨不乏笑点趣谈。</w:t>
      </w:r>
      <w:r>
        <w:rPr>
          <w:rFonts w:hint="eastAsia" w:ascii="Arial" w:hAnsi="Arial" w:cs="Arial"/>
          <w:color w:val="000000"/>
          <w:lang w:val="en-US" w:eastAsia="zh-CN"/>
        </w:rPr>
        <w:t>20</w:t>
      </w:r>
      <w:r>
        <w:rPr>
          <w:rFonts w:hint="eastAsia" w:ascii="Arial" w:hAnsi="Arial" w:cs="Arial"/>
          <w:color w:val="000000"/>
        </w:rPr>
        <w:t>年2万</w:t>
      </w:r>
      <w:r>
        <w:rPr>
          <w:rFonts w:hint="eastAsia" w:ascii="Arial" w:hAnsi="Arial" w:cs="Arial"/>
          <w:color w:val="000000"/>
          <w:lang w:val="en-US" w:eastAsia="zh-CN"/>
        </w:rPr>
        <w:t>多</w:t>
      </w:r>
      <w:r>
        <w:rPr>
          <w:rFonts w:hint="eastAsia" w:ascii="Arial" w:hAnsi="Arial" w:cs="Arial"/>
          <w:color w:val="000000"/>
        </w:rPr>
        <w:t>小时的</w:t>
      </w:r>
      <w:r>
        <w:rPr>
          <w:rFonts w:hint="eastAsia" w:ascii="Arial" w:hAnsi="Arial" w:cs="Arial"/>
          <w:color w:val="000000"/>
          <w:lang w:val="en-US" w:eastAsia="zh-CN"/>
        </w:rPr>
        <w:t>职业</w:t>
      </w:r>
      <w:r>
        <w:rPr>
          <w:rFonts w:hint="eastAsia" w:ascii="Arial" w:hAnsi="Arial" w:cs="Arial"/>
          <w:color w:val="000000"/>
        </w:rPr>
        <w:t>培训师历练，</w:t>
      </w:r>
      <w:r>
        <w:rPr>
          <w:rFonts w:hint="eastAsia" w:ascii="Arial" w:hAnsi="Arial" w:cs="Arial"/>
          <w:color w:val="000000"/>
          <w:lang w:val="en-US" w:eastAsia="zh-CN"/>
        </w:rPr>
        <w:t>Lv</w:t>
      </w:r>
      <w:r>
        <w:rPr>
          <w:rFonts w:hint="eastAsia" w:ascii="Arial" w:hAnsi="Arial" w:cs="Arial"/>
          <w:color w:val="000000"/>
        </w:rPr>
        <w:t>老师的授课就代表了品质与专业。</w:t>
      </w:r>
    </w:p>
    <w:p>
      <w:pPr>
        <w:tabs>
          <w:tab w:val="left" w:pos="1485"/>
          <w:tab w:val="left" w:pos="3360"/>
          <w:tab w:val="left" w:pos="5460"/>
          <w:tab w:val="left" w:pos="7035"/>
        </w:tabs>
        <w:spacing w:line="280" w:lineRule="exact"/>
        <w:rPr>
          <w:rFonts w:hint="eastAsia" w:ascii="宋体" w:hAnsi="宋体"/>
          <w:b/>
        </w:rPr>
      </w:pPr>
      <w:r>
        <w:rPr>
          <w:rFonts w:hint="eastAsia" w:ascii="宋体" w:hAnsi="宋体"/>
          <w:b/>
        </w:rPr>
        <w:t>授课企业：</w:t>
      </w:r>
      <w:r>
        <w:rPr>
          <w:rFonts w:hint="eastAsia" w:ascii="宋体" w:hAnsi="宋体"/>
          <w:b/>
          <w:lang w:val="en-US" w:eastAsia="zh-CN"/>
        </w:rPr>
        <w:t>2000</w:t>
      </w:r>
      <w:r>
        <w:rPr>
          <w:rFonts w:hint="eastAsia" w:ascii="宋体" w:hAnsi="宋体"/>
          <w:b/>
        </w:rPr>
        <w:t>多家内训企业客户，部分名单：</w:t>
      </w:r>
    </w:p>
    <w:tbl>
      <w:tblPr>
        <w:tblStyle w:val="7"/>
        <w:tblW w:w="9714" w:type="dxa"/>
        <w:tblInd w:w="13" w:type="dxa"/>
        <w:tblLayout w:type="fixed"/>
        <w:tblCellMar>
          <w:top w:w="0" w:type="dxa"/>
          <w:left w:w="28" w:type="dxa"/>
          <w:bottom w:w="0" w:type="dxa"/>
          <w:right w:w="28" w:type="dxa"/>
        </w:tblCellMar>
      </w:tblPr>
      <w:tblGrid>
        <w:gridCol w:w="76"/>
        <w:gridCol w:w="14"/>
        <w:gridCol w:w="2126"/>
        <w:gridCol w:w="1852"/>
        <w:gridCol w:w="1852"/>
        <w:gridCol w:w="1852"/>
        <w:gridCol w:w="1852"/>
        <w:gridCol w:w="90"/>
      </w:tblGrid>
      <w:tr>
        <w:tblPrEx>
          <w:tblCellMar>
            <w:top w:w="0" w:type="dxa"/>
            <w:left w:w="28" w:type="dxa"/>
            <w:bottom w:w="0" w:type="dxa"/>
            <w:right w:w="28" w:type="dxa"/>
          </w:tblCellMar>
        </w:tblPrEx>
        <w:trPr>
          <w:gridAfter w:val="1"/>
          <w:wAfter w:w="90" w:type="dxa"/>
          <w:trHeight w:val="312" w:hRule="exact"/>
        </w:trPr>
        <w:tc>
          <w:tcPr>
            <w:tcW w:w="2216" w:type="dxa"/>
            <w:gridSpan w:val="3"/>
            <w:tcBorders>
              <w:top w:val="nil"/>
              <w:left w:val="nil"/>
              <w:bottom w:val="nil"/>
              <w:right w:val="nil"/>
            </w:tcBorders>
            <w:noWrap w:val="0"/>
            <w:vAlign w:val="center"/>
          </w:tcPr>
          <w:p>
            <w:pPr>
              <w:widowControl/>
              <w:rPr>
                <w:rFonts w:ascii="PMingLiU" w:hAnsi="PMingLiU" w:cs="PMingLiU"/>
                <w:b/>
                <w:bCs/>
                <w:color w:val="000000"/>
                <w:sz w:val="20"/>
                <w:u w:val="single"/>
              </w:rPr>
            </w:pPr>
            <w:r>
              <w:rPr>
                <w:rFonts w:hint="eastAsia" w:ascii="PMingLiU" w:hAnsi="PMingLiU" w:cs="PMingLiU"/>
                <w:b/>
                <w:bCs/>
                <w:color w:val="000000"/>
                <w:sz w:val="20"/>
                <w:u w:val="single"/>
                <w:lang w:val="en-US" w:eastAsia="zh-CN"/>
              </w:rPr>
              <w:t>互联网科技</w:t>
            </w:r>
            <w:r>
              <w:rPr>
                <w:rFonts w:hint="eastAsia" w:ascii="PMingLiU" w:hAnsi="PMingLiU" w:cs="PMingLiU"/>
                <w:b/>
                <w:bCs/>
                <w:color w:val="000000"/>
                <w:sz w:val="20"/>
                <w:u w:val="single"/>
              </w:rPr>
              <w:t>业</w:t>
            </w: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hint="eastAsia" w:ascii="PMingLiU" w:hAnsi="PMingLiU" w:eastAsia="宋体" w:cs="PMingLiU"/>
                <w:color w:val="000000"/>
                <w:szCs w:val="24"/>
                <w:lang w:val="en-US" w:eastAsia="zh-CN"/>
              </w:rPr>
            </w:pPr>
            <w:r>
              <w:rPr>
                <w:rFonts w:hint="eastAsia" w:ascii="PMingLiU" w:hAnsi="PMingLiU" w:cs="PMingLiU"/>
                <w:color w:val="000000"/>
                <w:szCs w:val="24"/>
                <w:lang w:val="en-US" w:eastAsia="zh-CN"/>
              </w:rPr>
              <w:t>h</w:t>
            </w:r>
          </w:p>
        </w:tc>
        <w:tc>
          <w:tcPr>
            <w:tcW w:w="2140" w:type="dxa"/>
            <w:gridSpan w:val="2"/>
            <w:tcBorders>
              <w:top w:val="nil"/>
              <w:left w:val="nil"/>
              <w:bottom w:val="nil"/>
              <w:right w:val="nil"/>
            </w:tcBorders>
            <w:noWrap w:val="0"/>
            <w:vAlign w:val="center"/>
          </w:tcPr>
          <w:p>
            <w:pPr>
              <w:widowControl/>
              <w:rPr>
                <w:rFonts w:hint="default" w:eastAsia="宋体"/>
                <w:color w:val="000000"/>
                <w:sz w:val="20"/>
                <w:lang w:val="en-US" w:eastAsia="zh-CN"/>
              </w:rPr>
            </w:pPr>
            <w:r>
              <w:rPr>
                <w:rFonts w:hint="eastAsia" w:eastAsia="宋体"/>
                <w:color w:val="000000"/>
                <w:sz w:val="20"/>
                <w:lang w:val="en-US" w:eastAsia="zh-CN"/>
              </w:rPr>
              <w:t>阿里巴巴</w:t>
            </w:r>
          </w:p>
        </w:tc>
        <w:tc>
          <w:tcPr>
            <w:tcW w:w="1852" w:type="dxa"/>
            <w:tcBorders>
              <w:top w:val="nil"/>
              <w:left w:val="nil"/>
              <w:bottom w:val="nil"/>
              <w:right w:val="nil"/>
            </w:tcBorders>
            <w:noWrap w:val="0"/>
            <w:vAlign w:val="center"/>
          </w:tcPr>
          <w:p>
            <w:pPr>
              <w:widowControl/>
              <w:rPr>
                <w:rFonts w:hint="default" w:eastAsia="宋体"/>
                <w:color w:val="000000"/>
                <w:sz w:val="20"/>
                <w:lang w:val="en-US" w:eastAsia="zh-CN"/>
              </w:rPr>
            </w:pPr>
            <w:r>
              <w:rPr>
                <w:rFonts w:hint="eastAsia"/>
                <w:color w:val="000000"/>
                <w:sz w:val="20"/>
                <w:lang w:val="en-US" w:eastAsia="zh-CN"/>
              </w:rPr>
              <w:t>美团</w:t>
            </w:r>
          </w:p>
        </w:tc>
        <w:tc>
          <w:tcPr>
            <w:tcW w:w="1852" w:type="dxa"/>
            <w:tcBorders>
              <w:top w:val="nil"/>
              <w:left w:val="nil"/>
              <w:bottom w:val="nil"/>
              <w:right w:val="nil"/>
            </w:tcBorders>
            <w:noWrap w:val="0"/>
            <w:vAlign w:val="center"/>
          </w:tcPr>
          <w:p>
            <w:pPr>
              <w:widowControl/>
              <w:rPr>
                <w:rFonts w:hint="eastAsia" w:eastAsia="宋体"/>
                <w:color w:val="000000"/>
                <w:sz w:val="20"/>
                <w:lang w:val="en-US" w:eastAsia="zh-CN"/>
              </w:rPr>
            </w:pPr>
            <w:r>
              <w:rPr>
                <w:rFonts w:hint="eastAsia" w:eastAsia="宋体"/>
                <w:color w:val="000000"/>
                <w:sz w:val="20"/>
                <w:lang w:val="en-US" w:eastAsia="zh-CN"/>
              </w:rPr>
              <w:t>360大学</w:t>
            </w:r>
          </w:p>
          <w:p>
            <w:pPr>
              <w:widowControl/>
              <w:rPr>
                <w:rFonts w:hint="eastAsia" w:eastAsia="宋体"/>
                <w:color w:val="000000"/>
                <w:sz w:val="20"/>
                <w:lang w:val="en-US" w:eastAsia="zh-CN"/>
              </w:rPr>
            </w:pPr>
          </w:p>
        </w:tc>
        <w:tc>
          <w:tcPr>
            <w:tcW w:w="1852" w:type="dxa"/>
            <w:tcBorders>
              <w:top w:val="nil"/>
              <w:left w:val="nil"/>
              <w:bottom w:val="nil"/>
              <w:right w:val="nil"/>
            </w:tcBorders>
            <w:noWrap w:val="0"/>
            <w:vAlign w:val="center"/>
          </w:tcPr>
          <w:p>
            <w:pPr>
              <w:widowControl/>
              <w:rPr>
                <w:rFonts w:hint="default" w:eastAsia="宋体"/>
                <w:color w:val="000000"/>
                <w:sz w:val="20"/>
                <w:lang w:val="en-US" w:eastAsia="zh-CN"/>
              </w:rPr>
            </w:pPr>
            <w:r>
              <w:rPr>
                <w:rFonts w:hint="eastAsia"/>
                <w:color w:val="000000"/>
                <w:sz w:val="20"/>
                <w:lang w:val="en-US" w:eastAsia="zh-CN"/>
              </w:rPr>
              <w:t>宝尊电子商务</w:t>
            </w:r>
          </w:p>
        </w:tc>
        <w:tc>
          <w:tcPr>
            <w:tcW w:w="1852" w:type="dxa"/>
            <w:tcBorders>
              <w:top w:val="nil"/>
              <w:left w:val="nil"/>
              <w:bottom w:val="nil"/>
              <w:right w:val="nil"/>
            </w:tcBorders>
            <w:noWrap w:val="0"/>
            <w:vAlign w:val="center"/>
          </w:tcPr>
          <w:p>
            <w:pPr>
              <w:widowControl/>
              <w:rPr>
                <w:rFonts w:hint="default" w:eastAsia="宋体"/>
                <w:sz w:val="20"/>
                <w:lang w:val="en-US" w:eastAsia="zh-CN"/>
              </w:rPr>
            </w:pPr>
            <w:r>
              <w:rPr>
                <w:rFonts w:hint="eastAsia" w:eastAsia="宋体"/>
                <w:sz w:val="20"/>
                <w:lang w:val="en-US" w:eastAsia="zh-CN"/>
              </w:rPr>
              <w:t>百秋电商</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default" w:eastAsia="宋体"/>
                <w:color w:val="000000"/>
                <w:sz w:val="20"/>
                <w:lang w:val="en-US" w:eastAsia="zh-CN"/>
              </w:rPr>
            </w:pPr>
            <w:r>
              <w:rPr>
                <w:rFonts w:hint="eastAsia"/>
                <w:color w:val="000000"/>
                <w:sz w:val="20"/>
                <w:lang w:val="en-US" w:eastAsia="zh-CN"/>
              </w:rPr>
              <w:t>海康威视</w:t>
            </w:r>
          </w:p>
        </w:tc>
        <w:tc>
          <w:tcPr>
            <w:tcW w:w="1852" w:type="dxa"/>
            <w:tcBorders>
              <w:top w:val="nil"/>
              <w:left w:val="nil"/>
              <w:bottom w:val="nil"/>
              <w:right w:val="nil"/>
            </w:tcBorders>
            <w:noWrap w:val="0"/>
            <w:vAlign w:val="center"/>
          </w:tcPr>
          <w:p>
            <w:pPr>
              <w:widowControl/>
              <w:rPr>
                <w:color w:val="000000"/>
                <w:sz w:val="20"/>
              </w:rPr>
            </w:pPr>
            <w:r>
              <w:rPr>
                <w:rFonts w:hint="eastAsia"/>
                <w:sz w:val="20"/>
                <w:szCs w:val="22"/>
                <w:lang w:val="en-US" w:eastAsia="zh-CN"/>
              </w:rPr>
              <w:t>东方有线</w:t>
            </w:r>
          </w:p>
        </w:tc>
        <w:tc>
          <w:tcPr>
            <w:tcW w:w="1852" w:type="dxa"/>
            <w:tcBorders>
              <w:top w:val="nil"/>
              <w:left w:val="nil"/>
              <w:bottom w:val="nil"/>
              <w:right w:val="nil"/>
            </w:tcBorders>
            <w:noWrap w:val="0"/>
            <w:vAlign w:val="center"/>
          </w:tcPr>
          <w:p>
            <w:pPr>
              <w:widowControl/>
              <w:rPr>
                <w:rFonts w:hint="default" w:eastAsia="宋体"/>
                <w:color w:val="000000"/>
                <w:sz w:val="20"/>
                <w:lang w:val="en-US" w:eastAsia="zh-CN"/>
              </w:rPr>
            </w:pPr>
            <w:r>
              <w:rPr>
                <w:rFonts w:hint="eastAsia"/>
                <w:color w:val="000000"/>
                <w:sz w:val="20"/>
                <w:lang w:val="en-US" w:eastAsia="zh-CN"/>
              </w:rPr>
              <w:t>广东科创</w:t>
            </w:r>
          </w:p>
        </w:tc>
        <w:tc>
          <w:tcPr>
            <w:tcW w:w="1852" w:type="dxa"/>
            <w:tcBorders>
              <w:top w:val="nil"/>
              <w:left w:val="nil"/>
              <w:bottom w:val="nil"/>
              <w:right w:val="nil"/>
            </w:tcBorders>
            <w:noWrap w:val="0"/>
            <w:vAlign w:val="center"/>
          </w:tcPr>
          <w:p>
            <w:pPr>
              <w:widowControl/>
              <w:rPr>
                <w:rFonts w:hint="default" w:eastAsia="宋体"/>
                <w:color w:val="000000"/>
                <w:sz w:val="20"/>
                <w:lang w:val="en-US" w:eastAsia="zh-CN"/>
              </w:rPr>
            </w:pPr>
            <w:r>
              <w:rPr>
                <w:rFonts w:hint="eastAsia"/>
                <w:color w:val="000000"/>
                <w:sz w:val="20"/>
              </w:rPr>
              <w:t>ＯＰＰＯ</w:t>
            </w:r>
            <w:r>
              <w:rPr>
                <w:rFonts w:hint="eastAsia"/>
                <w:color w:val="000000"/>
                <w:sz w:val="20"/>
                <w:lang w:val="en-US" w:eastAsia="zh-CN"/>
              </w:rPr>
              <w:t>/VIVO</w:t>
            </w:r>
          </w:p>
        </w:tc>
        <w:tc>
          <w:tcPr>
            <w:tcW w:w="1852" w:type="dxa"/>
            <w:tcBorders>
              <w:top w:val="nil"/>
              <w:left w:val="nil"/>
              <w:bottom w:val="nil"/>
              <w:right w:val="nil"/>
            </w:tcBorders>
            <w:noWrap w:val="0"/>
            <w:vAlign w:val="center"/>
          </w:tcPr>
          <w:p>
            <w:pPr>
              <w:widowControl/>
              <w:rPr>
                <w:rFonts w:hint="default" w:eastAsia="宋体"/>
                <w:sz w:val="20"/>
                <w:lang w:val="en-US" w:eastAsia="zh-CN"/>
              </w:rPr>
            </w:pPr>
            <w:r>
              <w:rPr>
                <w:rFonts w:hint="default" w:eastAsia="宋体"/>
                <w:sz w:val="20"/>
                <w:lang w:val="en-US" w:eastAsia="zh-CN"/>
              </w:rPr>
              <w:t>森马电商</w:t>
            </w:r>
          </w:p>
          <w:p>
            <w:pPr>
              <w:widowControl/>
              <w:rPr>
                <w:rFonts w:hint="default" w:eastAsia="宋体"/>
                <w:sz w:val="20"/>
                <w:lang w:val="en-US" w:eastAsia="zh-CN"/>
              </w:rPr>
            </w:pP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default" w:eastAsia="宋体"/>
                <w:sz w:val="20"/>
                <w:lang w:val="en-US" w:eastAsia="zh-CN"/>
              </w:rPr>
            </w:pPr>
            <w:r>
              <w:rPr>
                <w:rFonts w:hint="eastAsia"/>
                <w:color w:val="000000"/>
                <w:sz w:val="20"/>
              </w:rPr>
              <w:t>新华三</w:t>
            </w:r>
            <w:r>
              <w:rPr>
                <w:rFonts w:hint="eastAsia"/>
                <w:color w:val="000000"/>
                <w:sz w:val="20"/>
                <w:lang w:val="en-US" w:eastAsia="zh-CN"/>
              </w:rPr>
              <w:t xml:space="preserve"> H3C</w:t>
            </w:r>
          </w:p>
        </w:tc>
        <w:tc>
          <w:tcPr>
            <w:tcW w:w="1852" w:type="dxa"/>
            <w:tcBorders>
              <w:top w:val="nil"/>
              <w:left w:val="nil"/>
              <w:bottom w:val="nil"/>
              <w:right w:val="nil"/>
            </w:tcBorders>
            <w:noWrap w:val="0"/>
            <w:vAlign w:val="center"/>
          </w:tcPr>
          <w:p>
            <w:pPr>
              <w:widowControl/>
              <w:rPr>
                <w:rFonts w:hint="eastAsia"/>
                <w:color w:val="000000"/>
                <w:sz w:val="20"/>
              </w:rPr>
            </w:pPr>
            <w:r>
              <w:rPr>
                <w:rFonts w:hint="eastAsia"/>
                <w:color w:val="000000"/>
                <w:sz w:val="20"/>
              </w:rPr>
              <w:t>瑞声科技</w:t>
            </w:r>
          </w:p>
          <w:p>
            <w:pPr>
              <w:widowControl/>
              <w:rPr>
                <w:color w:val="000000"/>
                <w:sz w:val="20"/>
              </w:rPr>
            </w:pPr>
          </w:p>
        </w:tc>
        <w:tc>
          <w:tcPr>
            <w:tcW w:w="1852" w:type="dxa"/>
            <w:tcBorders>
              <w:top w:val="nil"/>
              <w:left w:val="nil"/>
              <w:bottom w:val="nil"/>
              <w:right w:val="nil"/>
            </w:tcBorders>
            <w:noWrap w:val="0"/>
            <w:vAlign w:val="top"/>
          </w:tcPr>
          <w:p>
            <w:pPr>
              <w:widowControl/>
              <w:rPr>
                <w:rFonts w:hint="eastAsia"/>
                <w:color w:val="000000"/>
                <w:sz w:val="20"/>
                <w:szCs w:val="22"/>
                <w:lang w:val="en-US" w:eastAsia="zh-CN"/>
              </w:rPr>
            </w:pPr>
            <w:r>
              <w:rPr>
                <w:rFonts w:hint="eastAsia"/>
                <w:color w:val="000000"/>
                <w:sz w:val="20"/>
                <w:szCs w:val="22"/>
                <w:lang w:val="en-US" w:eastAsia="zh-CN"/>
              </w:rPr>
              <w:t>迪卡侬</w:t>
            </w:r>
          </w:p>
          <w:p>
            <w:pPr>
              <w:widowControl/>
              <w:rPr>
                <w:rFonts w:hint="default"/>
                <w:color w:val="000000"/>
                <w:sz w:val="20"/>
                <w:szCs w:val="22"/>
                <w:lang w:val="en-US" w:eastAsia="zh-CN"/>
              </w:rPr>
            </w:pPr>
          </w:p>
        </w:tc>
        <w:tc>
          <w:tcPr>
            <w:tcW w:w="1852" w:type="dxa"/>
            <w:tcBorders>
              <w:top w:val="nil"/>
              <w:left w:val="nil"/>
              <w:bottom w:val="nil"/>
              <w:right w:val="nil"/>
            </w:tcBorders>
            <w:noWrap w:val="0"/>
            <w:vAlign w:val="top"/>
          </w:tcPr>
          <w:p>
            <w:pPr>
              <w:widowControl/>
              <w:rPr>
                <w:rFonts w:hint="eastAsia"/>
                <w:color w:val="000000"/>
                <w:sz w:val="20"/>
                <w:szCs w:val="22"/>
                <w:lang w:val="en-US" w:eastAsia="zh-CN"/>
              </w:rPr>
            </w:pPr>
            <w:r>
              <w:rPr>
                <w:rFonts w:hint="eastAsia"/>
                <w:color w:val="000000"/>
                <w:sz w:val="20"/>
                <w:szCs w:val="22"/>
                <w:lang w:val="en-US" w:eastAsia="zh-CN"/>
              </w:rPr>
              <w:t>超维科技</w:t>
            </w:r>
          </w:p>
        </w:tc>
        <w:tc>
          <w:tcPr>
            <w:tcW w:w="1852" w:type="dxa"/>
            <w:tcBorders>
              <w:top w:val="nil"/>
              <w:left w:val="nil"/>
              <w:bottom w:val="nil"/>
              <w:right w:val="nil"/>
            </w:tcBorders>
            <w:noWrap w:val="0"/>
            <w:vAlign w:val="center"/>
          </w:tcPr>
          <w:p>
            <w:pPr>
              <w:widowControl/>
              <w:rPr>
                <w:rFonts w:hint="eastAsia"/>
                <w:color w:val="000000"/>
                <w:sz w:val="20"/>
                <w:szCs w:val="22"/>
                <w:lang w:val="en-US" w:eastAsia="zh-CN"/>
              </w:rPr>
            </w:pPr>
            <w:r>
              <w:rPr>
                <w:rFonts w:hint="eastAsia"/>
                <w:sz w:val="20"/>
                <w:szCs w:val="22"/>
                <w:lang w:val="en-US" w:eastAsia="zh-CN"/>
              </w:rPr>
              <w:t>水晶石数字科技</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color w:val="000000"/>
                <w:sz w:val="20"/>
              </w:rPr>
            </w:pPr>
            <w:r>
              <w:rPr>
                <w:rFonts w:hint="eastAsia" w:ascii="PMingLiU" w:hAnsi="PMingLiU" w:cs="PMingLiU"/>
                <w:b/>
                <w:bCs/>
                <w:color w:val="000000"/>
                <w:sz w:val="20"/>
                <w:u w:val="single"/>
              </w:rPr>
              <w:t>制造业</w:t>
            </w:r>
          </w:p>
        </w:tc>
        <w:tc>
          <w:tcPr>
            <w:tcW w:w="1852" w:type="dxa"/>
            <w:tcBorders>
              <w:top w:val="nil"/>
              <w:left w:val="nil"/>
              <w:bottom w:val="nil"/>
              <w:right w:val="nil"/>
            </w:tcBorders>
            <w:noWrap w:val="0"/>
            <w:vAlign w:val="center"/>
          </w:tcPr>
          <w:p>
            <w:pPr>
              <w:widowControl/>
              <w:rPr>
                <w:rFonts w:hint="eastAsia"/>
                <w:sz w:val="20"/>
                <w:szCs w:val="22"/>
                <w:lang w:val="en-US" w:eastAsia="zh-CN"/>
              </w:rPr>
            </w:pPr>
          </w:p>
        </w:tc>
        <w:tc>
          <w:tcPr>
            <w:tcW w:w="1852" w:type="dxa"/>
            <w:tcBorders>
              <w:top w:val="nil"/>
              <w:left w:val="nil"/>
              <w:bottom w:val="nil"/>
              <w:right w:val="nil"/>
            </w:tcBorders>
            <w:noWrap w:val="0"/>
            <w:vAlign w:val="center"/>
          </w:tcPr>
          <w:p>
            <w:pPr>
              <w:widowControl/>
              <w:rPr>
                <w:rFonts w:hint="eastAsia"/>
                <w:sz w:val="20"/>
                <w:szCs w:val="22"/>
                <w:lang w:val="en-US" w:eastAsia="zh-CN"/>
              </w:rPr>
            </w:pPr>
          </w:p>
        </w:tc>
        <w:tc>
          <w:tcPr>
            <w:tcW w:w="1852" w:type="dxa"/>
            <w:tcBorders>
              <w:top w:val="nil"/>
              <w:left w:val="nil"/>
              <w:bottom w:val="nil"/>
              <w:right w:val="nil"/>
            </w:tcBorders>
            <w:noWrap w:val="0"/>
            <w:vAlign w:val="center"/>
          </w:tcPr>
          <w:p>
            <w:pPr>
              <w:widowControl/>
              <w:rPr>
                <w:rFonts w:hint="eastAsia"/>
                <w:sz w:val="20"/>
                <w:szCs w:val="22"/>
                <w:lang w:val="en-US" w:eastAsia="zh-CN"/>
              </w:rPr>
            </w:pPr>
          </w:p>
        </w:tc>
        <w:tc>
          <w:tcPr>
            <w:tcW w:w="1852" w:type="dxa"/>
            <w:tcBorders>
              <w:top w:val="nil"/>
              <w:left w:val="nil"/>
              <w:bottom w:val="nil"/>
              <w:right w:val="nil"/>
            </w:tcBorders>
            <w:noWrap w:val="0"/>
            <w:vAlign w:val="center"/>
          </w:tcPr>
          <w:p>
            <w:pPr>
              <w:widowControl/>
              <w:rPr>
                <w:rFonts w:hint="eastAsia"/>
                <w:sz w:val="20"/>
                <w:szCs w:val="22"/>
                <w:lang w:val="en-US" w:eastAsia="zh-CN"/>
              </w:rPr>
            </w:pP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中化集团</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上海电气</w:t>
            </w:r>
          </w:p>
          <w:p>
            <w:pPr>
              <w:widowControl/>
              <w:rPr>
                <w:rFonts w:hint="eastAsia"/>
                <w:sz w:val="20"/>
                <w:szCs w:val="22"/>
                <w:lang w:val="en-US" w:eastAsia="zh-CN"/>
              </w:rPr>
            </w:pP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广州电气</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上海输配电</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东鹏控股</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宝钢</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西子奥的斯</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汇美磨具</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TDK东电化</w:t>
            </w:r>
          </w:p>
          <w:p>
            <w:pPr>
              <w:widowControl/>
              <w:rPr>
                <w:rFonts w:hint="eastAsia"/>
                <w:sz w:val="20"/>
                <w:szCs w:val="22"/>
                <w:lang w:val="en-US" w:eastAsia="zh-CN"/>
              </w:rPr>
            </w:pP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普茨迈斯特机械</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ascii="PMingLiU" w:hAnsi="PMingLiU" w:cs="PMingLiU"/>
                <w:color w:val="000000"/>
                <w:szCs w:val="24"/>
              </w:rPr>
            </w:pPr>
            <w:r>
              <w:rPr>
                <w:sz w:val="20"/>
              </w:rPr>
              <w:t>Johnson Control</w:t>
            </w:r>
          </w:p>
        </w:tc>
        <w:tc>
          <w:tcPr>
            <w:tcW w:w="1852" w:type="dxa"/>
            <w:tcBorders>
              <w:top w:val="nil"/>
              <w:left w:val="nil"/>
              <w:bottom w:val="nil"/>
              <w:right w:val="nil"/>
            </w:tcBorders>
            <w:noWrap w:val="0"/>
            <w:vAlign w:val="center"/>
          </w:tcPr>
          <w:p>
            <w:pPr>
              <w:widowControl/>
              <w:rPr>
                <w:rFonts w:ascii="PMingLiU" w:hAnsi="PMingLiU" w:cs="PMingLiU"/>
                <w:color w:val="000000"/>
                <w:szCs w:val="24"/>
              </w:rPr>
            </w:pPr>
            <w:r>
              <w:rPr>
                <w:sz w:val="20"/>
              </w:rPr>
              <w:t>Owens Corning</w:t>
            </w:r>
          </w:p>
        </w:tc>
        <w:tc>
          <w:tcPr>
            <w:tcW w:w="1852" w:type="dxa"/>
            <w:tcBorders>
              <w:top w:val="nil"/>
              <w:left w:val="nil"/>
              <w:bottom w:val="nil"/>
              <w:right w:val="nil"/>
            </w:tcBorders>
            <w:noWrap w:val="0"/>
            <w:vAlign w:val="center"/>
          </w:tcPr>
          <w:p>
            <w:pPr>
              <w:widowControl/>
              <w:rPr>
                <w:rFonts w:ascii="PMingLiU" w:hAnsi="PMingLiU" w:cs="PMingLiU"/>
                <w:color w:val="000000"/>
                <w:szCs w:val="24"/>
              </w:rPr>
            </w:pPr>
            <w:r>
              <w:rPr>
                <w:rFonts w:hint="eastAsia"/>
                <w:sz w:val="20"/>
              </w:rPr>
              <w:t>Aloca</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Assab一胜百模具</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PEPSI百事可乐</w:t>
            </w:r>
          </w:p>
        </w:tc>
      </w:tr>
      <w:tr>
        <w:tblPrEx>
          <w:tblCellMar>
            <w:top w:w="0" w:type="dxa"/>
            <w:left w:w="28" w:type="dxa"/>
            <w:bottom w:w="0" w:type="dxa"/>
            <w:right w:w="28" w:type="dxa"/>
          </w:tblCellMar>
        </w:tblPrEx>
        <w:trPr>
          <w:gridAfter w:val="1"/>
          <w:wAfter w:w="90" w:type="dxa"/>
          <w:trHeight w:val="297"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上海紫江集团</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亚东石化</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海力士-意法半导体</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达利集团</w:t>
            </w:r>
          </w:p>
          <w:p>
            <w:pPr>
              <w:widowControl/>
              <w:rPr>
                <w:rFonts w:hint="eastAsia"/>
                <w:sz w:val="20"/>
                <w:szCs w:val="22"/>
                <w:lang w:val="en-US" w:eastAsia="zh-CN"/>
              </w:rPr>
            </w:pP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万控集团</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陕西陕鼓集团</w:t>
            </w:r>
          </w:p>
          <w:p>
            <w:pPr>
              <w:widowControl/>
              <w:rPr>
                <w:rFonts w:hint="eastAsia"/>
                <w:sz w:val="20"/>
                <w:szCs w:val="22"/>
                <w:lang w:val="en-US" w:eastAsia="zh-CN"/>
              </w:rPr>
            </w:pP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沪东中华造船</w:t>
            </w:r>
          </w:p>
        </w:tc>
        <w:tc>
          <w:tcPr>
            <w:tcW w:w="1852" w:type="dxa"/>
            <w:tcBorders>
              <w:top w:val="nil"/>
              <w:left w:val="nil"/>
              <w:bottom w:val="nil"/>
              <w:right w:val="nil"/>
            </w:tcBorders>
            <w:noWrap w:val="0"/>
            <w:vAlign w:val="top"/>
          </w:tcPr>
          <w:p>
            <w:pPr>
              <w:widowControl/>
              <w:rPr>
                <w:rFonts w:hint="eastAsia"/>
                <w:sz w:val="20"/>
                <w:szCs w:val="22"/>
                <w:lang w:val="en-US" w:eastAsia="zh-CN"/>
              </w:rPr>
            </w:pPr>
            <w:r>
              <w:rPr>
                <w:rFonts w:hint="eastAsia"/>
                <w:sz w:val="20"/>
                <w:szCs w:val="22"/>
                <w:lang w:val="en-US" w:eastAsia="zh-CN"/>
              </w:rPr>
              <w:t>宇扬半导体</w:t>
            </w:r>
          </w:p>
        </w:tc>
        <w:tc>
          <w:tcPr>
            <w:tcW w:w="1852" w:type="dxa"/>
            <w:tcBorders>
              <w:top w:val="nil"/>
              <w:left w:val="nil"/>
              <w:bottom w:val="nil"/>
              <w:right w:val="nil"/>
            </w:tcBorders>
            <w:noWrap w:val="0"/>
            <w:vAlign w:val="top"/>
          </w:tcPr>
          <w:p>
            <w:pPr>
              <w:widowControl/>
              <w:rPr>
                <w:rFonts w:hint="eastAsia"/>
                <w:sz w:val="20"/>
                <w:szCs w:val="22"/>
                <w:lang w:val="en-US" w:eastAsia="zh-CN"/>
              </w:rPr>
            </w:pPr>
            <w:r>
              <w:rPr>
                <w:rFonts w:hint="eastAsia"/>
                <w:sz w:val="20"/>
                <w:szCs w:val="22"/>
                <w:lang w:val="en-US" w:eastAsia="zh-CN"/>
              </w:rPr>
              <w:t>福瑞集团</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湖南威盛电气</w:t>
            </w:r>
          </w:p>
          <w:p>
            <w:pPr>
              <w:widowControl/>
              <w:rPr>
                <w:rFonts w:hint="eastAsia"/>
                <w:sz w:val="20"/>
                <w:szCs w:val="22"/>
                <w:lang w:val="en-US" w:eastAsia="zh-CN"/>
              </w:rPr>
            </w:pP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三菱电机</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lang w:val="en-US" w:eastAsia="zh-CN"/>
              </w:rPr>
              <w:t>三菱重工</w:t>
            </w:r>
            <w:r>
              <w:rPr>
                <w:rFonts w:hint="eastAsia"/>
                <w:sz w:val="20"/>
                <w:szCs w:val="22"/>
                <w:lang w:val="en-US" w:eastAsia="zh-CN"/>
              </w:rPr>
              <w:t xml:space="preserve">  </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大冢(中国)</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旭硝子</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松下电器</w:t>
            </w:r>
          </w:p>
        </w:tc>
      </w:tr>
      <w:tr>
        <w:tblPrEx>
          <w:tblCellMar>
            <w:top w:w="0" w:type="dxa"/>
            <w:left w:w="28" w:type="dxa"/>
            <w:bottom w:w="0" w:type="dxa"/>
            <w:right w:w="28" w:type="dxa"/>
          </w:tblCellMar>
        </w:tblPrEx>
        <w:trPr>
          <w:gridAfter w:val="1"/>
          <w:wAfter w:w="90" w:type="dxa"/>
          <w:trHeight w:val="297"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kern w:val="2"/>
                <w:sz w:val="20"/>
                <w:szCs w:val="22"/>
                <w:lang w:val="en-US" w:eastAsia="zh-CN" w:bidi="ar-SA"/>
              </w:rPr>
            </w:pPr>
            <w:r>
              <w:rPr>
                <w:rFonts w:hint="eastAsia"/>
                <w:sz w:val="20"/>
                <w:szCs w:val="22"/>
                <w:lang w:val="en-US" w:eastAsia="zh-CN"/>
              </w:rPr>
              <w:t>京瓷公司</w:t>
            </w:r>
          </w:p>
        </w:tc>
        <w:tc>
          <w:tcPr>
            <w:tcW w:w="1852" w:type="dxa"/>
            <w:tcBorders>
              <w:top w:val="nil"/>
              <w:left w:val="nil"/>
              <w:bottom w:val="nil"/>
              <w:right w:val="nil"/>
            </w:tcBorders>
            <w:noWrap w:val="0"/>
            <w:vAlign w:val="center"/>
          </w:tcPr>
          <w:p>
            <w:pPr>
              <w:widowControl/>
              <w:rPr>
                <w:rFonts w:hint="eastAsia"/>
                <w:kern w:val="2"/>
                <w:sz w:val="20"/>
                <w:szCs w:val="22"/>
                <w:lang w:val="en-US" w:eastAsia="zh-CN" w:bidi="ar-SA"/>
              </w:rPr>
            </w:pPr>
            <w:r>
              <w:rPr>
                <w:rFonts w:hint="eastAsia"/>
                <w:sz w:val="20"/>
                <w:szCs w:val="22"/>
                <w:lang w:val="en-US" w:eastAsia="zh-CN"/>
              </w:rPr>
              <w:t>商船三井</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日立建基</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常石造船厂</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野村</w:t>
            </w:r>
          </w:p>
        </w:tc>
      </w:tr>
      <w:tr>
        <w:tblPrEx>
          <w:tblCellMar>
            <w:top w:w="0" w:type="dxa"/>
            <w:left w:w="28" w:type="dxa"/>
            <w:bottom w:w="0" w:type="dxa"/>
            <w:right w:w="28" w:type="dxa"/>
          </w:tblCellMar>
        </w:tblPrEx>
        <w:trPr>
          <w:gridAfter w:val="1"/>
          <w:wAfter w:w="90" w:type="dxa"/>
          <w:trHeight w:val="312" w:hRule="exact"/>
        </w:trPr>
        <w:tc>
          <w:tcPr>
            <w:tcW w:w="2216" w:type="dxa"/>
            <w:gridSpan w:val="3"/>
            <w:tcBorders>
              <w:top w:val="nil"/>
              <w:left w:val="nil"/>
              <w:bottom w:val="nil"/>
              <w:right w:val="nil"/>
            </w:tcBorders>
            <w:noWrap w:val="0"/>
            <w:vAlign w:val="center"/>
          </w:tcPr>
          <w:p>
            <w:pPr>
              <w:widowControl/>
              <w:rPr>
                <w:rFonts w:ascii="PMingLiU" w:hAnsi="PMingLiU" w:cs="PMingLiU"/>
                <w:b/>
                <w:bCs/>
                <w:color w:val="000000"/>
                <w:sz w:val="20"/>
                <w:u w:val="single"/>
              </w:rPr>
            </w:pPr>
            <w:r>
              <w:rPr>
                <w:rFonts w:hint="eastAsia" w:ascii="PMingLiU" w:hAnsi="PMingLiU" w:cs="PMingLiU"/>
                <w:b/>
                <w:bCs/>
                <w:color w:val="000000"/>
                <w:sz w:val="20"/>
                <w:u w:val="single"/>
              </w:rPr>
              <w:t>服务业</w:t>
            </w: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YUM百胜餐饮集团</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光明乳业</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飞鹤乳业</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中石油</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中石化</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万纬物流（万科旗下）</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迪卡侬仓储</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天天快递</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爱普斯物流</w:t>
            </w:r>
          </w:p>
        </w:tc>
        <w:tc>
          <w:tcPr>
            <w:tcW w:w="1852" w:type="dxa"/>
            <w:tcBorders>
              <w:top w:val="nil"/>
              <w:left w:val="nil"/>
              <w:bottom w:val="nil"/>
              <w:right w:val="nil"/>
            </w:tcBorders>
            <w:noWrap w:val="0"/>
            <w:vAlign w:val="bottom"/>
          </w:tcPr>
          <w:p>
            <w:pPr>
              <w:widowControl/>
              <w:rPr>
                <w:rFonts w:hint="default"/>
                <w:sz w:val="20"/>
                <w:szCs w:val="22"/>
                <w:lang w:val="en-US" w:eastAsia="zh-CN"/>
              </w:rPr>
            </w:pPr>
            <w:r>
              <w:rPr>
                <w:rFonts w:hint="default"/>
                <w:sz w:val="20"/>
                <w:szCs w:val="22"/>
                <w:lang w:val="en-US" w:eastAsia="zh-CN"/>
              </w:rPr>
              <w:t>玛雅多（中国）</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汉庭酒店</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锦江之星</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如家连锁酒店</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金茂集团</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加得士</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上海世博局</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上海航空</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浦东机场</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劳氏船级社</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中国国旅</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新百集团</w:t>
            </w:r>
          </w:p>
        </w:tc>
        <w:tc>
          <w:tcPr>
            <w:tcW w:w="1852" w:type="dxa"/>
            <w:tcBorders>
              <w:top w:val="nil"/>
              <w:left w:val="nil"/>
              <w:bottom w:val="nil"/>
              <w:right w:val="nil"/>
            </w:tcBorders>
            <w:noWrap w:val="0"/>
            <w:vAlign w:val="bottom"/>
          </w:tcPr>
          <w:p>
            <w:pPr>
              <w:widowControl/>
              <w:rPr>
                <w:rFonts w:hint="default"/>
                <w:sz w:val="20"/>
                <w:szCs w:val="22"/>
                <w:lang w:val="en-US" w:eastAsia="zh-CN"/>
              </w:rPr>
            </w:pPr>
            <w:r>
              <w:rPr>
                <w:rFonts w:hint="default"/>
                <w:sz w:val="20"/>
                <w:szCs w:val="22"/>
                <w:lang w:val="en-US" w:eastAsia="zh-CN"/>
              </w:rPr>
              <w:t>爱思箱包</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都市丽人</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梦百合</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周大福</w:t>
            </w:r>
          </w:p>
        </w:tc>
      </w:tr>
      <w:tr>
        <w:tblPrEx>
          <w:tblCellMar>
            <w:top w:w="0" w:type="dxa"/>
            <w:left w:w="28" w:type="dxa"/>
            <w:bottom w:w="0" w:type="dxa"/>
            <w:right w:w="28" w:type="dxa"/>
          </w:tblCellMar>
        </w:tblPrEx>
        <w:trPr>
          <w:gridAfter w:val="1"/>
          <w:wAfter w:w="90" w:type="dxa"/>
          <w:trHeight w:val="297"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船舶工业研究所</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黄金搭档</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纨红商社</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康宝莱</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福伊特</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FESCO外服</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 xml:space="preserve">Manpower人力资源  </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优美科</w:t>
            </w:r>
          </w:p>
        </w:tc>
        <w:tc>
          <w:tcPr>
            <w:tcW w:w="1852" w:type="dxa"/>
            <w:tcBorders>
              <w:top w:val="nil"/>
              <w:left w:val="nil"/>
              <w:bottom w:val="nil"/>
              <w:right w:val="nil"/>
            </w:tcBorders>
            <w:noWrap w:val="0"/>
            <w:vAlign w:val="bottom"/>
          </w:tcPr>
          <w:p>
            <w:pPr>
              <w:widowControl/>
              <w:rPr>
                <w:rFonts w:hint="default"/>
                <w:sz w:val="20"/>
                <w:szCs w:val="22"/>
                <w:lang w:val="en-US" w:eastAsia="zh-CN"/>
              </w:rPr>
            </w:pPr>
            <w:r>
              <w:rPr>
                <w:rFonts w:hint="eastAsia"/>
                <w:sz w:val="20"/>
                <w:szCs w:val="22"/>
                <w:lang w:val="en-US" w:eastAsia="zh-CN"/>
              </w:rPr>
              <w:t>佳禾食品</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屈臣氏</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热风</w:t>
            </w:r>
          </w:p>
          <w:p>
            <w:pPr>
              <w:widowControl/>
              <w:rPr>
                <w:rFonts w:hint="eastAsia"/>
                <w:sz w:val="20"/>
                <w:szCs w:val="22"/>
                <w:lang w:val="en-US" w:eastAsia="zh-CN"/>
              </w:rPr>
            </w:pP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七匹狼</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艾格服装</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亨得利</w:t>
            </w:r>
          </w:p>
        </w:tc>
        <w:tc>
          <w:tcPr>
            <w:tcW w:w="1852" w:type="dxa"/>
            <w:tcBorders>
              <w:top w:val="nil"/>
              <w:left w:val="nil"/>
              <w:bottom w:val="nil"/>
              <w:right w:val="nil"/>
            </w:tcBorders>
            <w:noWrap w:val="0"/>
            <w:vAlign w:val="bottom"/>
          </w:tcPr>
          <w:p>
            <w:pPr>
              <w:widowControl/>
              <w:rPr>
                <w:rFonts w:hint="default"/>
                <w:sz w:val="20"/>
                <w:szCs w:val="22"/>
                <w:lang w:val="en-US" w:eastAsia="zh-CN"/>
              </w:rPr>
            </w:pPr>
            <w:r>
              <w:rPr>
                <w:rFonts w:hint="eastAsia"/>
                <w:sz w:val="20"/>
                <w:szCs w:val="22"/>
                <w:lang w:val="en-US" w:eastAsia="zh-CN"/>
              </w:rPr>
              <w:t>顾家家私</w:t>
            </w:r>
          </w:p>
        </w:tc>
      </w:tr>
      <w:tr>
        <w:tblPrEx>
          <w:tblCellMar>
            <w:top w:w="0" w:type="dxa"/>
            <w:left w:w="28" w:type="dxa"/>
            <w:bottom w:w="0" w:type="dxa"/>
            <w:right w:w="28" w:type="dxa"/>
          </w:tblCellMar>
        </w:tblPrEx>
        <w:trPr>
          <w:gridAfter w:val="1"/>
          <w:wAfter w:w="90" w:type="dxa"/>
          <w:trHeight w:val="312" w:hRule="exact"/>
        </w:trPr>
        <w:tc>
          <w:tcPr>
            <w:tcW w:w="2216" w:type="dxa"/>
            <w:gridSpan w:val="3"/>
            <w:tcBorders>
              <w:top w:val="nil"/>
              <w:left w:val="nil"/>
              <w:bottom w:val="nil"/>
              <w:right w:val="nil"/>
            </w:tcBorders>
            <w:noWrap w:val="0"/>
            <w:vAlign w:val="center"/>
          </w:tcPr>
          <w:p>
            <w:pPr>
              <w:widowControl/>
              <w:rPr>
                <w:rFonts w:ascii="PMingLiU" w:hAnsi="PMingLiU" w:cs="PMingLiU"/>
                <w:b/>
                <w:bCs/>
                <w:color w:val="000000"/>
                <w:sz w:val="20"/>
                <w:u w:val="single"/>
              </w:rPr>
            </w:pPr>
            <w:r>
              <w:rPr>
                <w:rFonts w:hint="eastAsia" w:ascii="PMingLiU" w:hAnsi="PMingLiU" w:cs="PMingLiU"/>
                <w:b/>
                <w:bCs/>
                <w:color w:val="000000"/>
                <w:sz w:val="20"/>
                <w:u w:val="single"/>
              </w:rPr>
              <w:t>医疗业</w:t>
            </w: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中美施贵宝</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惠氏制药（中国）</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诺和诺德药业</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百特医疗</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恩斯克</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扬子江药业</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医科达医疗仪器</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微创医疗器械</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成都第一药业</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视得安</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张江生物医药</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科医国际</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宛西制药</w:t>
            </w:r>
          </w:p>
          <w:p>
            <w:pPr>
              <w:widowControl/>
              <w:rPr>
                <w:rFonts w:hint="eastAsia"/>
                <w:sz w:val="20"/>
                <w:szCs w:val="22"/>
                <w:lang w:val="en-US" w:eastAsia="zh-CN"/>
              </w:rPr>
            </w:pP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迈瑞医疗仪器</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飞依诺医疗仪器</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尚华国际(睿智化学)</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川奇制药</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津村制药</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诺和诺德药业</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三生药业</w:t>
            </w:r>
          </w:p>
        </w:tc>
      </w:tr>
      <w:tr>
        <w:tblPrEx>
          <w:tblCellMar>
            <w:top w:w="0" w:type="dxa"/>
            <w:left w:w="28" w:type="dxa"/>
            <w:bottom w:w="0" w:type="dxa"/>
            <w:right w:w="28" w:type="dxa"/>
          </w:tblCellMar>
        </w:tblPrEx>
        <w:trPr>
          <w:gridAfter w:val="1"/>
          <w:wAfter w:w="90" w:type="dxa"/>
          <w:trHeight w:val="312" w:hRule="exact"/>
        </w:trPr>
        <w:tc>
          <w:tcPr>
            <w:tcW w:w="2216" w:type="dxa"/>
            <w:gridSpan w:val="3"/>
            <w:tcBorders>
              <w:top w:val="nil"/>
              <w:left w:val="nil"/>
              <w:bottom w:val="nil"/>
              <w:right w:val="nil"/>
            </w:tcBorders>
            <w:noWrap w:val="0"/>
            <w:vAlign w:val="center"/>
          </w:tcPr>
          <w:p>
            <w:pPr>
              <w:widowControl/>
              <w:rPr>
                <w:rFonts w:ascii="PMingLiU" w:hAnsi="PMingLiU" w:cs="PMingLiU"/>
                <w:b/>
                <w:bCs/>
                <w:color w:val="000000"/>
                <w:sz w:val="20"/>
                <w:u w:val="single"/>
              </w:rPr>
            </w:pPr>
            <w:r>
              <w:rPr>
                <w:rFonts w:hint="eastAsia" w:ascii="PMingLiU" w:hAnsi="PMingLiU" w:cs="PMingLiU"/>
                <w:b/>
                <w:bCs/>
                <w:color w:val="000000"/>
                <w:sz w:val="20"/>
                <w:u w:val="single"/>
              </w:rPr>
              <w:t>金融服务业</w:t>
            </w: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r>
      <w:tr>
        <w:tblPrEx>
          <w:tblCellMar>
            <w:top w:w="0" w:type="dxa"/>
            <w:left w:w="28" w:type="dxa"/>
            <w:bottom w:w="0" w:type="dxa"/>
            <w:right w:w="28" w:type="dxa"/>
          </w:tblCellMar>
        </w:tblPrEx>
        <w:trPr>
          <w:gridAfter w:val="1"/>
          <w:wAfter w:w="90" w:type="dxa"/>
          <w:trHeight w:val="297"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招商银行</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工商银行</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中国银行</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招商银行</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农业银行</w:t>
            </w:r>
          </w:p>
        </w:tc>
      </w:tr>
      <w:tr>
        <w:tblPrEx>
          <w:tblCellMar>
            <w:top w:w="0" w:type="dxa"/>
            <w:left w:w="28" w:type="dxa"/>
            <w:bottom w:w="0" w:type="dxa"/>
            <w:right w:w="28" w:type="dxa"/>
          </w:tblCellMar>
        </w:tblPrEx>
        <w:trPr>
          <w:gridAfter w:val="1"/>
          <w:wAfter w:w="90" w:type="dxa"/>
          <w:trHeight w:val="297"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申银万国证券</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海通证券</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国泰期货</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期货同业联盟</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中期期货</w:t>
            </w:r>
          </w:p>
        </w:tc>
      </w:tr>
      <w:tr>
        <w:tblPrEx>
          <w:tblCellMar>
            <w:top w:w="0" w:type="dxa"/>
            <w:left w:w="28" w:type="dxa"/>
            <w:bottom w:w="0" w:type="dxa"/>
            <w:right w:w="28" w:type="dxa"/>
          </w:tblCellMar>
        </w:tblPrEx>
        <w:trPr>
          <w:gridAfter w:val="1"/>
          <w:wAfter w:w="90" w:type="dxa"/>
          <w:trHeight w:val="298"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建设银行</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浦发银行</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紫金银行</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申万巴黎基金</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东兴期货</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交通银行</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金诚财富</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东兴期货</w:t>
            </w:r>
          </w:p>
        </w:tc>
        <w:tc>
          <w:tcPr>
            <w:tcW w:w="1852" w:type="dxa"/>
            <w:tcBorders>
              <w:top w:val="nil"/>
              <w:left w:val="nil"/>
              <w:bottom w:val="nil"/>
              <w:right w:val="nil"/>
            </w:tcBorders>
            <w:noWrap w:val="0"/>
            <w:vAlign w:val="bottom"/>
          </w:tcPr>
          <w:p>
            <w:pPr>
              <w:widowControl/>
              <w:rPr>
                <w:rFonts w:hint="default"/>
                <w:sz w:val="20"/>
                <w:szCs w:val="22"/>
                <w:lang w:val="en-US" w:eastAsia="zh-CN"/>
              </w:rPr>
            </w:pPr>
            <w:r>
              <w:rPr>
                <w:rFonts w:hint="eastAsia"/>
                <w:sz w:val="20"/>
                <w:szCs w:val="22"/>
                <w:lang w:val="en-US" w:eastAsia="zh-CN"/>
              </w:rPr>
              <w:t>平安保险 / 银行</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新华保险</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三菱日联银行</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富滇银行</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兴业银行</w:t>
            </w:r>
          </w:p>
        </w:tc>
        <w:tc>
          <w:tcPr>
            <w:tcW w:w="1852" w:type="dxa"/>
            <w:tcBorders>
              <w:top w:val="nil"/>
              <w:left w:val="nil"/>
              <w:bottom w:val="nil"/>
              <w:right w:val="nil"/>
            </w:tcBorders>
            <w:noWrap w:val="0"/>
            <w:vAlign w:val="bottom"/>
          </w:tcPr>
          <w:p>
            <w:pPr>
              <w:widowControl/>
              <w:rPr>
                <w:rFonts w:hint="default"/>
                <w:sz w:val="20"/>
                <w:szCs w:val="22"/>
                <w:lang w:val="en-US" w:eastAsia="zh-CN"/>
              </w:rPr>
            </w:pPr>
            <w:r>
              <w:rPr>
                <w:rFonts w:hint="eastAsia"/>
                <w:sz w:val="20"/>
                <w:szCs w:val="22"/>
                <w:lang w:val="en-US" w:eastAsia="zh-CN"/>
              </w:rPr>
              <w:t>中信银行</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仲利国际租赁</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ascii="PMingLiU" w:hAnsi="PMingLiU" w:cs="PMingLiU"/>
                <w:b/>
                <w:bCs/>
                <w:color w:val="000000"/>
                <w:sz w:val="20"/>
                <w:u w:val="single"/>
              </w:rPr>
            </w:pPr>
            <w:r>
              <w:rPr>
                <w:rFonts w:hint="eastAsia" w:ascii="PMingLiU" w:hAnsi="PMingLiU" w:cs="PMingLiU"/>
                <w:b/>
                <w:bCs/>
                <w:color w:val="000000"/>
                <w:sz w:val="20"/>
                <w:u w:val="single"/>
              </w:rPr>
              <w:t>汽车交通业</w:t>
            </w: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一汽大众 总部与各地</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一汽奔腾</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宝马集团</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福特汽车</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马自达</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上海大众联合汽车</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广汽传祺</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长安汽车</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日立汽车</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上海地铁集团</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金龙客车</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恒隆汽车系统集团</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威迩德汽车配件</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南京联鑫集团</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克诺尔车辆</w:t>
            </w:r>
          </w:p>
        </w:tc>
      </w:tr>
      <w:tr>
        <w:tblPrEx>
          <w:tblCellMar>
            <w:top w:w="0" w:type="dxa"/>
            <w:left w:w="28" w:type="dxa"/>
            <w:bottom w:w="0" w:type="dxa"/>
            <w:right w:w="28" w:type="dxa"/>
          </w:tblCellMar>
        </w:tblPrEx>
        <w:trPr>
          <w:gridAfter w:val="1"/>
          <w:wAfter w:w="90" w:type="dxa"/>
          <w:trHeight w:val="297"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佳通轮胎</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普利司通轮胎</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广州林骏汽车内饰</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提爱思汽车内饰</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东风鸿泰汽车</w:t>
            </w:r>
          </w:p>
        </w:tc>
      </w:tr>
      <w:tr>
        <w:tblPrEx>
          <w:tblCellMar>
            <w:top w:w="0" w:type="dxa"/>
            <w:left w:w="28" w:type="dxa"/>
            <w:bottom w:w="0" w:type="dxa"/>
            <w:right w:w="28" w:type="dxa"/>
          </w:tblCellMar>
        </w:tblPrEx>
        <w:trPr>
          <w:gridAfter w:val="1"/>
          <w:wAfter w:w="90" w:type="dxa"/>
          <w:trHeight w:val="312" w:hRule="exact"/>
        </w:trPr>
        <w:tc>
          <w:tcPr>
            <w:tcW w:w="90" w:type="dxa"/>
            <w:gridSpan w:val="2"/>
            <w:tcBorders>
              <w:top w:val="nil"/>
              <w:left w:val="nil"/>
              <w:bottom w:val="nil"/>
              <w:right w:val="nil"/>
            </w:tcBorders>
            <w:noWrap w:val="0"/>
            <w:vAlign w:val="center"/>
          </w:tcPr>
          <w:p>
            <w:pPr>
              <w:widowControl/>
              <w:rPr>
                <w:rFonts w:ascii="PMingLiU" w:hAnsi="PMingLiU" w:cs="PMingLiU"/>
                <w:color w:val="000000"/>
                <w:szCs w:val="24"/>
              </w:rPr>
            </w:pPr>
          </w:p>
        </w:tc>
        <w:tc>
          <w:tcPr>
            <w:tcW w:w="2126" w:type="dxa"/>
            <w:tcBorders>
              <w:top w:val="nil"/>
              <w:left w:val="nil"/>
              <w:bottom w:val="nil"/>
              <w:right w:val="nil"/>
            </w:tcBorders>
            <w:noWrap w:val="0"/>
            <w:vAlign w:val="center"/>
          </w:tcPr>
          <w:p>
            <w:pPr>
              <w:widowControl/>
              <w:rPr>
                <w:rFonts w:ascii="PMingLiU" w:hAnsi="PMingLiU" w:cs="PMingLiU"/>
                <w:b/>
                <w:bCs/>
                <w:color w:val="000000"/>
                <w:sz w:val="20"/>
                <w:u w:val="single"/>
              </w:rPr>
            </w:pPr>
            <w:r>
              <w:rPr>
                <w:rFonts w:hint="eastAsia" w:ascii="PMingLiU" w:hAnsi="PMingLiU" w:cs="PMingLiU"/>
                <w:b/>
                <w:bCs/>
                <w:color w:val="000000"/>
                <w:sz w:val="20"/>
                <w:u w:val="single"/>
              </w:rPr>
              <w:t>地产建筑业</w:t>
            </w: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c>
          <w:tcPr>
            <w:tcW w:w="1852" w:type="dxa"/>
            <w:tcBorders>
              <w:top w:val="nil"/>
              <w:left w:val="nil"/>
              <w:bottom w:val="nil"/>
              <w:right w:val="nil"/>
            </w:tcBorders>
            <w:noWrap w:val="0"/>
            <w:vAlign w:val="center"/>
          </w:tcPr>
          <w:p>
            <w:pPr>
              <w:widowControl/>
              <w:rPr>
                <w:rFonts w:ascii="PMingLiU" w:hAnsi="PMingLiU" w:cs="PMingLiU"/>
                <w:b/>
                <w:bCs/>
                <w:color w:val="000000"/>
                <w:sz w:val="20"/>
                <w:u w:val="single"/>
              </w:rPr>
            </w:pPr>
          </w:p>
        </w:tc>
      </w:tr>
      <w:tr>
        <w:tblPrEx>
          <w:tblCellMar>
            <w:top w:w="0" w:type="dxa"/>
            <w:left w:w="28" w:type="dxa"/>
            <w:bottom w:w="0" w:type="dxa"/>
            <w:right w:w="28" w:type="dxa"/>
          </w:tblCellMar>
        </w:tblPrEx>
        <w:trPr>
          <w:gridAfter w:val="1"/>
          <w:wAfter w:w="90" w:type="dxa"/>
          <w:trHeight w:val="312" w:hRule="exact"/>
        </w:trPr>
        <w:tc>
          <w:tcPr>
            <w:tcW w:w="90" w:type="dxa"/>
            <w:gridSpan w:val="2"/>
            <w:tcBorders>
              <w:top w:val="nil"/>
              <w:left w:val="nil"/>
              <w:bottom w:val="nil"/>
              <w:right w:val="nil"/>
            </w:tcBorders>
            <w:noWrap w:val="0"/>
            <w:vAlign w:val="center"/>
          </w:tcPr>
          <w:p>
            <w:pPr>
              <w:widowControl/>
              <w:rPr>
                <w:rFonts w:ascii="PMingLiU" w:hAnsi="PMingLiU" w:cs="PMingLiU"/>
                <w:color w:val="000000"/>
                <w:szCs w:val="24"/>
              </w:rPr>
            </w:pPr>
          </w:p>
        </w:tc>
        <w:tc>
          <w:tcPr>
            <w:tcW w:w="2126"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万科房产</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东渡房产</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新城置业</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越秀地产</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中海地产</w:t>
            </w:r>
          </w:p>
        </w:tc>
      </w:tr>
      <w:tr>
        <w:tblPrEx>
          <w:tblCellMar>
            <w:top w:w="0" w:type="dxa"/>
            <w:left w:w="28" w:type="dxa"/>
            <w:bottom w:w="0" w:type="dxa"/>
            <w:right w:w="28" w:type="dxa"/>
          </w:tblCellMar>
        </w:tblPrEx>
        <w:trPr>
          <w:gridAfter w:val="1"/>
          <w:wAfter w:w="90" w:type="dxa"/>
          <w:trHeight w:val="312" w:hRule="exact"/>
        </w:trPr>
        <w:tc>
          <w:tcPr>
            <w:tcW w:w="90" w:type="dxa"/>
            <w:gridSpan w:val="2"/>
            <w:tcBorders>
              <w:top w:val="nil"/>
              <w:left w:val="nil"/>
              <w:bottom w:val="nil"/>
              <w:right w:val="nil"/>
            </w:tcBorders>
            <w:noWrap w:val="0"/>
            <w:vAlign w:val="center"/>
          </w:tcPr>
          <w:p>
            <w:pPr>
              <w:widowControl/>
              <w:rPr>
                <w:rFonts w:ascii="PMingLiU" w:hAnsi="PMingLiU" w:cs="PMingLiU"/>
                <w:color w:val="000000"/>
                <w:szCs w:val="24"/>
              </w:rPr>
            </w:pPr>
          </w:p>
        </w:tc>
        <w:tc>
          <w:tcPr>
            <w:tcW w:w="2126"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万维物流</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万科物业</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魔方公寓</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恒隆地产</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保利商业</w:t>
            </w:r>
          </w:p>
        </w:tc>
      </w:tr>
      <w:tr>
        <w:tblPrEx>
          <w:tblCellMar>
            <w:top w:w="0" w:type="dxa"/>
            <w:left w:w="28" w:type="dxa"/>
            <w:bottom w:w="0" w:type="dxa"/>
            <w:right w:w="28" w:type="dxa"/>
          </w:tblCellMar>
        </w:tblPrEx>
        <w:trPr>
          <w:gridAfter w:val="1"/>
          <w:wAfter w:w="90" w:type="dxa"/>
          <w:trHeight w:val="312" w:hRule="exact"/>
        </w:trPr>
        <w:tc>
          <w:tcPr>
            <w:tcW w:w="90" w:type="dxa"/>
            <w:gridSpan w:val="2"/>
            <w:tcBorders>
              <w:top w:val="nil"/>
              <w:left w:val="nil"/>
              <w:bottom w:val="nil"/>
              <w:right w:val="nil"/>
            </w:tcBorders>
            <w:noWrap w:val="0"/>
            <w:vAlign w:val="center"/>
          </w:tcPr>
          <w:p>
            <w:pPr>
              <w:widowControl/>
              <w:rPr>
                <w:rFonts w:ascii="PMingLiU" w:hAnsi="PMingLiU" w:cs="PMingLiU"/>
                <w:color w:val="000000"/>
                <w:szCs w:val="24"/>
              </w:rPr>
            </w:pPr>
          </w:p>
        </w:tc>
        <w:tc>
          <w:tcPr>
            <w:tcW w:w="2126"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刚泰集团</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亚龙湾爱立方</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北京墨臣设计</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龙湖商业地产</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碧桂园</w:t>
            </w:r>
          </w:p>
        </w:tc>
      </w:tr>
      <w:tr>
        <w:tblPrEx>
          <w:tblCellMar>
            <w:top w:w="0" w:type="dxa"/>
            <w:left w:w="28" w:type="dxa"/>
            <w:bottom w:w="0" w:type="dxa"/>
            <w:right w:w="28" w:type="dxa"/>
          </w:tblCellMar>
        </w:tblPrEx>
        <w:trPr>
          <w:trHeight w:val="312" w:hRule="exact"/>
        </w:trPr>
        <w:tc>
          <w:tcPr>
            <w:tcW w:w="2216" w:type="dxa"/>
            <w:gridSpan w:val="3"/>
            <w:tcBorders>
              <w:top w:val="nil"/>
              <w:left w:val="nil"/>
              <w:bottom w:val="nil"/>
              <w:right w:val="nil"/>
            </w:tcBorders>
            <w:noWrap w:val="0"/>
            <w:vAlign w:val="center"/>
          </w:tcPr>
          <w:p>
            <w:pPr>
              <w:widowControl/>
              <w:ind w:firstLine="98" w:firstLineChars="49"/>
              <w:rPr>
                <w:rFonts w:ascii="PMingLiU" w:hAnsi="PMingLiU" w:cs="PMingLiU"/>
                <w:b/>
                <w:bCs/>
                <w:color w:val="000000"/>
                <w:sz w:val="20"/>
                <w:u w:val="single"/>
              </w:rPr>
            </w:pPr>
            <w:r>
              <w:rPr>
                <w:rFonts w:hint="eastAsia" w:ascii="PMingLiU" w:hAnsi="PMingLiU" w:cs="PMingLiU"/>
                <w:b/>
                <w:bCs/>
                <w:color w:val="000000"/>
                <w:sz w:val="20"/>
                <w:u w:val="single"/>
              </w:rPr>
              <w:t>电信/IT/通讯业</w:t>
            </w:r>
          </w:p>
        </w:tc>
        <w:tc>
          <w:tcPr>
            <w:tcW w:w="1852" w:type="dxa"/>
            <w:tcBorders>
              <w:top w:val="nil"/>
              <w:left w:val="nil"/>
              <w:bottom w:val="nil"/>
              <w:right w:val="nil"/>
            </w:tcBorders>
            <w:noWrap w:val="0"/>
            <w:vAlign w:val="bottom"/>
          </w:tcPr>
          <w:p>
            <w:pPr>
              <w:widowControl/>
              <w:rPr>
                <w:color w:val="000000"/>
                <w:sz w:val="20"/>
              </w:rPr>
            </w:pPr>
          </w:p>
        </w:tc>
        <w:tc>
          <w:tcPr>
            <w:tcW w:w="1852" w:type="dxa"/>
            <w:tcBorders>
              <w:top w:val="nil"/>
              <w:left w:val="nil"/>
              <w:bottom w:val="nil"/>
              <w:right w:val="nil"/>
            </w:tcBorders>
            <w:noWrap w:val="0"/>
            <w:vAlign w:val="center"/>
          </w:tcPr>
          <w:p>
            <w:pPr>
              <w:widowControl/>
              <w:rPr>
                <w:sz w:val="20"/>
              </w:rPr>
            </w:pPr>
          </w:p>
        </w:tc>
        <w:tc>
          <w:tcPr>
            <w:tcW w:w="1852" w:type="dxa"/>
            <w:tcBorders>
              <w:top w:val="nil"/>
              <w:left w:val="nil"/>
              <w:bottom w:val="nil"/>
              <w:right w:val="nil"/>
            </w:tcBorders>
            <w:noWrap w:val="0"/>
            <w:vAlign w:val="center"/>
          </w:tcPr>
          <w:p>
            <w:pPr>
              <w:widowControl/>
              <w:rPr>
                <w:sz w:val="20"/>
              </w:rPr>
            </w:pPr>
          </w:p>
        </w:tc>
        <w:tc>
          <w:tcPr>
            <w:tcW w:w="1852" w:type="dxa"/>
            <w:tcBorders>
              <w:top w:val="nil"/>
              <w:left w:val="nil"/>
              <w:bottom w:val="nil"/>
              <w:right w:val="nil"/>
            </w:tcBorders>
            <w:noWrap w:val="0"/>
            <w:vAlign w:val="bottom"/>
          </w:tcPr>
          <w:p>
            <w:pPr>
              <w:widowControl/>
              <w:rPr>
                <w:rFonts w:ascii="PMingLiU" w:hAnsi="PMingLiU" w:cs="PMingLiU"/>
                <w:color w:val="000000"/>
                <w:sz w:val="20"/>
              </w:rPr>
            </w:pPr>
          </w:p>
        </w:tc>
        <w:tc>
          <w:tcPr>
            <w:tcW w:w="90" w:type="dxa"/>
            <w:noWrap w:val="0"/>
            <w:vAlign w:val="bottom"/>
          </w:tcPr>
          <w:p>
            <w:pPr>
              <w:widowControl/>
              <w:rPr>
                <w:color w:val="000000"/>
                <w:sz w:val="20"/>
              </w:rPr>
            </w:pP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上海电信</w:t>
            </w:r>
          </w:p>
        </w:tc>
        <w:tc>
          <w:tcPr>
            <w:tcW w:w="1852" w:type="dxa"/>
            <w:tcBorders>
              <w:top w:val="nil"/>
              <w:left w:val="nil"/>
              <w:bottom w:val="nil"/>
              <w:right w:val="nil"/>
            </w:tcBorders>
            <w:noWrap w:val="0"/>
            <w:vAlign w:val="bottom"/>
          </w:tcPr>
          <w:p>
            <w:pPr>
              <w:widowControl/>
              <w:rPr>
                <w:rFonts w:hint="default"/>
                <w:sz w:val="20"/>
                <w:szCs w:val="22"/>
                <w:lang w:val="en-US" w:eastAsia="zh-CN"/>
              </w:rPr>
            </w:pPr>
            <w:r>
              <w:rPr>
                <w:rFonts w:hint="eastAsia"/>
                <w:sz w:val="20"/>
                <w:szCs w:val="22"/>
                <w:lang w:val="en-US" w:eastAsia="zh-CN"/>
              </w:rPr>
              <w:t>中国电信</w:t>
            </w:r>
          </w:p>
        </w:tc>
        <w:tc>
          <w:tcPr>
            <w:tcW w:w="1852" w:type="dxa"/>
            <w:tcBorders>
              <w:top w:val="nil"/>
              <w:left w:val="nil"/>
              <w:bottom w:val="nil"/>
              <w:right w:val="nil"/>
            </w:tcBorders>
            <w:noWrap w:val="0"/>
            <w:vAlign w:val="center"/>
          </w:tcPr>
          <w:p>
            <w:pPr>
              <w:widowControl/>
              <w:rPr>
                <w:rFonts w:hint="default"/>
                <w:sz w:val="20"/>
                <w:szCs w:val="22"/>
                <w:lang w:val="en-US" w:eastAsia="zh-CN"/>
              </w:rPr>
            </w:pPr>
            <w:r>
              <w:rPr>
                <w:rFonts w:hint="eastAsia"/>
                <w:sz w:val="20"/>
                <w:szCs w:val="22"/>
                <w:lang w:val="en-US" w:eastAsia="zh-CN"/>
              </w:rPr>
              <w:t>上海联通</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武汉宏信通讯</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光通通讯</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夏尔软件</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圆方软件</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color w:val="000000"/>
                <w:sz w:val="20"/>
                <w:lang w:val="en-US" w:eastAsia="zh-CN"/>
              </w:rPr>
              <w:t>珠江数码</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柔宇科技</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深圳格莱美电子</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天创数码</w:t>
            </w:r>
          </w:p>
        </w:tc>
        <w:tc>
          <w:tcPr>
            <w:tcW w:w="1852" w:type="dxa"/>
            <w:tcBorders>
              <w:top w:val="nil"/>
              <w:left w:val="nil"/>
              <w:bottom w:val="nil"/>
              <w:right w:val="nil"/>
            </w:tcBorders>
            <w:noWrap w:val="0"/>
            <w:vAlign w:val="bottom"/>
          </w:tcPr>
          <w:p>
            <w:pPr>
              <w:widowControl/>
              <w:rPr>
                <w:rFonts w:hint="default"/>
                <w:sz w:val="20"/>
                <w:szCs w:val="22"/>
                <w:lang w:val="en-US" w:eastAsia="zh-CN"/>
              </w:rPr>
            </w:pPr>
            <w:r>
              <w:rPr>
                <w:rFonts w:hint="eastAsia"/>
                <w:sz w:val="20"/>
                <w:szCs w:val="22"/>
                <w:lang w:val="en-US" w:eastAsia="zh-CN"/>
              </w:rPr>
              <w:t>正扬电子</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腾博视通</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联想移动</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中国联通(上海)</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2140" w:type="dxa"/>
            <w:gridSpan w:val="2"/>
            <w:tcBorders>
              <w:top w:val="nil"/>
              <w:left w:val="nil"/>
              <w:bottom w:val="nil"/>
              <w:right w:val="nil"/>
            </w:tcBorders>
            <w:noWrap w:val="0"/>
            <w:vAlign w:val="bottom"/>
          </w:tcPr>
          <w:p>
            <w:pPr>
              <w:widowControl/>
              <w:rPr>
                <w:rFonts w:hint="eastAsia" w:ascii="宋体" w:hAnsi="宋体"/>
              </w:rPr>
            </w:pPr>
            <w:r>
              <w:rPr>
                <w:rFonts w:hint="eastAsia" w:ascii="PMingLiU" w:hAnsi="PMingLiU" w:cs="PMingLiU"/>
                <w:b/>
                <w:bCs/>
                <w:color w:val="000000"/>
                <w:sz w:val="20"/>
                <w:u w:val="single"/>
              </w:rPr>
              <w:t>其他</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红塔集团</w:t>
            </w:r>
          </w:p>
        </w:tc>
        <w:tc>
          <w:tcPr>
            <w:tcW w:w="1852" w:type="dxa"/>
            <w:tcBorders>
              <w:top w:val="nil"/>
              <w:left w:val="nil"/>
              <w:bottom w:val="nil"/>
              <w:right w:val="nil"/>
            </w:tcBorders>
            <w:noWrap w:val="0"/>
            <w:vAlign w:val="bottom"/>
          </w:tcPr>
          <w:p>
            <w:pPr>
              <w:widowControl/>
              <w:rPr>
                <w:rFonts w:hint="eastAsia"/>
                <w:sz w:val="20"/>
                <w:szCs w:val="22"/>
                <w:lang w:val="en-US" w:eastAsia="zh-CN"/>
              </w:rPr>
            </w:pPr>
            <w:r>
              <w:rPr>
                <w:rFonts w:hint="eastAsia"/>
                <w:sz w:val="20"/>
                <w:szCs w:val="22"/>
                <w:lang w:val="en-US" w:eastAsia="zh-CN"/>
              </w:rPr>
              <w:t>中国烟草</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南方电网</w:t>
            </w:r>
          </w:p>
        </w:tc>
        <w:tc>
          <w:tcPr>
            <w:tcW w:w="1852" w:type="dxa"/>
            <w:tcBorders>
              <w:top w:val="nil"/>
              <w:left w:val="nil"/>
              <w:bottom w:val="nil"/>
              <w:right w:val="nil"/>
            </w:tcBorders>
            <w:noWrap w:val="0"/>
            <w:vAlign w:val="center"/>
          </w:tcPr>
          <w:p>
            <w:pPr>
              <w:widowControl/>
              <w:rPr>
                <w:rFonts w:hint="eastAsia"/>
                <w:sz w:val="20"/>
                <w:szCs w:val="22"/>
                <w:lang w:val="en-US" w:eastAsia="zh-CN"/>
              </w:rPr>
            </w:pPr>
            <w:r>
              <w:rPr>
                <w:rFonts w:hint="eastAsia"/>
                <w:sz w:val="20"/>
                <w:szCs w:val="22"/>
                <w:lang w:val="en-US" w:eastAsia="zh-CN"/>
              </w:rPr>
              <w:t>中国电网</w:t>
            </w:r>
          </w:p>
        </w:tc>
      </w:tr>
      <w:tr>
        <w:tblPrEx>
          <w:tblCellMar>
            <w:top w:w="0" w:type="dxa"/>
            <w:left w:w="28" w:type="dxa"/>
            <w:bottom w:w="0" w:type="dxa"/>
            <w:right w:w="28" w:type="dxa"/>
          </w:tblCellMar>
        </w:tblPrEx>
        <w:trPr>
          <w:gridAfter w:val="1"/>
          <w:wAfter w:w="90" w:type="dxa"/>
          <w:trHeight w:val="312" w:hRule="exact"/>
        </w:trPr>
        <w:tc>
          <w:tcPr>
            <w:tcW w:w="76" w:type="dxa"/>
            <w:tcBorders>
              <w:top w:val="nil"/>
              <w:left w:val="nil"/>
              <w:bottom w:val="nil"/>
              <w:right w:val="nil"/>
            </w:tcBorders>
            <w:noWrap w:val="0"/>
            <w:vAlign w:val="center"/>
          </w:tcPr>
          <w:p>
            <w:pPr>
              <w:widowControl/>
              <w:rPr>
                <w:rFonts w:ascii="PMingLiU" w:hAnsi="PMingLiU" w:cs="PMingLiU"/>
                <w:color w:val="000000"/>
                <w:szCs w:val="24"/>
              </w:rPr>
            </w:pPr>
          </w:p>
        </w:tc>
        <w:tc>
          <w:tcPr>
            <w:tcW w:w="9548" w:type="dxa"/>
            <w:gridSpan w:val="6"/>
            <w:tcBorders>
              <w:top w:val="nil"/>
              <w:left w:val="nil"/>
              <w:bottom w:val="nil"/>
              <w:right w:val="nil"/>
            </w:tcBorders>
            <w:noWrap w:val="0"/>
            <w:vAlign w:val="bottom"/>
          </w:tcPr>
          <w:p>
            <w:pPr>
              <w:widowControl/>
              <w:rPr>
                <w:rFonts w:hint="eastAsia" w:ascii="PMingLiU" w:hAnsi="PMingLiU" w:eastAsia="宋体" w:cs="PMingLiU"/>
                <w:color w:val="000000"/>
                <w:szCs w:val="24"/>
                <w:lang w:val="en-US" w:eastAsia="zh-CN"/>
              </w:rPr>
            </w:pPr>
            <w:r>
              <w:rPr>
                <w:rFonts w:hint="eastAsia" w:ascii="PMingLiU" w:hAnsi="PMingLiU" w:cs="PMingLiU"/>
                <w:b/>
                <w:bCs/>
                <w:color w:val="000000"/>
                <w:szCs w:val="24"/>
                <w:lang w:val="en-US" w:eastAsia="zh-CN"/>
              </w:rPr>
              <w:t>百胜集团/一汽大众/阿里巴巴等各大企业指定谈判培训师，各大高校EMBA班谈判导师</w:t>
            </w:r>
          </w:p>
        </w:tc>
      </w:tr>
    </w:tbl>
    <w:p>
      <w:pPr>
        <w:shd w:val="pct10" w:color="auto" w:fill="auto"/>
        <w:snapToGrid w:val="0"/>
        <w:spacing w:before="180" w:beforeLines="50" w:after="180" w:afterLines="50"/>
        <w:rPr>
          <w:rFonts w:hint="eastAsia" w:ascii="宋体" w:hAnsi="宋体"/>
          <w:b/>
          <w:color w:val="000000"/>
        </w:rPr>
      </w:pPr>
      <w:r>
        <w:rPr>
          <w:rFonts w:hint="eastAsia" w:ascii="宋体" w:hAnsi="宋体"/>
          <w:b/>
          <w:color w:val="000000"/>
        </w:rPr>
        <w:t>部分客户组织者和学员对吕老师课程评价：</w:t>
      </w:r>
    </w:p>
    <w:p>
      <w:pPr>
        <w:numPr>
          <w:ilvl w:val="0"/>
          <w:numId w:val="11"/>
        </w:numPr>
        <w:rPr>
          <w:rFonts w:hint="eastAsia" w:ascii="宋体" w:hAnsi="宋体" w:eastAsia="宋体" w:cs="Arial"/>
          <w:szCs w:val="21"/>
          <w:lang w:val="en-US" w:eastAsia="zh-CN"/>
        </w:rPr>
      </w:pPr>
      <w:r>
        <w:rPr>
          <w:rFonts w:hint="eastAsia" w:ascii="宋体" w:hAnsi="宋体" w:eastAsia="宋体" w:cs="Arial"/>
          <w:szCs w:val="21"/>
          <w:lang w:val="en-US" w:eastAsia="zh-CN"/>
        </w:rPr>
        <w:t>Lv老师谈判课还真是实战辅导课程，二天一夜的实际案例辅导，能直接根据我们支付宝团队跟各大品牌商谈年框的实际情况模拟演练和点评，确实是有真功夫的老师才能如此切中要害点评。这2.5天课程绝对超值了！</w:t>
      </w:r>
    </w:p>
    <w:p>
      <w:pPr>
        <w:jc w:val="right"/>
        <w:rPr>
          <w:rFonts w:hint="default" w:ascii="宋体" w:hAnsi="宋体" w:eastAsia="宋体" w:cs="Arial"/>
          <w:b/>
          <w:szCs w:val="21"/>
          <w:lang w:val="en-US" w:eastAsia="zh-CN"/>
        </w:rPr>
      </w:pPr>
      <w:r>
        <w:rPr>
          <w:rFonts w:hint="eastAsia" w:ascii="宋体" w:hAnsi="宋体" w:eastAsia="宋体" w:cs="Arial"/>
          <w:b/>
          <w:szCs w:val="21"/>
        </w:rPr>
        <w:t>——</w:t>
      </w:r>
      <w:r>
        <w:rPr>
          <w:rFonts w:hint="eastAsia" w:ascii="宋体" w:hAnsi="宋体" w:eastAsia="宋体" w:cs="Arial"/>
          <w:b/>
          <w:szCs w:val="21"/>
          <w:lang w:val="en-US" w:eastAsia="zh-CN"/>
        </w:rPr>
        <w:t>阿里.支付宝团队</w:t>
      </w:r>
    </w:p>
    <w:p>
      <w:pPr>
        <w:numPr>
          <w:ilvl w:val="0"/>
          <w:numId w:val="11"/>
        </w:numPr>
        <w:rPr>
          <w:rFonts w:hint="eastAsia" w:ascii="宋体" w:hAnsi="宋体" w:eastAsia="宋体" w:cs="Arial"/>
          <w:szCs w:val="21"/>
          <w:lang w:val="en-US" w:eastAsia="zh-CN"/>
        </w:rPr>
      </w:pPr>
      <w:r>
        <w:rPr>
          <w:rFonts w:hint="eastAsia" w:ascii="宋体" w:hAnsi="宋体" w:eastAsia="宋体" w:cs="Arial"/>
          <w:szCs w:val="21"/>
          <w:lang w:val="en-US" w:eastAsia="zh-CN"/>
        </w:rPr>
        <w:t>吕老师的谈判课、销售课在我们美团外卖华东、华北、华南分批上课都受到了学员的高度认可赞誉，绝对称得上实战型辅导课程，课堂现学现用，即刻产出结果。</w:t>
      </w:r>
    </w:p>
    <w:p>
      <w:pPr>
        <w:jc w:val="right"/>
        <w:rPr>
          <w:rFonts w:hint="default" w:ascii="宋体" w:hAnsi="宋体" w:eastAsia="宋体" w:cs="Arial"/>
          <w:b/>
          <w:szCs w:val="21"/>
          <w:lang w:val="en-US"/>
        </w:rPr>
      </w:pPr>
      <w:r>
        <w:rPr>
          <w:rFonts w:hint="eastAsia" w:ascii="宋体" w:hAnsi="宋体" w:eastAsia="宋体" w:cs="Arial"/>
          <w:b/>
          <w:szCs w:val="21"/>
        </w:rPr>
        <w:t>——</w:t>
      </w:r>
      <w:r>
        <w:rPr>
          <w:rFonts w:hint="eastAsia" w:ascii="宋体" w:hAnsi="宋体" w:eastAsia="宋体" w:cs="Arial"/>
          <w:b/>
          <w:szCs w:val="21"/>
          <w:lang w:val="en-US" w:eastAsia="zh-CN"/>
        </w:rPr>
        <w:t>美团外卖、到综</w:t>
      </w:r>
    </w:p>
    <w:p>
      <w:pPr>
        <w:numPr>
          <w:ilvl w:val="0"/>
          <w:numId w:val="11"/>
        </w:numPr>
        <w:rPr>
          <w:rFonts w:hint="eastAsia" w:ascii="宋体" w:hAnsi="宋体" w:eastAsia="宋体" w:cs="Arial"/>
          <w:szCs w:val="21"/>
          <w:lang w:val="en-US" w:eastAsia="zh-CN"/>
        </w:rPr>
      </w:pPr>
      <w:r>
        <w:rPr>
          <w:rFonts w:hint="eastAsia" w:ascii="宋体" w:hAnsi="宋体" w:eastAsia="宋体" w:cs="Arial"/>
          <w:szCs w:val="21"/>
          <w:lang w:val="en-US" w:eastAsia="zh-CN"/>
        </w:rPr>
        <w:t>Lv老师的谈判课果然是知名品牌谈判课，给我们非常清晰的一套谈判方法论，以后知道怎么用“四步法谈判搞定客户”，“让谈判从此有章法，让销售不再怕砍价”。</w:t>
      </w:r>
    </w:p>
    <w:p>
      <w:pPr>
        <w:jc w:val="right"/>
        <w:rPr>
          <w:rFonts w:hint="eastAsia" w:ascii="宋体" w:hAnsi="宋体" w:eastAsia="宋体" w:cs="Arial"/>
          <w:b/>
          <w:szCs w:val="21"/>
          <w:lang w:val="en-US" w:eastAsia="zh-CN"/>
        </w:rPr>
      </w:pPr>
      <w:r>
        <w:rPr>
          <w:rFonts w:hint="eastAsia" w:ascii="宋体" w:hAnsi="宋体" w:eastAsia="宋体" w:cs="Arial"/>
          <w:b/>
          <w:szCs w:val="21"/>
        </w:rPr>
        <w:t>——</w:t>
      </w:r>
      <w:r>
        <w:rPr>
          <w:rFonts w:hint="eastAsia" w:ascii="宋体" w:hAnsi="宋体" w:eastAsia="宋体" w:cs="Arial"/>
          <w:b/>
          <w:szCs w:val="21"/>
          <w:lang w:val="en-US" w:eastAsia="zh-CN"/>
        </w:rPr>
        <w:t>360大学</w:t>
      </w:r>
    </w:p>
    <w:p>
      <w:pPr>
        <w:numPr>
          <w:ilvl w:val="0"/>
          <w:numId w:val="11"/>
        </w:numPr>
        <w:rPr>
          <w:rFonts w:hint="eastAsia" w:ascii="宋体" w:hAnsi="宋体" w:eastAsia="宋体" w:cs="Arial"/>
          <w:szCs w:val="21"/>
        </w:rPr>
      </w:pPr>
      <w:r>
        <w:rPr>
          <w:rFonts w:hint="eastAsia" w:ascii="宋体" w:hAnsi="宋体" w:eastAsia="宋体" w:cs="Arial"/>
          <w:szCs w:val="21"/>
          <w:lang w:val="en-US" w:eastAsia="zh-CN"/>
        </w:rPr>
        <w:t>我们裕同请</w:t>
      </w:r>
      <w:r>
        <w:rPr>
          <w:rFonts w:hint="eastAsia" w:ascii="宋体" w:hAnsi="宋体" w:eastAsia="宋体" w:cs="Arial"/>
          <w:szCs w:val="21"/>
        </w:rPr>
        <w:t>吕老师</w:t>
      </w:r>
      <w:r>
        <w:rPr>
          <w:rFonts w:hint="eastAsia" w:ascii="宋体" w:hAnsi="宋体" w:eastAsia="宋体" w:cs="Arial"/>
          <w:szCs w:val="21"/>
          <w:lang w:val="en-US" w:eastAsia="zh-CN"/>
        </w:rPr>
        <w:t>上了多次的二天一夜谈判课，无论是销售部、还是采购部学员都觉得受益匪浅，用实际案例演练能即学即用并直接产出结果，并且帮我们建立了一套系统、专业的谈判方法论，让业务团队从“凭经验靠感觉”的游击队，进化为“有武器有方法”的正规军。</w:t>
      </w:r>
    </w:p>
    <w:p>
      <w:pPr>
        <w:jc w:val="right"/>
        <w:rPr>
          <w:rFonts w:hint="eastAsia" w:ascii="宋体" w:hAnsi="宋体" w:eastAsia="宋体" w:cs="Arial"/>
          <w:b/>
          <w:szCs w:val="21"/>
          <w:lang w:val="en-US" w:eastAsia="zh-CN"/>
        </w:rPr>
      </w:pPr>
      <w:r>
        <w:rPr>
          <w:rFonts w:hint="eastAsia" w:ascii="宋体" w:hAnsi="宋体" w:eastAsia="宋体" w:cs="Arial"/>
          <w:b/>
          <w:szCs w:val="21"/>
        </w:rPr>
        <w:t>——</w:t>
      </w:r>
      <w:r>
        <w:rPr>
          <w:rFonts w:hint="eastAsia" w:ascii="宋体" w:hAnsi="宋体" w:eastAsia="宋体" w:cs="Arial"/>
          <w:b/>
          <w:szCs w:val="21"/>
          <w:lang w:val="en-US" w:eastAsia="zh-CN"/>
        </w:rPr>
        <w:t>裕同集团</w:t>
      </w:r>
    </w:p>
    <w:p>
      <w:pPr>
        <w:numPr>
          <w:ilvl w:val="0"/>
          <w:numId w:val="11"/>
        </w:numPr>
        <w:rPr>
          <w:rFonts w:hint="eastAsia" w:ascii="宋体" w:hAnsi="宋体" w:cs="Arial"/>
          <w:szCs w:val="21"/>
        </w:rPr>
      </w:pPr>
      <w:r>
        <w:rPr>
          <w:rFonts w:hint="eastAsia" w:ascii="宋体" w:hAnsi="宋体" w:cs="Arial"/>
          <w:szCs w:val="21"/>
        </w:rPr>
        <w:t>Linda 的谈判课程是我加入百胜十年以来年年培训听过的最实用的课程，建议我们其他同事有机会一定要听听吕老师的沟通和谈判课。</w:t>
      </w:r>
    </w:p>
    <w:p>
      <w:pPr>
        <w:jc w:val="right"/>
        <w:rPr>
          <w:rFonts w:hint="eastAsia" w:ascii="宋体" w:hAnsi="宋体" w:cs="Arial"/>
          <w:b/>
          <w:szCs w:val="21"/>
        </w:rPr>
      </w:pPr>
      <w:r>
        <w:rPr>
          <w:rFonts w:hint="eastAsia" w:ascii="宋体" w:hAnsi="宋体" w:cs="Arial"/>
          <w:b/>
          <w:szCs w:val="21"/>
        </w:rPr>
        <w:t>——YUM百胜中国</w:t>
      </w:r>
    </w:p>
    <w:p>
      <w:pPr>
        <w:numPr>
          <w:ilvl w:val="0"/>
          <w:numId w:val="11"/>
        </w:numPr>
        <w:rPr>
          <w:rFonts w:hint="eastAsia" w:ascii="宋体" w:hAnsi="宋体" w:cs="Arial"/>
          <w:szCs w:val="21"/>
        </w:rPr>
      </w:pPr>
      <w:r>
        <w:rPr>
          <w:rFonts w:hint="eastAsia" w:ascii="宋体" w:hAnsi="宋体" w:cs="Arial"/>
          <w:szCs w:val="21"/>
          <w:lang w:val="en-US" w:eastAsia="zh-CN"/>
        </w:rPr>
        <w:t>没想到</w:t>
      </w:r>
      <w:r>
        <w:rPr>
          <w:rFonts w:hint="eastAsia" w:ascii="宋体" w:hAnsi="宋体" w:cs="Arial"/>
          <w:szCs w:val="21"/>
        </w:rPr>
        <w:t>吕老师的</w:t>
      </w:r>
      <w:r>
        <w:rPr>
          <w:rFonts w:hint="eastAsia" w:ascii="宋体" w:hAnsi="宋体" w:cs="Arial"/>
          <w:szCs w:val="21"/>
          <w:lang w:val="en-US" w:eastAsia="zh-CN"/>
        </w:rPr>
        <w:t>谈判课程能这么切入我们HR的选育用留和员工冲突/关系处理等，课堂案例涉及各种招聘/薪酬/调岗/解聘/冲突/支持等，人力资源人士太需要学习这些谈判技巧。</w:t>
      </w:r>
    </w:p>
    <w:p>
      <w:pPr>
        <w:jc w:val="right"/>
        <w:rPr>
          <w:rFonts w:hint="eastAsia" w:ascii="宋体" w:hAnsi="宋体" w:eastAsia="宋体" w:cs="Arial"/>
          <w:b/>
          <w:szCs w:val="21"/>
          <w:lang w:val="en-US" w:eastAsia="zh-CN"/>
        </w:rPr>
      </w:pPr>
      <w:r>
        <w:rPr>
          <w:rFonts w:hint="eastAsia" w:ascii="宋体" w:hAnsi="宋体" w:cs="Arial"/>
          <w:b/>
          <w:szCs w:val="21"/>
        </w:rPr>
        <w:t>——</w:t>
      </w:r>
      <w:r>
        <w:rPr>
          <w:rFonts w:hint="eastAsia" w:ascii="宋体" w:hAnsi="宋体" w:cs="Arial"/>
          <w:b/>
          <w:szCs w:val="21"/>
          <w:lang w:val="en-US" w:eastAsia="zh-CN"/>
        </w:rPr>
        <w:t>宝马中国HR</w:t>
      </w:r>
    </w:p>
    <w:p>
      <w:pPr>
        <w:numPr>
          <w:ilvl w:val="0"/>
          <w:numId w:val="11"/>
        </w:numPr>
        <w:rPr>
          <w:rFonts w:hint="eastAsia" w:ascii="宋体" w:hAnsi="宋体" w:cs="Arial"/>
          <w:szCs w:val="21"/>
        </w:rPr>
      </w:pPr>
      <w:r>
        <w:rPr>
          <w:rFonts w:hint="eastAsia" w:ascii="宋体" w:hAnsi="宋体" w:cs="Arial"/>
          <w:szCs w:val="21"/>
        </w:rPr>
        <w:t>我们上海交大继续教育学院的营销总监班(PMM班)要求老师要实战见效,吕教授的谈判和沟通课程能现场帮助我们学员解决实际商业谈判和沟通问题,真是让学员物超所值了!</w:t>
      </w:r>
    </w:p>
    <w:p>
      <w:pPr>
        <w:jc w:val="right"/>
        <w:rPr>
          <w:rFonts w:hint="eastAsia" w:ascii="宋体" w:hAnsi="宋体" w:cs="Arial"/>
          <w:b/>
          <w:szCs w:val="21"/>
        </w:rPr>
      </w:pPr>
      <w:r>
        <w:rPr>
          <w:rFonts w:hint="eastAsia" w:ascii="宋体" w:hAnsi="宋体" w:cs="Arial"/>
          <w:b/>
          <w:szCs w:val="21"/>
        </w:rPr>
        <w:t>——上海交大继教院</w:t>
      </w:r>
    </w:p>
    <w:p>
      <w:pPr>
        <w:numPr>
          <w:ilvl w:val="0"/>
          <w:numId w:val="11"/>
        </w:numPr>
        <w:rPr>
          <w:rFonts w:hint="eastAsia" w:ascii="宋体" w:hAnsi="宋体" w:cs="Arial"/>
          <w:szCs w:val="21"/>
        </w:rPr>
      </w:pPr>
      <w:r>
        <w:rPr>
          <w:rFonts w:hint="eastAsia" w:ascii="宋体" w:hAnsi="宋体" w:cs="Arial"/>
          <w:szCs w:val="21"/>
        </w:rPr>
        <w:t>吕教授的谈判课是我们南大EMBA班最受欢迎的课！学员们普遍反映务实有效，解决实际问题！</w:t>
      </w:r>
    </w:p>
    <w:p>
      <w:pPr>
        <w:jc w:val="right"/>
        <w:rPr>
          <w:rFonts w:hint="eastAsia" w:ascii="宋体" w:hAnsi="宋体" w:cs="Arial"/>
          <w:b/>
          <w:szCs w:val="21"/>
        </w:rPr>
      </w:pPr>
      <w:r>
        <w:rPr>
          <w:rFonts w:hint="eastAsia" w:ascii="宋体" w:hAnsi="宋体" w:cs="Arial"/>
          <w:b/>
          <w:szCs w:val="21"/>
        </w:rPr>
        <w:t>——南京大学EDP中心</w:t>
      </w:r>
    </w:p>
    <w:p>
      <w:pPr>
        <w:numPr>
          <w:ilvl w:val="0"/>
          <w:numId w:val="11"/>
        </w:numPr>
        <w:rPr>
          <w:rFonts w:hint="eastAsia" w:ascii="宋体" w:hAnsi="宋体" w:cs="Arial"/>
          <w:szCs w:val="21"/>
        </w:rPr>
      </w:pPr>
      <w:r>
        <w:rPr>
          <w:rFonts w:hint="eastAsia" w:ascii="宋体" w:hAnsi="宋体" w:cs="Arial"/>
          <w:szCs w:val="21"/>
        </w:rPr>
        <w:t>吕老师给我们</w:t>
      </w:r>
      <w:r>
        <w:rPr>
          <w:rFonts w:hint="eastAsia" w:ascii="宋体" w:hAnsi="宋体" w:cs="Arial"/>
          <w:szCs w:val="21"/>
          <w:lang w:val="en-US" w:eastAsia="zh-CN"/>
        </w:rPr>
        <w:t>上了2天谈判课和2天进阶辅导</w:t>
      </w:r>
      <w:r>
        <w:rPr>
          <w:rFonts w:hint="eastAsia" w:ascii="宋体" w:hAnsi="宋体" w:cs="Arial"/>
          <w:szCs w:val="21"/>
        </w:rPr>
        <w:t>,让每一组都拿出一个实际商务谈判案例现场研讨和练习,并现场给出建议方法</w:t>
      </w:r>
      <w:r>
        <w:rPr>
          <w:rFonts w:hint="eastAsia" w:ascii="宋体" w:hAnsi="宋体" w:cs="Arial"/>
          <w:szCs w:val="21"/>
          <w:lang w:val="en-US" w:eastAsia="zh-CN"/>
        </w:rPr>
        <w:t>甚至直接解决了难点问题</w:t>
      </w:r>
      <w:r>
        <w:rPr>
          <w:rFonts w:hint="eastAsia" w:ascii="宋体" w:hAnsi="宋体" w:cs="Arial"/>
          <w:szCs w:val="21"/>
        </w:rPr>
        <w:t>,其专业和功力不得不让我们信服!</w:t>
      </w:r>
    </w:p>
    <w:p>
      <w:pPr>
        <w:ind w:firstLine="7379" w:firstLineChars="3500"/>
        <w:rPr>
          <w:rFonts w:hint="eastAsia" w:ascii="宋体" w:hAnsi="宋体" w:eastAsia="宋体" w:cs="宋体"/>
          <w:kern w:val="0"/>
          <w:sz w:val="24"/>
          <w:szCs w:val="24"/>
          <w:lang w:val="en-US" w:eastAsia="zh-CN"/>
        </w:rPr>
      </w:pPr>
      <w:r>
        <w:rPr>
          <w:rFonts w:hint="eastAsia" w:ascii="宋体" w:hAnsi="宋体" w:cs="Arial"/>
          <w:b/>
          <w:szCs w:val="21"/>
        </w:rPr>
        <w:t>——</w:t>
      </w:r>
      <w:r>
        <w:rPr>
          <w:rFonts w:hint="eastAsia" w:ascii="宋体" w:hAnsi="宋体" w:cs="Arial"/>
          <w:b/>
          <w:szCs w:val="21"/>
          <w:lang w:val="en-US" w:eastAsia="zh-CN"/>
        </w:rPr>
        <w:t xml:space="preserve"> 越秀地产</w:t>
      </w:r>
    </w:p>
    <w:p>
      <w:pPr>
        <w:numPr>
          <w:ilvl w:val="0"/>
          <w:numId w:val="11"/>
        </w:numPr>
        <w:rPr>
          <w:rFonts w:hint="eastAsia" w:ascii="宋体" w:hAnsi="宋体" w:cs="Arial"/>
          <w:szCs w:val="21"/>
        </w:rPr>
      </w:pPr>
      <w:r>
        <w:rPr>
          <w:rFonts w:hint="eastAsia" w:ascii="宋体" w:hAnsi="宋体" w:cs="Arial"/>
          <w:szCs w:val="21"/>
        </w:rPr>
        <w:t>吕春兰老师一次谈判课现场辅导我们拿下780万、460万元的两大大谈判项目，太值得啦！</w:t>
      </w:r>
    </w:p>
    <w:p>
      <w:pPr>
        <w:jc w:val="right"/>
        <w:rPr>
          <w:rFonts w:hint="eastAsia" w:ascii="宋体" w:hAnsi="宋体" w:cs="Arial"/>
          <w:b/>
          <w:szCs w:val="21"/>
        </w:rPr>
      </w:pPr>
      <w:r>
        <w:rPr>
          <w:rFonts w:hint="eastAsia" w:ascii="宋体" w:hAnsi="宋体" w:cs="Arial"/>
          <w:b/>
          <w:szCs w:val="21"/>
        </w:rPr>
        <w:t>——威盛</w:t>
      </w:r>
      <w:r>
        <w:rPr>
          <w:rFonts w:hint="eastAsia" w:ascii="宋体" w:hAnsi="宋体" w:cs="Arial"/>
          <w:b/>
          <w:szCs w:val="21"/>
          <w:lang w:val="en-US" w:eastAsia="zh-CN"/>
        </w:rPr>
        <w:t>电气</w:t>
      </w:r>
    </w:p>
    <w:p>
      <w:pPr>
        <w:numPr>
          <w:ilvl w:val="0"/>
          <w:numId w:val="11"/>
        </w:numPr>
        <w:rPr>
          <w:rFonts w:hint="eastAsia" w:ascii="宋体" w:hAnsi="宋体" w:cs="Arial"/>
          <w:szCs w:val="21"/>
        </w:rPr>
      </w:pPr>
      <w:r>
        <w:rPr>
          <w:rFonts w:hint="eastAsia" w:ascii="宋体" w:hAnsi="宋体" w:cs="Arial"/>
          <w:szCs w:val="21"/>
          <w:lang w:val="en-US" w:eastAsia="zh-CN"/>
        </w:rPr>
        <w:t>吕老师谈判课在我们学员课后评价中几乎是满分，这对我们这群资深业务代表而言极其难能可贵</w:t>
      </w:r>
      <w:r>
        <w:rPr>
          <w:rFonts w:hint="eastAsia" w:ascii="宋体" w:hAnsi="宋体" w:cs="Arial"/>
          <w:szCs w:val="21"/>
        </w:rPr>
        <w:t>,</w:t>
      </w:r>
      <w:r>
        <w:rPr>
          <w:rFonts w:hint="eastAsia" w:ascii="宋体" w:hAnsi="宋体" w:cs="Arial"/>
          <w:szCs w:val="21"/>
          <w:lang w:val="en-US" w:eastAsia="zh-CN"/>
        </w:rPr>
        <w:t>真心佩服Lv老师的课堂掌控力</w:t>
      </w:r>
      <w:r>
        <w:rPr>
          <w:rFonts w:hint="eastAsia" w:ascii="宋体" w:hAnsi="宋体" w:cs="Arial"/>
          <w:szCs w:val="21"/>
        </w:rPr>
        <w:t>!</w:t>
      </w:r>
    </w:p>
    <w:p>
      <w:pPr>
        <w:jc w:val="right"/>
        <w:rPr>
          <w:rFonts w:hint="default" w:ascii="宋体" w:hAnsi="宋体" w:eastAsia="宋体" w:cs="Arial"/>
          <w:b/>
          <w:szCs w:val="21"/>
          <w:lang w:val="en-US" w:eastAsia="zh-CN"/>
        </w:rPr>
      </w:pPr>
      <w:r>
        <w:rPr>
          <w:rFonts w:hint="eastAsia" w:ascii="宋体" w:hAnsi="宋体" w:cs="Arial"/>
          <w:b/>
          <w:szCs w:val="21"/>
        </w:rPr>
        <w:t>——</w:t>
      </w:r>
      <w:r>
        <w:rPr>
          <w:rFonts w:hint="eastAsia" w:ascii="宋体" w:hAnsi="宋体" w:cs="Arial"/>
          <w:b/>
          <w:szCs w:val="21"/>
          <w:lang w:val="en-US" w:eastAsia="zh-CN"/>
        </w:rPr>
        <w:t>三生制药</w:t>
      </w:r>
    </w:p>
    <w:p>
      <w:pPr>
        <w:numPr>
          <w:ilvl w:val="0"/>
          <w:numId w:val="11"/>
        </w:numPr>
        <w:rPr>
          <w:rFonts w:hint="eastAsia" w:ascii="宋体" w:hAnsi="宋体" w:cs="Arial"/>
          <w:szCs w:val="21"/>
        </w:rPr>
      </w:pPr>
      <w:r>
        <w:rPr>
          <w:rFonts w:hint="eastAsia" w:ascii="宋体" w:hAnsi="宋体" w:cs="Arial"/>
          <w:szCs w:val="21"/>
          <w:lang w:eastAsia="zh-CN"/>
        </w:rPr>
        <w:t>“</w:t>
      </w:r>
      <w:r>
        <w:rPr>
          <w:rFonts w:hint="eastAsia" w:ascii="宋体" w:hAnsi="宋体" w:cs="Arial"/>
          <w:szCs w:val="21"/>
          <w:lang w:val="en-US" w:eastAsia="zh-CN"/>
        </w:rPr>
        <w:t>大客户销售课</w:t>
      </w:r>
      <w:r>
        <w:rPr>
          <w:rFonts w:hint="eastAsia" w:ascii="宋体" w:hAnsi="宋体" w:cs="Arial"/>
          <w:szCs w:val="21"/>
          <w:lang w:eastAsia="zh-CN"/>
        </w:rPr>
        <w:t>”</w:t>
      </w:r>
      <w:r>
        <w:rPr>
          <w:rFonts w:hint="eastAsia" w:ascii="宋体" w:hAnsi="宋体" w:cs="Arial"/>
          <w:szCs w:val="21"/>
          <w:lang w:val="en-US" w:eastAsia="zh-CN"/>
        </w:rPr>
        <w:t>一定要请</w:t>
      </w:r>
      <w:r>
        <w:rPr>
          <w:rFonts w:hint="eastAsia" w:ascii="宋体" w:hAnsi="宋体" w:cs="Arial"/>
          <w:szCs w:val="21"/>
        </w:rPr>
        <w:t>吕老师</w:t>
      </w:r>
      <w:r>
        <w:rPr>
          <w:rFonts w:hint="eastAsia" w:ascii="宋体" w:hAnsi="宋体" w:cs="Arial"/>
          <w:szCs w:val="21"/>
          <w:lang w:eastAsia="zh-CN"/>
        </w:rPr>
        <w:t>，</w:t>
      </w:r>
      <w:r>
        <w:rPr>
          <w:rFonts w:hint="eastAsia" w:ascii="宋体" w:hAnsi="宋体" w:cs="Arial"/>
          <w:szCs w:val="21"/>
          <w:lang w:val="en-US" w:eastAsia="zh-CN"/>
        </w:rPr>
        <w:t>我们三年“上市苗圃赋能班”</w:t>
      </w:r>
      <w:r>
        <w:rPr>
          <w:rFonts w:hint="eastAsia" w:ascii="宋体" w:hAnsi="宋体" w:cs="Arial"/>
          <w:szCs w:val="21"/>
        </w:rPr>
        <w:t>的</w:t>
      </w:r>
      <w:r>
        <w:rPr>
          <w:rFonts w:hint="eastAsia" w:ascii="宋体" w:hAnsi="宋体" w:cs="Arial"/>
          <w:szCs w:val="21"/>
          <w:lang w:val="en-US" w:eastAsia="zh-CN"/>
        </w:rPr>
        <w:t>谈判</w:t>
      </w:r>
      <w:r>
        <w:rPr>
          <w:rFonts w:hint="eastAsia" w:ascii="宋体" w:hAnsi="宋体" w:cs="Arial"/>
          <w:szCs w:val="21"/>
        </w:rPr>
        <w:t>课!感谢Linda!</w:t>
      </w:r>
    </w:p>
    <w:p>
      <w:pPr>
        <w:jc w:val="right"/>
        <w:rPr>
          <w:rFonts w:hint="eastAsia" w:ascii="宋体" w:hAnsi="宋体" w:cs="Arial"/>
          <w:b/>
          <w:szCs w:val="21"/>
        </w:rPr>
      </w:pPr>
      <w:r>
        <w:rPr>
          <w:rFonts w:hint="eastAsia" w:ascii="宋体" w:hAnsi="宋体" w:cs="Arial"/>
          <w:b/>
          <w:szCs w:val="21"/>
        </w:rPr>
        <w:t>——百特医疗</w:t>
      </w:r>
    </w:p>
    <w:p>
      <w:pPr>
        <w:numPr>
          <w:ilvl w:val="0"/>
          <w:numId w:val="11"/>
        </w:numPr>
        <w:rPr>
          <w:rFonts w:hint="eastAsia" w:ascii="宋体" w:hAnsi="宋体" w:cs="Arial"/>
          <w:b/>
          <w:szCs w:val="21"/>
        </w:rPr>
      </w:pPr>
      <w:r>
        <w:rPr>
          <w:rFonts w:hint="eastAsia" w:ascii="宋体" w:hAnsi="宋体" w:cs="Arial"/>
          <w:szCs w:val="21"/>
        </w:rPr>
        <w:t>吕老师的</w:t>
      </w:r>
      <w:r>
        <w:rPr>
          <w:rFonts w:hint="eastAsia" w:ascii="宋体" w:hAnsi="宋体" w:cs="Arial"/>
          <w:szCs w:val="21"/>
          <w:lang w:val="en-US" w:eastAsia="zh-CN"/>
        </w:rPr>
        <w:t>谈判、销售、</w:t>
      </w:r>
      <w:r>
        <w:rPr>
          <w:rFonts w:hint="eastAsia" w:ascii="宋体" w:hAnsi="宋体" w:cs="Arial"/>
          <w:szCs w:val="21"/>
        </w:rPr>
        <w:t>管理课程</w:t>
      </w:r>
      <w:r>
        <w:rPr>
          <w:rFonts w:hint="eastAsia" w:ascii="宋体" w:hAnsi="宋体" w:cs="Arial"/>
          <w:szCs w:val="21"/>
          <w:lang w:val="en-US" w:eastAsia="zh-CN"/>
        </w:rPr>
        <w:t>都</w:t>
      </w:r>
      <w:r>
        <w:rPr>
          <w:rFonts w:hint="eastAsia" w:ascii="宋体" w:hAnsi="宋体" w:cs="Arial"/>
          <w:szCs w:val="21"/>
        </w:rPr>
        <w:t>非常接地气，一个</w:t>
      </w:r>
      <w:r>
        <w:rPr>
          <w:rFonts w:hint="eastAsia" w:ascii="宋体" w:hAnsi="宋体" w:cs="Arial"/>
          <w:szCs w:val="21"/>
          <w:lang w:val="en-US" w:eastAsia="zh-CN"/>
        </w:rPr>
        <w:t>个</w:t>
      </w:r>
      <w:r>
        <w:rPr>
          <w:rFonts w:hint="eastAsia" w:ascii="宋体" w:hAnsi="宋体" w:cs="Arial"/>
          <w:szCs w:val="21"/>
        </w:rPr>
        <w:t>深度案例研讨能帮我们分析到点到位的问题并提出切实可行的管理改善点，对学员们太有帮助啦。</w:t>
      </w:r>
      <w:r>
        <w:rPr>
          <w:rFonts w:hint="eastAsia" w:ascii="宋体" w:hAnsi="宋体" w:cs="Arial"/>
          <w:szCs w:val="21"/>
          <w:lang w:val="en-US" w:eastAsia="zh-CN"/>
        </w:rPr>
        <w:t xml:space="preserve">              </w:t>
      </w:r>
      <w:r>
        <w:rPr>
          <w:rFonts w:hint="eastAsia" w:ascii="宋体" w:hAnsi="宋体" w:cs="Arial"/>
          <w:b/>
          <w:szCs w:val="21"/>
        </w:rPr>
        <w:t>——一汽大众</w:t>
      </w:r>
    </w:p>
    <w:p>
      <w:pPr>
        <w:numPr>
          <w:ilvl w:val="0"/>
          <w:numId w:val="11"/>
        </w:numPr>
        <w:rPr>
          <w:rFonts w:hint="eastAsia" w:ascii="宋体" w:hAnsi="宋体" w:cs="Arial"/>
          <w:szCs w:val="21"/>
        </w:rPr>
      </w:pPr>
      <w:r>
        <w:rPr>
          <w:rFonts w:hint="eastAsia" w:ascii="宋体" w:hAnsi="宋体" w:cs="Arial"/>
          <w:szCs w:val="21"/>
        </w:rPr>
        <w:t>培训合作十</w:t>
      </w:r>
      <w:r>
        <w:rPr>
          <w:rFonts w:hint="eastAsia" w:ascii="宋体" w:hAnsi="宋体" w:cs="Arial"/>
          <w:szCs w:val="21"/>
          <w:lang w:val="en-US" w:eastAsia="zh-CN"/>
        </w:rPr>
        <w:t>多</w:t>
      </w:r>
      <w:r>
        <w:rPr>
          <w:rFonts w:hint="eastAsia" w:ascii="宋体" w:hAnsi="宋体" w:cs="Arial"/>
          <w:szCs w:val="21"/>
        </w:rPr>
        <w:t>年了,吕老师的</w:t>
      </w:r>
      <w:r>
        <w:rPr>
          <w:rFonts w:hint="eastAsia" w:ascii="宋体" w:hAnsi="宋体" w:cs="Arial"/>
          <w:szCs w:val="21"/>
          <w:lang w:val="en-US" w:eastAsia="zh-CN"/>
        </w:rPr>
        <w:t>销售</w:t>
      </w:r>
      <w:r>
        <w:rPr>
          <w:rFonts w:hint="eastAsia" w:ascii="宋体" w:hAnsi="宋体" w:cs="Arial"/>
          <w:szCs w:val="21"/>
        </w:rPr>
        <w:t>和管理课程在我们公司学员中都起到了实际的运用和帮助!</w:t>
      </w:r>
    </w:p>
    <w:p>
      <w:pPr>
        <w:jc w:val="right"/>
        <w:rPr>
          <w:rFonts w:hint="eastAsia" w:ascii="宋体" w:hAnsi="宋体" w:cs="Arial"/>
          <w:b/>
          <w:szCs w:val="21"/>
        </w:rPr>
      </w:pPr>
      <w:r>
        <w:rPr>
          <w:rFonts w:hint="eastAsia" w:ascii="宋体" w:hAnsi="宋体" w:cs="Arial"/>
          <w:b/>
          <w:szCs w:val="21"/>
        </w:rPr>
        <w:t>——大众联合汽车</w:t>
      </w:r>
    </w:p>
    <w:p>
      <w:pPr>
        <w:spacing w:line="360" w:lineRule="exact"/>
        <w:rPr>
          <w:rFonts w:asciiTheme="minorEastAsia" w:hAnsiTheme="minorEastAsia" w:eastAsiaTheme="minorEastAsia" w:cstheme="minorEastAsia"/>
          <w:bCs/>
          <w:sz w:val="22"/>
          <w:szCs w:val="22"/>
        </w:rPr>
      </w:pPr>
    </w:p>
    <w:sectPr>
      <w:headerReference r:id="rId3" w:type="default"/>
      <w:footerReference r:id="rId4" w:type="default"/>
      <w:pgSz w:w="11906" w:h="16838"/>
      <w:pgMar w:top="1276" w:right="991" w:bottom="1134"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黑体 CN Heavy">
    <w:altName w:val="黑体"/>
    <w:panose1 w:val="020B0A00000000000000"/>
    <w:charset w:val="86"/>
    <w:family w:val="swiss"/>
    <w:pitch w:val="default"/>
    <w:sig w:usb0="00000000" w:usb1="00000000" w:usb2="00000016" w:usb3="00000000" w:csb0="00060107"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DFKai-SB">
    <w:panose1 w:val="03000509000000000000"/>
    <w:charset w:val="88"/>
    <w:family w:val="script"/>
    <w:pitch w:val="default"/>
    <w:sig w:usb0="00000003" w:usb1="082E0000" w:usb2="00000016" w:usb3="00000000" w:csb0="0010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8</w:t>
    </w:r>
    <w:r>
      <w:rPr>
        <w:lang w:val="zh-CN"/>
      </w:rP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819"/>
        <w:tab w:val="left" w:pos="8610"/>
        <w:tab w:val="right" w:pos="9639"/>
        <w:tab w:val="clear" w:pos="4153"/>
        <w:tab w:val="clear" w:pos="8306"/>
      </w:tabs>
    </w:pPr>
    <w:r>
      <w:drawing>
        <wp:inline distT="0" distB="0" distL="114300" distR="114300">
          <wp:extent cx="3771900" cy="428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771900" cy="42862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D060A"/>
    <w:multiLevelType w:val="singleLevel"/>
    <w:tmpl w:val="F4CD060A"/>
    <w:lvl w:ilvl="0" w:tentative="0">
      <w:start w:val="1"/>
      <w:numFmt w:val="bullet"/>
      <w:lvlText w:val=""/>
      <w:lvlJc w:val="left"/>
      <w:pPr>
        <w:ind w:left="420" w:hanging="420"/>
      </w:pPr>
      <w:rPr>
        <w:rFonts w:hint="default" w:ascii="Wingdings" w:hAnsi="Wingdings"/>
      </w:rPr>
    </w:lvl>
  </w:abstractNum>
  <w:abstractNum w:abstractNumId="1">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9011DD2"/>
    <w:multiLevelType w:val="multilevel"/>
    <w:tmpl w:val="09011DD2"/>
    <w:lvl w:ilvl="0" w:tentative="0">
      <w:start w:val="1"/>
      <w:numFmt w:val="bullet"/>
      <w:lvlText w:val=""/>
      <w:lvlJc w:val="left"/>
      <w:pPr>
        <w:tabs>
          <w:tab w:val="left" w:pos="420"/>
        </w:tabs>
        <w:ind w:left="420"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09B4BFC"/>
    <w:multiLevelType w:val="multilevel"/>
    <w:tmpl w:val="109B4B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70F4494"/>
    <w:multiLevelType w:val="multilevel"/>
    <w:tmpl w:val="170F4494"/>
    <w:lvl w:ilvl="0" w:tentative="0">
      <w:start w:val="1"/>
      <w:numFmt w:val="bullet"/>
      <w:lvlText w:val=""/>
      <w:lvlJc w:val="left"/>
      <w:pPr>
        <w:ind w:left="700" w:hanging="420"/>
      </w:pPr>
      <w:rPr>
        <w:rFonts w:hint="default" w:ascii="Wingdings" w:hAnsi="Wingdings"/>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5">
    <w:nsid w:val="1F62111F"/>
    <w:multiLevelType w:val="singleLevel"/>
    <w:tmpl w:val="1F62111F"/>
    <w:lvl w:ilvl="0" w:tentative="0">
      <w:start w:val="1"/>
      <w:numFmt w:val="decimal"/>
      <w:suff w:val="space"/>
      <w:lvlText w:val="%1."/>
      <w:lvlJc w:val="left"/>
    </w:lvl>
  </w:abstractNum>
  <w:abstractNum w:abstractNumId="6">
    <w:nsid w:val="367157A7"/>
    <w:multiLevelType w:val="multilevel"/>
    <w:tmpl w:val="367157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EA03960"/>
    <w:multiLevelType w:val="singleLevel"/>
    <w:tmpl w:val="3EA03960"/>
    <w:lvl w:ilvl="0" w:tentative="0">
      <w:start w:val="1"/>
      <w:numFmt w:val="decimal"/>
      <w:suff w:val="nothing"/>
      <w:lvlText w:val="%1）"/>
      <w:lvlJc w:val="left"/>
    </w:lvl>
  </w:abstractNum>
  <w:abstractNum w:abstractNumId="8">
    <w:nsid w:val="539DCC3B"/>
    <w:multiLevelType w:val="singleLevel"/>
    <w:tmpl w:val="539DCC3B"/>
    <w:lvl w:ilvl="0" w:tentative="0">
      <w:start w:val="1"/>
      <w:numFmt w:val="decimal"/>
      <w:suff w:val="space"/>
      <w:lvlText w:val="%1."/>
      <w:lvlJc w:val="left"/>
    </w:lvl>
  </w:abstractNum>
  <w:abstractNum w:abstractNumId="9">
    <w:nsid w:val="59657ACB"/>
    <w:multiLevelType w:val="singleLevel"/>
    <w:tmpl w:val="59657ACB"/>
    <w:lvl w:ilvl="0" w:tentative="0">
      <w:start w:val="1"/>
      <w:numFmt w:val="decimal"/>
      <w:suff w:val="nothing"/>
      <w:lvlText w:val="%1."/>
      <w:lvlJc w:val="left"/>
    </w:lvl>
  </w:abstractNum>
  <w:num w:numId="1">
    <w:abstractNumId w:val="9"/>
  </w:num>
  <w:num w:numId="2">
    <w:abstractNumId w:val="1"/>
  </w:num>
  <w:num w:numId="3">
    <w:abstractNumId w:val="0"/>
  </w:num>
  <w:num w:numId="4">
    <w:abstractNumId w:val="4"/>
  </w:num>
  <w:num w:numId="5">
    <w:abstractNumId w:val="7"/>
  </w:num>
  <w:num w:numId="6">
    <w:abstractNumId w:val="8"/>
  </w:num>
  <w:num w:numId="7">
    <w:abstractNumId w:val="5"/>
  </w:num>
  <w:num w:numId="8">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3YWVlZTk3NjZkY2JmZDU1NTg4YWNhMDMyYjNhNTMifQ=="/>
  </w:docVars>
  <w:rsids>
    <w:rsidRoot w:val="00247DD7"/>
    <w:rsid w:val="000025DF"/>
    <w:rsid w:val="00010636"/>
    <w:rsid w:val="00042A2E"/>
    <w:rsid w:val="00042DAA"/>
    <w:rsid w:val="00075B72"/>
    <w:rsid w:val="00087C73"/>
    <w:rsid w:val="00097EFE"/>
    <w:rsid w:val="000A2046"/>
    <w:rsid w:val="000C187B"/>
    <w:rsid w:val="00114C27"/>
    <w:rsid w:val="00130D0A"/>
    <w:rsid w:val="001379A9"/>
    <w:rsid w:val="00180852"/>
    <w:rsid w:val="001A6848"/>
    <w:rsid w:val="001B66FF"/>
    <w:rsid w:val="001C5472"/>
    <w:rsid w:val="001D3182"/>
    <w:rsid w:val="001F42A4"/>
    <w:rsid w:val="002022C4"/>
    <w:rsid w:val="00206B5E"/>
    <w:rsid w:val="00211033"/>
    <w:rsid w:val="00213266"/>
    <w:rsid w:val="00221455"/>
    <w:rsid w:val="002251C1"/>
    <w:rsid w:val="00247DD7"/>
    <w:rsid w:val="00312841"/>
    <w:rsid w:val="003623FF"/>
    <w:rsid w:val="003710C6"/>
    <w:rsid w:val="003732B1"/>
    <w:rsid w:val="00376113"/>
    <w:rsid w:val="00383C72"/>
    <w:rsid w:val="00390697"/>
    <w:rsid w:val="003957C1"/>
    <w:rsid w:val="003C194F"/>
    <w:rsid w:val="003C1C12"/>
    <w:rsid w:val="003E6732"/>
    <w:rsid w:val="003F134B"/>
    <w:rsid w:val="004476E6"/>
    <w:rsid w:val="00456775"/>
    <w:rsid w:val="004F2BE1"/>
    <w:rsid w:val="004F72EA"/>
    <w:rsid w:val="00504BD6"/>
    <w:rsid w:val="00507A4B"/>
    <w:rsid w:val="00511A75"/>
    <w:rsid w:val="00525D29"/>
    <w:rsid w:val="005604B7"/>
    <w:rsid w:val="00592C4F"/>
    <w:rsid w:val="005B6BEB"/>
    <w:rsid w:val="005C0908"/>
    <w:rsid w:val="005D6995"/>
    <w:rsid w:val="006276C7"/>
    <w:rsid w:val="006362C8"/>
    <w:rsid w:val="00646BB6"/>
    <w:rsid w:val="00650885"/>
    <w:rsid w:val="00671872"/>
    <w:rsid w:val="0067345D"/>
    <w:rsid w:val="00676155"/>
    <w:rsid w:val="006B18D2"/>
    <w:rsid w:val="006E203B"/>
    <w:rsid w:val="006F4941"/>
    <w:rsid w:val="00722998"/>
    <w:rsid w:val="007B6840"/>
    <w:rsid w:val="007E3C13"/>
    <w:rsid w:val="007F5954"/>
    <w:rsid w:val="00805961"/>
    <w:rsid w:val="00897BC9"/>
    <w:rsid w:val="008A114B"/>
    <w:rsid w:val="008C7E37"/>
    <w:rsid w:val="008D0F81"/>
    <w:rsid w:val="008F73C8"/>
    <w:rsid w:val="00906562"/>
    <w:rsid w:val="00972941"/>
    <w:rsid w:val="009C46C2"/>
    <w:rsid w:val="009C4923"/>
    <w:rsid w:val="00A168F7"/>
    <w:rsid w:val="00A35600"/>
    <w:rsid w:val="00A35EAE"/>
    <w:rsid w:val="00A45CB2"/>
    <w:rsid w:val="00B10552"/>
    <w:rsid w:val="00B42388"/>
    <w:rsid w:val="00B53CCA"/>
    <w:rsid w:val="00B672F9"/>
    <w:rsid w:val="00B7627D"/>
    <w:rsid w:val="00BA1490"/>
    <w:rsid w:val="00BD7AA4"/>
    <w:rsid w:val="00C11004"/>
    <w:rsid w:val="00C222C7"/>
    <w:rsid w:val="00C648B8"/>
    <w:rsid w:val="00C70642"/>
    <w:rsid w:val="00C80D58"/>
    <w:rsid w:val="00CB1960"/>
    <w:rsid w:val="00CC2F12"/>
    <w:rsid w:val="00CD7575"/>
    <w:rsid w:val="00CE4728"/>
    <w:rsid w:val="00CF13E4"/>
    <w:rsid w:val="00D12090"/>
    <w:rsid w:val="00D63E68"/>
    <w:rsid w:val="00D812B5"/>
    <w:rsid w:val="00DC240A"/>
    <w:rsid w:val="00DC3E47"/>
    <w:rsid w:val="00EC1BAC"/>
    <w:rsid w:val="00EE0E50"/>
    <w:rsid w:val="00F2611B"/>
    <w:rsid w:val="00F268F4"/>
    <w:rsid w:val="00F53FED"/>
    <w:rsid w:val="00F62BBA"/>
    <w:rsid w:val="00F74A1E"/>
    <w:rsid w:val="00F86B2A"/>
    <w:rsid w:val="00F907EB"/>
    <w:rsid w:val="00FE246F"/>
    <w:rsid w:val="072559B2"/>
    <w:rsid w:val="09145E68"/>
    <w:rsid w:val="0B3F14D4"/>
    <w:rsid w:val="0CB3377E"/>
    <w:rsid w:val="15D05BB5"/>
    <w:rsid w:val="193500DD"/>
    <w:rsid w:val="19E62A14"/>
    <w:rsid w:val="1A150FEE"/>
    <w:rsid w:val="1DC15A77"/>
    <w:rsid w:val="222D2B49"/>
    <w:rsid w:val="25037E29"/>
    <w:rsid w:val="279B10D2"/>
    <w:rsid w:val="282E11F8"/>
    <w:rsid w:val="2B377B75"/>
    <w:rsid w:val="2C143C0B"/>
    <w:rsid w:val="2C7C5BE6"/>
    <w:rsid w:val="2EBE3FFE"/>
    <w:rsid w:val="3C456262"/>
    <w:rsid w:val="3FA972EA"/>
    <w:rsid w:val="47E34E85"/>
    <w:rsid w:val="4E57715D"/>
    <w:rsid w:val="590D7AE9"/>
    <w:rsid w:val="668545BD"/>
    <w:rsid w:val="68DF711F"/>
    <w:rsid w:val="6A7B666D"/>
    <w:rsid w:val="6DBA48BD"/>
    <w:rsid w:val="747D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20" w:after="120" w:line="312" w:lineRule="auto"/>
    </w:pPr>
    <w:rPr>
      <w:rFonts w:eastAsia="DFKai-SB"/>
      <w:spacing w:val="10"/>
      <w:sz w:val="26"/>
    </w:r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character" w:customStyle="1" w:styleId="10">
    <w:name w:val="页脚 Char"/>
    <w:link w:val="4"/>
    <w:semiHidden/>
    <w:qFormat/>
    <w:uiPriority w:val="0"/>
    <w:rPr>
      <w:kern w:val="2"/>
      <w:sz w:val="18"/>
      <w:szCs w:val="18"/>
    </w:rPr>
  </w:style>
  <w:style w:type="character" w:customStyle="1" w:styleId="11">
    <w:name w:val="页眉 Char"/>
    <w:link w:val="5"/>
    <w:semiHidden/>
    <w:qFormat/>
    <w:uiPriority w:val="0"/>
    <w:rPr>
      <w:kern w:val="2"/>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olor w:val="333333"/>
      <w:kern w:val="0"/>
      <w:sz w:val="24"/>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kern w:val="2"/>
      <w:sz w:val="18"/>
      <w:szCs w:val="18"/>
    </w:rPr>
  </w:style>
  <w:style w:type="paragraph" w:customStyle="1" w:styleId="15">
    <w:name w:val="11pt"/>
    <w:basedOn w:val="1"/>
    <w:uiPriority w:val="0"/>
    <w:pPr>
      <w:widowControl/>
      <w:adjustRightInd/>
      <w:spacing w:before="100" w:beforeAutospacing="1" w:after="100" w:afterAutospacing="1" w:line="240" w:lineRule="auto"/>
      <w:textAlignment w:val="auto"/>
    </w:pPr>
    <w:rPr>
      <w:rFonts w:ascii="宋体" w:hAnsi="宋体" w:eastAsia="宋体"/>
      <w:szCs w:val="24"/>
      <w:lang w:eastAsia="zh-CN"/>
    </w:rPr>
  </w:style>
  <w:style w:type="paragraph" w:customStyle="1" w:styleId="16">
    <w:name w:val="Normal1"/>
    <w:uiPriority w:val="0"/>
    <w:pPr>
      <w:widowControl w:val="0"/>
      <w:adjustRightInd w:val="0"/>
      <w:spacing w:line="360" w:lineRule="atLeast"/>
      <w:textAlignment w:val="baseline"/>
    </w:pPr>
    <w:rPr>
      <w:rFonts w:ascii="MingLiU" w:hAnsi="Calibri" w:eastAsia="MingLiU" w:cs="Times New Roman"/>
      <w:sz w:val="28"/>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122</Words>
  <Characters>125</Characters>
  <Lines>34</Lines>
  <Paragraphs>9</Paragraphs>
  <TotalTime>0</TotalTime>
  <ScaleCrop>false</ScaleCrop>
  <LinksUpToDate>false</LinksUpToDate>
  <CharactersWithSpaces>127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2021-01-07T05:36:00Z</dcterms:created>
  <dc:creator>Lenovo</dc:creator>
  <cp:lastModifiedBy>Administrator</cp:lastModifiedBy>
  <cp:lastPrinted>2411-12-30T00:00:00Z</cp:lastPrinted>
  <dcterms:modified xsi:type="dcterms:W3CDTF">2022-11-30T06:12:59Z</dcterms:modified>
  <dc:title>基于素质的人才甄选技术</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(2)7o1YNuUI6UZVplZvZw1JhdFE97sCaqllg3Tnw07mWvgOnesNL80SDYGv8iclYkOkHREqlcEW
Kqp9eDmehW+2zEZ/dMYGCk6isPWwWa/nTeasfkUlK9uyWO3t77uxUleeOmMKHirACEXgYatK
6kXoBAynJVVHj2RKCBDHr2wMY5beyWM9SJqhfqv6uegXb6/BhbPTkbxwJvkUtjarMZtJNkc6
D4SxDJD38rYOAakiG04AQ</vt:lpwstr>
  </property>
  <property fmtid="{D5CDD505-2E9C-101B-9397-08002B2CF9AE}" pid="3" name="_ms_pID_7253431">
    <vt:lpwstr>L2UKe7VI26lJSkaw7uXa5C/UsfVObanErWf85FNYS/pbQgn1BnZ
gIvG/cTWffHhe3SCUYZzWNKgKxvnNRfHvhoOH003NfoUzY3QqmDaZaOhte+V6usJzfm/KNcB
KBFSG1vfxDynwUknoYSOaBQc9Q+ibJvLRPR58KMa/McgVw==</vt:lpwstr>
  </property>
  <property fmtid="{D5CDD505-2E9C-101B-9397-08002B2CF9AE}" pid="4" name="KSOProductBuildVer">
    <vt:lpwstr>2052-11.1.0.12763</vt:lpwstr>
  </property>
  <property fmtid="{D5CDD505-2E9C-101B-9397-08002B2CF9AE}" pid="5" name="sflag">
    <vt:lpwstr>1319598693</vt:lpwstr>
  </property>
  <property fmtid="{D5CDD505-2E9C-101B-9397-08002B2CF9AE}" pid="6" name="ICV">
    <vt:lpwstr>80AE279BE1C54E178E620958C82231B2</vt:lpwstr>
  </property>
</Properties>
</file>