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56" w:after="156" w:line="460" w:lineRule="exact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-436245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.95pt;margin-top:-34.35pt;height:31.2pt;width:65.7pt;z-index:251660288;mso-width-relative:page;mso-height-relative:page;" filled="f" stroked="f" coordsize="21600,21600" o:gfxdata="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JIEwdoAAAAIAQAADwAAAAAAAAABACAAAAAiAAAAZHJzL2Rvd25yZXYueG1sUEsBAhQA&#10;FAAAAAgAh07iQF3eTa+3AQAAWQ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numPr>
          <w:ilvl w:val="0"/>
          <w:numId w:val="0"/>
        </w:numPr>
        <w:spacing w:before="156" w:after="156" w:line="460" w:lineRule="exact"/>
        <w:jc w:val="both"/>
        <w:rPr>
          <w:rFonts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《聚焦业务成功的流程管理体系—向华为学合同订单管理》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陈锐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黑体" w:hAnsi="黑体" w:eastAsia="黑体" w:cs="黑体"/>
          <w:b/>
          <w:bCs/>
          <w:color w:val="0000FF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7:00</w:t>
      </w:r>
      <w:bookmarkStart w:id="0" w:name="_GoBack"/>
      <w:bookmarkEnd w:id="0"/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2023年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杭州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光华卡门票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3800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0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人</w:t>
      </w:r>
    </w:p>
    <w:p>
      <w:pPr>
        <w:widowControl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widowControl/>
        <w:jc w:val="left"/>
        <w:rPr>
          <w:rFonts w:hint="eastAsia" w:ascii="宋体" w:hAnsi="宋体" w:cs="宋体"/>
          <w:bCs/>
          <w:szCs w:val="22"/>
          <w:lang w:eastAsia="zh-CN"/>
        </w:rPr>
      </w:pPr>
      <w:r>
        <w:rPr>
          <w:rFonts w:hint="eastAsia" w:ascii="宋体" w:hAnsi="宋体" w:cs="宋体"/>
          <w:bCs/>
          <w:szCs w:val="22"/>
          <w:lang w:eastAsia="zh-CN"/>
        </w:rPr>
        <w:t>1、企业内部履行订单成本高。</w:t>
      </w:r>
    </w:p>
    <w:p>
      <w:pPr>
        <w:widowControl/>
        <w:jc w:val="left"/>
        <w:rPr>
          <w:rFonts w:hint="eastAsia" w:ascii="宋体" w:hAnsi="宋体" w:eastAsia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eastAsia="zh-CN"/>
        </w:rPr>
        <w:t>2、订单履行进度缓慢、质量低下。</w:t>
      </w:r>
    </w:p>
    <w:p>
      <w:pPr>
        <w:widowControl/>
        <w:jc w:val="left"/>
        <w:rPr>
          <w:rFonts w:hint="eastAsia" w:ascii="宋体" w:hAnsi="宋体" w:cs="宋体"/>
          <w:bCs/>
          <w:szCs w:val="22"/>
          <w:lang w:eastAsia="zh-CN"/>
        </w:rPr>
      </w:pPr>
      <w:r>
        <w:rPr>
          <w:rFonts w:hint="eastAsia" w:ascii="宋体" w:hAnsi="宋体" w:cs="宋体"/>
          <w:bCs/>
          <w:szCs w:val="22"/>
          <w:lang w:eastAsia="zh-CN"/>
        </w:rPr>
        <w:t>3、客户满意度低，不能保证与客户的紧密合作关系。</w:t>
      </w:r>
    </w:p>
    <w:p>
      <w:pPr>
        <w:widowControl/>
        <w:jc w:val="left"/>
        <w:rPr>
          <w:rFonts w:hint="eastAsia" w:ascii="宋体" w:hAnsi="宋体" w:cs="宋体"/>
          <w:bCs/>
          <w:szCs w:val="22"/>
          <w:lang w:eastAsia="zh-CN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Cs w:val="22"/>
          <w:lang w:eastAsia="zh-CN"/>
        </w:rPr>
      </w:pPr>
      <w:r>
        <w:rPr>
          <w:rFonts w:hint="eastAsia" w:ascii="宋体" w:hAnsi="宋体" w:cs="宋体"/>
          <w:bCs/>
          <w:szCs w:val="22"/>
        </w:rPr>
        <w:t>总经理、销售总监、</w:t>
      </w:r>
      <w:r>
        <w:rPr>
          <w:rFonts w:hint="eastAsia" w:ascii="宋体" w:hAnsi="宋体" w:cs="宋体"/>
          <w:bCs/>
          <w:szCs w:val="22"/>
          <w:lang w:eastAsia="zh-CN"/>
        </w:rPr>
        <w:t>销售精英等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课程亮点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撑握与客户共同做好市场预测和网络规划的设计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撑握保证合同质量和订单履行质量的流程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撑握保证工程进度和项目验收进度的方法</w:t>
      </w:r>
    </w:p>
    <w:p>
      <w:pPr>
        <w:widowControl/>
        <w:numPr>
          <w:ilvl w:val="0"/>
          <w:numId w:val="4"/>
        </w:numPr>
        <w:ind w:left="425" w:leftChars="0" w:hanging="425" w:firstLineChars="0"/>
        <w:jc w:val="left"/>
        <w:rPr>
          <w:rFonts w:hint="eastAsia" w:ascii="宋体" w:hAnsi="宋体" w:cs="宋体"/>
          <w:bCs/>
          <w:szCs w:val="22"/>
          <w:lang w:val="en-US" w:eastAsia="zh-CN"/>
        </w:rPr>
      </w:pPr>
      <w:r>
        <w:rPr>
          <w:rFonts w:hint="eastAsia" w:ascii="宋体" w:hAnsi="宋体" w:cs="宋体"/>
          <w:bCs/>
          <w:szCs w:val="22"/>
          <w:lang w:val="en-US" w:eastAsia="zh-CN"/>
        </w:rPr>
        <w:t>撑握保证订单回款的策略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Cs/>
          <w:szCs w:val="22"/>
          <w:lang w:val="en-US" w:eastAsia="zh-CN"/>
        </w:rPr>
      </w:pPr>
    </w:p>
    <w:p>
      <w:pPr>
        <w:widowControl/>
        <w:jc w:val="left"/>
        <w:rPr>
          <w:rFonts w:hint="eastAsia" w:ascii="宋体" w:hAnsi="宋体" w:cs="宋体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</w:t>
      </w:r>
    </w:p>
    <w:p>
      <w:pPr>
        <w:widowControl/>
        <w:jc w:val="left"/>
        <w:rPr>
          <w:rFonts w:hint="eastAsia" w:ascii="宋体" w:hAnsi="宋体" w:cs="宋体"/>
          <w:bCs/>
          <w:szCs w:val="22"/>
        </w:rPr>
      </w:pP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rFonts w:hint="eastAsia"/>
          <w:b/>
          <w:bCs/>
          <w:lang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ind w:left="0" w:left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第一部分</w:t>
      </w: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了解合同订单管理方面的基本知识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为什么要进行合同订单管理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市场环境的变化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企业良性经营的需要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对一线销售工作的统一衡量标准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对客户需求的准确掌控</w:t>
      </w:r>
    </w:p>
    <w:p>
      <w:pPr>
        <w:widowControl w:val="0"/>
        <w:numPr>
          <w:ilvl w:val="0"/>
          <w:numId w:val="7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提高一线销售人员的经营意识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Chars="0" w:firstLine="420" w:firstLineChars="20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案例分享：华为对一线销售机构考核方法的演进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Chars="0"/>
        <w:jc w:val="both"/>
        <w:rPr>
          <w:rFonts w:hint="eastAsia"/>
          <w:color w:val="FF0000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合同订单管理的几个方面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对客户和项目的引导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招投标项目的管理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合同条款的谈判</w:t>
      </w:r>
    </w:p>
    <w:p>
      <w:pPr>
        <w:widowControl w:val="0"/>
        <w:numPr>
          <w:ilvl w:val="0"/>
          <w:numId w:val="8"/>
        </w:numPr>
        <w:ind w:left="425" w:leftChars="0" w:hanging="425" w:firstLineChars="0"/>
        <w:jc w:val="both"/>
        <w:rPr>
          <w:rFonts w:hint="eastAsia" w:ascii="宋体" w:hAnsi="宋体" w:cs="宋体"/>
          <w:b/>
          <w:szCs w:val="21"/>
        </w:rPr>
      </w:pPr>
      <w:r>
        <w:rPr>
          <w:rFonts w:hint="eastAsia"/>
          <w:lang w:val="en-US" w:eastAsia="zh-CN"/>
        </w:rPr>
        <w:t>合同质量的管控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案例分享：华为投标办是做什么的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FF0000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合同订单管理的几个原则</w:t>
      </w:r>
    </w:p>
    <w:p>
      <w:pPr>
        <w:widowControl w:val="0"/>
        <w:numPr>
          <w:ilvl w:val="0"/>
          <w:numId w:val="9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全流程贯通的原则</w:t>
      </w:r>
    </w:p>
    <w:p>
      <w:pPr>
        <w:widowControl w:val="0"/>
        <w:numPr>
          <w:ilvl w:val="0"/>
          <w:numId w:val="9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综合运作成本的原则</w:t>
      </w:r>
    </w:p>
    <w:p>
      <w:pPr>
        <w:widowControl w:val="0"/>
        <w:numPr>
          <w:ilvl w:val="0"/>
          <w:numId w:val="9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客户满意度原则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FF0000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第二部分 合同订单履行的主要流程概述</w:t>
      </w:r>
    </w:p>
    <w:p>
      <w:pPr>
        <w:widowControl w:val="0"/>
        <w:numPr>
          <w:ilvl w:val="0"/>
          <w:numId w:val="10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公司的组织架构与流程框架</w:t>
      </w:r>
    </w:p>
    <w:p>
      <w:pPr>
        <w:widowControl w:val="0"/>
        <w:numPr>
          <w:ilvl w:val="0"/>
          <w:numId w:val="11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什么是流程管理</w:t>
      </w:r>
    </w:p>
    <w:p>
      <w:pPr>
        <w:widowControl w:val="0"/>
        <w:numPr>
          <w:ilvl w:val="0"/>
          <w:numId w:val="11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营销、研发、供应链体系流程的相互关系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Chars="0" w:firstLine="420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材料学习：任总关于公司推行流程化管理的讲话</w:t>
      </w:r>
    </w:p>
    <w:p>
      <w:pPr>
        <w:widowControl w:val="0"/>
        <w:numPr>
          <w:ilvl w:val="0"/>
          <w:numId w:val="11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流程体系的价值</w:t>
      </w:r>
    </w:p>
    <w:p>
      <w:pPr>
        <w:widowControl w:val="0"/>
        <w:numPr>
          <w:ilvl w:val="0"/>
          <w:numId w:val="11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流程体系的四个阶段</w:t>
      </w: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 w:cs="Times New Roman"/>
          <w:b/>
          <w:bCs/>
          <w:kern w:val="2"/>
          <w:sz w:val="21"/>
          <w:lang w:val="en-US" w:eastAsia="zh-CN" w:bidi="ar-SA"/>
        </w:rPr>
        <w:t>二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lang w:val="en-US" w:eastAsia="zh-CN" w:bidi="ar-SA"/>
        </w:rPr>
        <w:t>、</w:t>
      </w:r>
      <w:r>
        <w:rPr>
          <w:rFonts w:hint="eastAsia"/>
          <w:b/>
          <w:bCs/>
          <w:lang w:val="en-US" w:eastAsia="zh-CN"/>
        </w:rPr>
        <w:t>公司的主业务流程</w:t>
      </w:r>
    </w:p>
    <w:p>
      <w:pPr>
        <w:widowControl w:val="0"/>
        <w:numPr>
          <w:ilvl w:val="0"/>
          <w:numId w:val="12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LTC流程概述</w:t>
      </w:r>
    </w:p>
    <w:p>
      <w:pPr>
        <w:widowControl w:val="0"/>
        <w:numPr>
          <w:ilvl w:val="0"/>
          <w:numId w:val="12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MTL流程概述</w:t>
      </w:r>
    </w:p>
    <w:p>
      <w:pPr>
        <w:widowControl w:val="0"/>
        <w:numPr>
          <w:ilvl w:val="0"/>
          <w:numId w:val="12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ISC流程概述</w:t>
      </w:r>
    </w:p>
    <w:p>
      <w:pPr>
        <w:widowControl w:val="0"/>
        <w:numPr>
          <w:ilvl w:val="0"/>
          <w:numId w:val="12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流程运作的组织层级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="420" w:leftChars="200" w:firstLine="0" w:firstLineChars="0"/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讨论：是流程匹配组织，还是组织匹配流程？发生碰撞时应该改革哪一个？</w:t>
      </w:r>
    </w:p>
    <w:p>
      <w:pPr>
        <w:widowControl w:val="0"/>
        <w:numPr>
          <w:ilvl w:val="0"/>
          <w:numId w:val="12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流程体系4个阶段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第</w:t>
      </w: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部分</w:t>
      </w: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合同订单管理流程实操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3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企业面临的合同订单管理的痛点</w:t>
      </w:r>
    </w:p>
    <w:p>
      <w:pPr>
        <w:widowControl w:val="0"/>
        <w:numPr>
          <w:ilvl w:val="0"/>
          <w:numId w:val="14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市场需求变化大，难以把握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color w:val="FF0000"/>
          <w:lang w:val="en-US" w:eastAsia="zh-CN"/>
        </w:rPr>
        <w:t>案例分析：华为手机的预测之痛</w:t>
      </w:r>
    </w:p>
    <w:p>
      <w:pPr>
        <w:widowControl w:val="0"/>
        <w:numPr>
          <w:ilvl w:val="0"/>
          <w:numId w:val="14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订单交付经常延期</w:t>
      </w:r>
    </w:p>
    <w:p>
      <w:pPr>
        <w:widowControl w:val="0"/>
        <w:numPr>
          <w:ilvl w:val="0"/>
          <w:numId w:val="14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订单履行周期太长</w:t>
      </w:r>
    </w:p>
    <w:p>
      <w:pPr>
        <w:widowControl w:val="0"/>
        <w:numPr>
          <w:ilvl w:val="0"/>
          <w:numId w:val="14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存货周转，回款等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3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合同签订前的管理 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市场需求预测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客户需求预测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计划制定（S&amp;OP计划）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  <w:t>案例分享：华为手机SOP计划的经验得</w:t>
      </w:r>
      <w:r>
        <w:rPr>
          <w:rFonts w:hint="eastAsia"/>
          <w:b/>
          <w:bCs/>
          <w:color w:val="FF0000"/>
          <w:lang w:val="en-US" w:eastAsia="zh-CN"/>
        </w:rPr>
        <w:t>失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color w:val="FF0000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</w:rPr>
        <w:t>合同商务谈判</w:t>
      </w:r>
    </w:p>
    <w:p>
      <w:pPr>
        <w:widowControl w:val="0"/>
        <w:numPr>
          <w:ilvl w:val="0"/>
          <w:numId w:val="15"/>
        </w:numPr>
        <w:ind w:left="425" w:leftChars="0" w:hanging="425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合同评审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13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合同签订，订单接收</w:t>
      </w:r>
    </w:p>
    <w:p>
      <w:pPr>
        <w:widowControl w:val="0"/>
        <w:numPr>
          <w:ilvl w:val="0"/>
          <w:numId w:val="16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合同录入、订单激活</w:t>
      </w:r>
    </w:p>
    <w:p>
      <w:pPr>
        <w:widowControl w:val="0"/>
        <w:numPr>
          <w:ilvl w:val="0"/>
          <w:numId w:val="16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合同履行计划、采购要货计划</w:t>
      </w:r>
    </w:p>
    <w:p>
      <w:pPr>
        <w:widowControl w:val="0"/>
        <w:numPr>
          <w:ilvl w:val="0"/>
          <w:numId w:val="16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合同审计、合同成套</w:t>
      </w:r>
    </w:p>
    <w:p>
      <w:pPr>
        <w:widowControl w:val="0"/>
        <w:numPr>
          <w:ilvl w:val="0"/>
          <w:numId w:val="16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合同审计、合同成套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3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合同履行过程</w:t>
      </w:r>
    </w:p>
    <w:p>
      <w:pPr>
        <w:widowControl w:val="0"/>
        <w:numPr>
          <w:ilvl w:val="0"/>
          <w:numId w:val="17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生产调度、制造、检验、包装、运输等</w:t>
      </w:r>
    </w:p>
    <w:p>
      <w:pPr>
        <w:widowControl w:val="0"/>
        <w:numPr>
          <w:ilvl w:val="0"/>
          <w:numId w:val="17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设备现场验收</w:t>
      </w:r>
    </w:p>
    <w:p>
      <w:pPr>
        <w:widowControl w:val="0"/>
        <w:numPr>
          <w:ilvl w:val="0"/>
          <w:numId w:val="0"/>
        </w:numPr>
        <w:ind w:left="420" w:leftChars="20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lang w:val="en-US" w:eastAsia="zh-CN"/>
        </w:rPr>
        <w:t>案例分析：海外某代表处混乱的物料管理--如此浪费为哪般</w:t>
      </w:r>
    </w:p>
    <w:p>
      <w:pPr>
        <w:widowControl w:val="0"/>
        <w:numPr>
          <w:ilvl w:val="0"/>
          <w:numId w:val="17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设备工程交付管理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案例分析：华为在非洲某国的交钥匙工程</w:t>
      </w:r>
    </w:p>
    <w:p>
      <w:pPr>
        <w:widowControl w:val="0"/>
        <w:numPr>
          <w:ilvl w:val="0"/>
          <w:numId w:val="17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设备工程验收管理</w:t>
      </w:r>
    </w:p>
    <w:p>
      <w:pPr>
        <w:widowControl w:val="0"/>
        <w:numPr>
          <w:ilvl w:val="0"/>
          <w:numId w:val="17"/>
        </w:numPr>
        <w:ind w:left="425" w:leftChars="0" w:hanging="425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回款管理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案例分析：这算是一个成功的项目吗</w:t>
      </w:r>
    </w:p>
    <w:p>
      <w:pPr>
        <w:widowControl w:val="0"/>
        <w:numPr>
          <w:ilvl w:val="0"/>
          <w:numId w:val="0"/>
        </w:numPr>
        <w:ind w:leftChars="0" w:firstLine="420" w:firstLineChars="200"/>
        <w:jc w:val="both"/>
        <w:rPr>
          <w:rFonts w:hint="eastAsia"/>
          <w:b w:val="0"/>
          <w:bCs w:val="0"/>
          <w:color w:val="FF0000"/>
          <w:lang w:val="en-US" w:eastAsia="zh-CN"/>
        </w:rPr>
      </w:pPr>
    </w:p>
    <w:p>
      <w:pPr>
        <w:widowControl w:val="0"/>
        <w:numPr>
          <w:ilvl w:val="0"/>
          <w:numId w:val="13"/>
        </w:numPr>
        <w:ind w:left="-420" w:leftChars="0"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关键业务节点</w:t>
      </w:r>
    </w:p>
    <w:p>
      <w:pPr>
        <w:widowControl w:val="0"/>
        <w:numPr>
          <w:ilvl w:val="0"/>
          <w:numId w:val="18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机会点创建阶段</w:t>
      </w:r>
    </w:p>
    <w:p>
      <w:pPr>
        <w:widowControl w:val="0"/>
        <w:numPr>
          <w:ilvl w:val="0"/>
          <w:numId w:val="19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代表处铁三角的职责</w:t>
      </w:r>
    </w:p>
    <w:p>
      <w:pPr>
        <w:widowControl w:val="0"/>
        <w:numPr>
          <w:ilvl w:val="0"/>
          <w:numId w:val="19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代表处销售业务支持部</w:t>
      </w:r>
    </w:p>
    <w:p>
      <w:pPr>
        <w:widowControl w:val="0"/>
        <w:numPr>
          <w:ilvl w:val="0"/>
          <w:numId w:val="19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代表处或系统部的SDT团队</w:t>
      </w:r>
    </w:p>
    <w:p>
      <w:pPr>
        <w:widowControl w:val="0"/>
        <w:numPr>
          <w:ilvl w:val="0"/>
          <w:numId w:val="18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合同评审</w:t>
      </w:r>
    </w:p>
    <w:p>
      <w:pPr>
        <w:widowControl w:val="0"/>
        <w:numPr>
          <w:ilvl w:val="0"/>
          <w:numId w:val="20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由铁三角创建标书或合同</w:t>
      </w:r>
    </w:p>
    <w:p>
      <w:pPr>
        <w:widowControl w:val="0"/>
        <w:numPr>
          <w:ilvl w:val="0"/>
          <w:numId w:val="20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由投标经理或商务经理组织评审</w:t>
      </w:r>
    </w:p>
    <w:p>
      <w:pPr>
        <w:widowControl w:val="0"/>
        <w:numPr>
          <w:ilvl w:val="0"/>
          <w:numId w:val="20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评审的角色与权限</w:t>
      </w:r>
    </w:p>
    <w:p>
      <w:pPr>
        <w:widowControl w:val="0"/>
        <w:numPr>
          <w:ilvl w:val="0"/>
          <w:numId w:val="20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评审决策</w:t>
      </w:r>
    </w:p>
    <w:p>
      <w:pPr>
        <w:widowControl w:val="0"/>
        <w:numPr>
          <w:ilvl w:val="0"/>
          <w:numId w:val="18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合同变更及变更评审要求</w:t>
      </w:r>
    </w:p>
    <w:p>
      <w:pPr>
        <w:widowControl w:val="0"/>
        <w:numPr>
          <w:ilvl w:val="0"/>
          <w:numId w:val="18"/>
        </w:numPr>
        <w:tabs>
          <w:tab w:val="left" w:pos="352"/>
        </w:tabs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管理合同订单履行</w:t>
      </w:r>
    </w:p>
    <w:p>
      <w:pPr>
        <w:widowControl w:val="0"/>
        <w:numPr>
          <w:ilvl w:val="0"/>
          <w:numId w:val="21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管理生产进度</w:t>
      </w:r>
    </w:p>
    <w:p>
      <w:pPr>
        <w:widowControl w:val="0"/>
        <w:numPr>
          <w:ilvl w:val="0"/>
          <w:numId w:val="21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管理交付项目</w:t>
      </w:r>
    </w:p>
    <w:p>
      <w:pPr>
        <w:widowControl w:val="0"/>
        <w:numPr>
          <w:ilvl w:val="0"/>
          <w:numId w:val="21"/>
        </w:numPr>
        <w:tabs>
          <w:tab w:val="left" w:pos="352"/>
        </w:tabs>
        <w:ind w:left="84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管理合同生命周期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="630" w:leftChars="30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实战演练：按照CC3铁三角的角色定位，由学员选择扮演一种角色，然后写出该角色在一个合同订单流程中关键任务，并与小组成员分享</w:t>
      </w:r>
    </w:p>
    <w:p>
      <w:pPr>
        <w:widowControl w:val="0"/>
        <w:numPr>
          <w:ilvl w:val="0"/>
          <w:numId w:val="0"/>
        </w:numPr>
        <w:tabs>
          <w:tab w:val="left" w:pos="352"/>
        </w:tabs>
        <w:ind w:left="420" w:leftChars="200" w:firstLine="0" w:firstLine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52"/>
        </w:tabs>
        <w:jc w:val="both"/>
        <w:rPr>
          <w:rFonts w:hint="eastAsia"/>
          <w:lang w:val="en-US" w:eastAsia="zh-CN"/>
        </w:r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cs="宋体"/>
          <w:b/>
          <w:szCs w:val="21"/>
        </w:rPr>
      </w:pPr>
    </w:p>
    <w:p>
      <w:pPr>
        <w:rPr>
          <w:rFonts w:hint="eastAsia" w:ascii="宋体" w:hAnsi="宋体" w:eastAsia="宋体" w:cs="宋体"/>
          <w:b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陈锐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</w:rPr>
                              <w:t>华为营销管理/销售老师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val="zh-CN"/>
                              </w:rPr>
                              <w:t>华为狼性营销/华为大客户营销/销售管理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32"/>
                                <w:szCs w:val="32"/>
                                <w:lang w:val="zh-CN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2336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陈锐</w:t>
                      </w:r>
                    </w:p>
                    <w:p>
                      <w:pPr>
                        <w:rPr>
                          <w:rFonts w:hint="eastAsia" w:ascii="黑体" w:eastAsia="黑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</w:rPr>
                        <w:t>华为营销管理/销售老师</w:t>
                      </w:r>
                    </w:p>
                    <w:p>
                      <w:pP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val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val="zh-CN"/>
                        </w:rPr>
                        <w:t>华为狼性营销/华为大客户营销/销售管理</w:t>
                      </w:r>
                    </w:p>
                    <w:p>
                      <w:pPr>
                        <w:rPr>
                          <w:rFonts w:hint="eastAsia" w:ascii="黑体" w:eastAsia="黑体"/>
                          <w:b/>
                          <w:sz w:val="32"/>
                          <w:szCs w:val="32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Cs w:val="21"/>
          <w:lang w:eastAsia="zh-CN"/>
        </w:rPr>
        <w:drawing>
          <wp:inline distT="0" distB="0" distL="114300" distR="114300">
            <wp:extent cx="2008505" cy="2282190"/>
            <wp:effectExtent l="0" t="0" r="10795" b="3810"/>
            <wp:docPr id="4" name="图片 4" descr="C:\Users\Administrator\Desktop\陈锐图片1.png陈锐图片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陈锐图片1.png陈锐图片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香港城市大学EMBA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华为狼性营销传播者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18年华为营销管理工作经验</w:t>
      </w:r>
    </w:p>
    <w:p>
      <w:pPr>
        <w:keepNext w:val="0"/>
        <w:keepLines w:val="0"/>
        <w:pageBreakBefore w:val="0"/>
        <w:widowControl w:val="0"/>
        <w:numPr>
          <w:ilvl w:val="0"/>
          <w:numId w:val="2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10年华为营销总监职位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正大集团、国机精工集团、</w:t>
      </w:r>
      <w:r>
        <w:rPr>
          <w:rFonts w:hint="eastAsia" w:ascii="宋体" w:hAnsi="宋体" w:cs="宋体"/>
          <w:szCs w:val="21"/>
        </w:rPr>
        <w:t>武汉烽火通信集团、维尔利环保科技集团、成都飞机工业(集团)有限责任公司、步步高集团、国家电网许继集团，中国邮储银行、、广东北电通信设备有限公司、</w:t>
      </w:r>
      <w:r>
        <w:rPr>
          <w:rFonts w:ascii="宋体" w:hAnsi="宋体" w:cs="宋体"/>
          <w:szCs w:val="21"/>
        </w:rPr>
        <w:t>梵瑞科技（深圳）有限公司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深圳市吉祥腾达科技有限公司</w:t>
      </w:r>
      <w:r>
        <w:rPr>
          <w:rFonts w:hint="eastAsia" w:ascii="宋体" w:hAnsi="宋体" w:cs="宋体"/>
          <w:szCs w:val="21"/>
        </w:rPr>
        <w:t>、</w:t>
      </w:r>
      <w:r>
        <w:rPr>
          <w:rFonts w:ascii="宋体" w:hAnsi="宋体" w:cs="宋体"/>
          <w:szCs w:val="21"/>
        </w:rPr>
        <w:t>深圳市和为顺科技有限公司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bCs/>
          <w:szCs w:val="21"/>
        </w:rPr>
        <w:t>北京八阵图技术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等</w:t>
      </w:r>
    </w:p>
    <w:p>
      <w:pPr>
        <w:jc w:val="left"/>
        <w:rPr>
          <w:rFonts w:hint="eastAsia" w:ascii="宋体" w:hAnsi="Times New Roman" w:cs="Tahoma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35"/>
        <w:ind w:firstLine="0" w:firstLineChars="0"/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ABB64"/>
    <w:multiLevelType w:val="singleLevel"/>
    <w:tmpl w:val="89BABB6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abstractNum w:abstractNumId="1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AF8071E6"/>
    <w:multiLevelType w:val="singleLevel"/>
    <w:tmpl w:val="AF8071E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C690ED2E"/>
    <w:multiLevelType w:val="singleLevel"/>
    <w:tmpl w:val="C690ED2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4">
    <w:nsid w:val="D03FBD4C"/>
    <w:multiLevelType w:val="singleLevel"/>
    <w:tmpl w:val="D03FBD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DF0D959D"/>
    <w:multiLevelType w:val="singleLevel"/>
    <w:tmpl w:val="DF0D959D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6">
    <w:nsid w:val="DF229273"/>
    <w:multiLevelType w:val="singleLevel"/>
    <w:tmpl w:val="DF2292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7">
    <w:nsid w:val="FEE26173"/>
    <w:multiLevelType w:val="singleLevel"/>
    <w:tmpl w:val="FEE261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0C661E72"/>
    <w:multiLevelType w:val="singleLevel"/>
    <w:tmpl w:val="0C661E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157DBD53"/>
    <w:multiLevelType w:val="singleLevel"/>
    <w:tmpl w:val="157DBD5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2804F7DD"/>
    <w:multiLevelType w:val="singleLevel"/>
    <w:tmpl w:val="2804F7D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12">
    <w:nsid w:val="303F632C"/>
    <w:multiLevelType w:val="singleLevel"/>
    <w:tmpl w:val="303F63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3477C3A6"/>
    <w:multiLevelType w:val="singleLevel"/>
    <w:tmpl w:val="3477C3A6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14">
    <w:nsid w:val="3B03294C"/>
    <w:multiLevelType w:val="multilevel"/>
    <w:tmpl w:val="3B03294C"/>
    <w:lvl w:ilvl="0" w:tentative="0">
      <w:start w:val="1"/>
      <w:numFmt w:val="bullet"/>
      <w:pStyle w:val="38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5">
    <w:nsid w:val="4E62D578"/>
    <w:multiLevelType w:val="singleLevel"/>
    <w:tmpl w:val="4E62D578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6">
    <w:nsid w:val="50FD85E8"/>
    <w:multiLevelType w:val="singleLevel"/>
    <w:tmpl w:val="50FD85E8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17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7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8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9">
    <w:nsid w:val="6E4066C9"/>
    <w:multiLevelType w:val="singleLevel"/>
    <w:tmpl w:val="6E4066C9"/>
    <w:lvl w:ilvl="0" w:tentative="0">
      <w:start w:val="1"/>
      <w:numFmt w:val="decimal"/>
      <w:lvlText w:val="%1)"/>
      <w:lvlJc w:val="left"/>
      <w:pPr>
        <w:ind w:left="845" w:hanging="425"/>
      </w:pPr>
      <w:rPr>
        <w:rFonts w:hint="default"/>
      </w:rPr>
    </w:lvl>
  </w:abstractNum>
  <w:abstractNum w:abstractNumId="20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7424E441"/>
    <w:multiLevelType w:val="singleLevel"/>
    <w:tmpl w:val="7424E4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10"/>
  </w:num>
  <w:num w:numId="5">
    <w:abstractNumId w:val="18"/>
  </w:num>
  <w:num w:numId="6">
    <w:abstractNumId w:val="11"/>
  </w:num>
  <w:num w:numId="7">
    <w:abstractNumId w:val="8"/>
  </w:num>
  <w:num w:numId="8">
    <w:abstractNumId w:val="21"/>
  </w:num>
  <w:num w:numId="9">
    <w:abstractNumId w:val="7"/>
  </w:num>
  <w:num w:numId="10">
    <w:abstractNumId w:val="13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9"/>
  </w:num>
  <w:num w:numId="19">
    <w:abstractNumId w:val="16"/>
  </w:num>
  <w:num w:numId="20">
    <w:abstractNumId w:val="1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0A4BA5"/>
    <w:rsid w:val="051115FF"/>
    <w:rsid w:val="05710492"/>
    <w:rsid w:val="057A1179"/>
    <w:rsid w:val="069A4AE7"/>
    <w:rsid w:val="06A72055"/>
    <w:rsid w:val="06C95D80"/>
    <w:rsid w:val="06CD5B32"/>
    <w:rsid w:val="071D7A8A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241820"/>
    <w:rsid w:val="093E5D5B"/>
    <w:rsid w:val="09B502C2"/>
    <w:rsid w:val="09EA4EB7"/>
    <w:rsid w:val="0AA77F52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E546B"/>
    <w:rsid w:val="18682672"/>
    <w:rsid w:val="188F2B71"/>
    <w:rsid w:val="189B0649"/>
    <w:rsid w:val="18C7041B"/>
    <w:rsid w:val="190855FC"/>
    <w:rsid w:val="191410D1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0E67100"/>
    <w:rsid w:val="215D0D9C"/>
    <w:rsid w:val="2189664A"/>
    <w:rsid w:val="21DB4B29"/>
    <w:rsid w:val="22003B30"/>
    <w:rsid w:val="22C43786"/>
    <w:rsid w:val="22D16EA5"/>
    <w:rsid w:val="23365912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6F1C04"/>
    <w:rsid w:val="27944D9A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4F6F0B"/>
    <w:rsid w:val="2A965048"/>
    <w:rsid w:val="2A9671BC"/>
    <w:rsid w:val="2A9C11CC"/>
    <w:rsid w:val="2AA72DF1"/>
    <w:rsid w:val="2AAC05AA"/>
    <w:rsid w:val="2AB13D75"/>
    <w:rsid w:val="2ABB2E30"/>
    <w:rsid w:val="2ACC71C9"/>
    <w:rsid w:val="2AE50191"/>
    <w:rsid w:val="2B4E1D4B"/>
    <w:rsid w:val="2B751740"/>
    <w:rsid w:val="2BA23D03"/>
    <w:rsid w:val="2BA545C3"/>
    <w:rsid w:val="2BD918A8"/>
    <w:rsid w:val="2C012E83"/>
    <w:rsid w:val="2CC96416"/>
    <w:rsid w:val="2D24466E"/>
    <w:rsid w:val="2DB04FF7"/>
    <w:rsid w:val="2DD22C2D"/>
    <w:rsid w:val="2EAF1C06"/>
    <w:rsid w:val="2EE73107"/>
    <w:rsid w:val="2F3E7118"/>
    <w:rsid w:val="2F4E62CE"/>
    <w:rsid w:val="2F6D079D"/>
    <w:rsid w:val="2FE651D6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DD6DFF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8F4F9A"/>
    <w:rsid w:val="38B317A6"/>
    <w:rsid w:val="38CF2F29"/>
    <w:rsid w:val="38F97B46"/>
    <w:rsid w:val="39082435"/>
    <w:rsid w:val="390F7DFA"/>
    <w:rsid w:val="39600F49"/>
    <w:rsid w:val="39621785"/>
    <w:rsid w:val="397152FC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24E7961"/>
    <w:rsid w:val="43022668"/>
    <w:rsid w:val="435629B6"/>
    <w:rsid w:val="43C47D83"/>
    <w:rsid w:val="43D54DC2"/>
    <w:rsid w:val="44803E79"/>
    <w:rsid w:val="44C8664D"/>
    <w:rsid w:val="44EB4048"/>
    <w:rsid w:val="45BE295B"/>
    <w:rsid w:val="465623E3"/>
    <w:rsid w:val="46A56284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792A0A"/>
    <w:rsid w:val="4B950932"/>
    <w:rsid w:val="4BA42D93"/>
    <w:rsid w:val="4C2819B7"/>
    <w:rsid w:val="4C6F49E8"/>
    <w:rsid w:val="4C781A1B"/>
    <w:rsid w:val="4C800691"/>
    <w:rsid w:val="4C9546CC"/>
    <w:rsid w:val="4C9F68D1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1A758CA"/>
    <w:rsid w:val="51B85C55"/>
    <w:rsid w:val="51CB6BEB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3E33AF"/>
    <w:rsid w:val="55E8015C"/>
    <w:rsid w:val="55ED1B1E"/>
    <w:rsid w:val="55FD4028"/>
    <w:rsid w:val="566E4672"/>
    <w:rsid w:val="56797840"/>
    <w:rsid w:val="568C7E6C"/>
    <w:rsid w:val="577047CD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A584470"/>
    <w:rsid w:val="5B35487F"/>
    <w:rsid w:val="5BF06088"/>
    <w:rsid w:val="5BFC0B78"/>
    <w:rsid w:val="5C0A7929"/>
    <w:rsid w:val="5C5E3805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E3145C3"/>
    <w:rsid w:val="5F5B3296"/>
    <w:rsid w:val="5FD5341C"/>
    <w:rsid w:val="5FE23114"/>
    <w:rsid w:val="60611FEC"/>
    <w:rsid w:val="60EB724C"/>
    <w:rsid w:val="6137543E"/>
    <w:rsid w:val="616E1A9D"/>
    <w:rsid w:val="61872CB0"/>
    <w:rsid w:val="61897606"/>
    <w:rsid w:val="618D4BE8"/>
    <w:rsid w:val="61DF7534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401250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9F72FE2"/>
    <w:rsid w:val="6A823A77"/>
    <w:rsid w:val="6AF32913"/>
    <w:rsid w:val="6AF712B0"/>
    <w:rsid w:val="6B255F9C"/>
    <w:rsid w:val="6BFD3043"/>
    <w:rsid w:val="6C343B7C"/>
    <w:rsid w:val="6C803227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EE14E31"/>
    <w:rsid w:val="6F323D4C"/>
    <w:rsid w:val="6F807A98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3922B70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752B86"/>
    <w:rsid w:val="78B66033"/>
    <w:rsid w:val="78CF032E"/>
    <w:rsid w:val="79027C7D"/>
    <w:rsid w:val="790911C0"/>
    <w:rsid w:val="79663985"/>
    <w:rsid w:val="797A5D84"/>
    <w:rsid w:val="79A371D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D9817C8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9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Light List Accent 3"/>
    <w:basedOn w:val="13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7">
    <w:name w:val="Strong"/>
    <w:qFormat/>
    <w:uiPriority w:val="0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0"/>
    <w:rPr>
      <w:kern w:val="2"/>
      <w:sz w:val="18"/>
      <w:szCs w:val="18"/>
    </w:rPr>
  </w:style>
  <w:style w:type="paragraph" w:customStyle="1" w:styleId="23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style681"/>
    <w:basedOn w:val="16"/>
    <w:qFormat/>
    <w:uiPriority w:val="0"/>
    <w:rPr>
      <w:color w:val="000033"/>
      <w:sz w:val="20"/>
      <w:szCs w:val="20"/>
    </w:rPr>
  </w:style>
  <w:style w:type="character" w:customStyle="1" w:styleId="26">
    <w:name w:val="course_content1"/>
    <w:basedOn w:val="16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7">
    <w:name w:val="标题 1 字符"/>
    <w:basedOn w:val="16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8">
    <w:name w:val="标题 2 字符"/>
    <w:basedOn w:val="16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9">
    <w:name w:val="标题 3 字符"/>
    <w:basedOn w:val="16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30">
    <w:name w:val="标题 4 字符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1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2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3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4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6"/>
    <w:basedOn w:val="1"/>
    <w:qFormat/>
    <w:uiPriority w:val="34"/>
    <w:pPr>
      <w:ind w:firstLine="420" w:firstLineChars="200"/>
    </w:pPr>
  </w:style>
  <w:style w:type="paragraph" w:customStyle="1" w:styleId="36">
    <w:name w:val="正文楷体"/>
    <w:basedOn w:val="1"/>
    <w:qFormat/>
    <w:uiPriority w:val="0"/>
    <w:pPr>
      <w:spacing w:line="300" w:lineRule="auto"/>
    </w:pPr>
  </w:style>
  <w:style w:type="paragraph" w:customStyle="1" w:styleId="37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8">
    <w:name w:val="Bullet Level 1"/>
    <w:next w:val="37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9">
    <w:name w:val="number"/>
    <w:basedOn w:val="16"/>
    <w:qFormat/>
    <w:uiPriority w:val="0"/>
  </w:style>
  <w:style w:type="character" w:customStyle="1" w:styleId="40">
    <w:name w:val="apple-converted-space"/>
    <w:basedOn w:val="16"/>
    <w:qFormat/>
    <w:uiPriority w:val="0"/>
  </w:style>
  <w:style w:type="character" w:customStyle="1" w:styleId="41">
    <w:name w:val="a121"/>
    <w:qFormat/>
    <w:uiPriority w:val="0"/>
    <w:rPr>
      <w:sz w:val="18"/>
      <w:szCs w:val="18"/>
    </w:rPr>
  </w:style>
  <w:style w:type="paragraph" w:customStyle="1" w:styleId="42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3">
    <w:name w:val="小标题（红色）"/>
    <w:next w:val="42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5">
    <w:name w:val="无间隔1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customStyle="1" w:styleId="46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8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默认段落字体 Para Char Char Char Char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51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52">
    <w:name w:val="s1"/>
    <w:basedOn w:val="16"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3">
    <w:name w:val="s2"/>
    <w:basedOn w:val="16"/>
    <w:qFormat/>
    <w:uiPriority w:val="0"/>
    <w:rPr>
      <w:rFonts w:ascii="PingFang SC" w:hAnsi="PingFang SC" w:eastAsia="PingFang SC" w:cs="PingFang SC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A9D1DD-6788-43C5-BFBC-61F7ECE9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2205</Words>
  <Characters>2303</Characters>
  <Lines>17</Lines>
  <Paragraphs>4</Paragraphs>
  <TotalTime>2</TotalTime>
  <ScaleCrop>false</ScaleCrop>
  <LinksUpToDate>false</LinksUpToDate>
  <CharactersWithSpaces>2372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阿也.</cp:lastModifiedBy>
  <cp:lastPrinted>2015-07-07T09:25:00Z</cp:lastPrinted>
  <dcterms:modified xsi:type="dcterms:W3CDTF">2023-06-30T01:56:47Z</dcterms:modified>
  <dc:title>《压力与情绪管理》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