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-385445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3.45pt;margin-top:-30.35pt;height:31.2pt;width:65.7pt;z-index:251661312;mso-width-relative:page;mso-height-relative:page;" filled="f" stroked="f" coordsize="21600,21600" o:gfxdata="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qipLc2QAAAAcBAAAPAAAAAAAAAAEAIAAAACIAAABkcnMvZG93bnJldi54bWxQSwECFAAU&#10;AAAACACHTuJAXd5Nr7cBAABZAwAADgAAAAAAAAABACAAAAAoAQAAZHJzL2Uyb0RvYy54bWxQSwUG&#10;AAAAAAYABgBZAQAAU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29.45pt;margin-top:0.7pt;height:25.15pt;width:196.6pt;z-index:251660288;mso-width-relative:page;mso-height-relative:page;" coordorigin="11905,2498" coordsize="3773,503" o:gfxdata="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mXV/tkAAAAIAQAADwAAAAAAAAABACAAAAAiAAAAZHJzL2Rvd25yZXYueG1sUEsB&#10;AhQAFAAAAAgAh07iQKRYmZvYAgAAPgcAAA4AAAAAAAAAAQAgAAAAKAEAAGRycy9lMm9Eb2MueG1s&#10;UEsFBgAAAAAGAAYAWQEAAHIGAAAAAA=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numPr>
          <w:ilvl w:val="0"/>
          <w:numId w:val="0"/>
        </w:numPr>
        <w:spacing w:before="156" w:after="156" w:line="46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《人效提升与组织能力打造》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白睿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7:00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杭州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光华卡门票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firstLine="1400" w:firstLineChars="5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58</w:t>
      </w:r>
      <w:r>
        <w:rPr>
          <w:rFonts w:hint="eastAsia" w:ascii="黑体" w:hAnsi="黑体" w:eastAsia="黑体" w:cs="黑体"/>
          <w:sz w:val="28"/>
          <w:szCs w:val="28"/>
        </w:rPr>
        <w:t xml:space="preserve">00元/人 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60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人</w:t>
      </w: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cs="宋体"/>
          <w:bCs/>
          <w:szCs w:val="22"/>
          <w:lang w:val="en-US" w:eastAsia="zh-CN"/>
        </w:rPr>
      </w:pPr>
      <w:r>
        <w:rPr>
          <w:rFonts w:hint="default" w:ascii="宋体" w:hAnsi="宋体" w:cs="宋体"/>
          <w:bCs/>
          <w:szCs w:val="22"/>
          <w:lang w:val="en-US" w:eastAsia="zh-CN"/>
        </w:rPr>
        <w:t>1、企业经营不理想，症结往往不在战略，而在于组织能力水平低下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cs="宋体"/>
          <w:bCs/>
          <w:szCs w:val="22"/>
          <w:lang w:val="en-US" w:eastAsia="zh-CN"/>
        </w:rPr>
      </w:pPr>
      <w:r>
        <w:rPr>
          <w:rFonts w:hint="default" w:ascii="宋体" w:hAnsi="宋体" w:cs="宋体"/>
          <w:bCs/>
          <w:szCs w:val="22"/>
          <w:lang w:val="en-US" w:eastAsia="zh-CN"/>
        </w:rPr>
        <w:t>2、“人效”对于组织能力及财务效能有着强力驱动作 用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宋体" w:hAnsi="宋体" w:cs="宋体"/>
          <w:bCs/>
          <w:szCs w:val="22"/>
          <w:lang w:val="en-US" w:eastAsia="zh-CN"/>
        </w:rPr>
      </w:pPr>
      <w:r>
        <w:rPr>
          <w:rFonts w:hint="default" w:ascii="宋体" w:hAnsi="宋体" w:cs="宋体"/>
          <w:bCs/>
          <w:szCs w:val="22"/>
          <w:lang w:val="en-US" w:eastAsia="zh-CN"/>
        </w:rPr>
        <w:t>3、组织问题、团队问题和人才问题组成的综合性问题，想要进行组织诊断，找不到关键模型统一模型</w:t>
      </w:r>
    </w:p>
    <w:p>
      <w:pPr>
        <w:widowControl/>
        <w:jc w:val="left"/>
        <w:rPr>
          <w:rFonts w:ascii="宋体" w:hAnsi="宋体" w:cs="宋体"/>
          <w:bCs/>
          <w:szCs w:val="22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</w:rPr>
        <w:t>老板、人力资源总监、经理</w:t>
      </w:r>
      <w:r>
        <w:rPr>
          <w:rFonts w:hint="eastAsia" w:ascii="宋体" w:hAnsi="宋体" w:cs="宋体"/>
          <w:bCs/>
          <w:szCs w:val="22"/>
          <w:lang w:eastAsia="zh-CN"/>
        </w:rPr>
        <w:t>等</w:t>
      </w:r>
    </w:p>
    <w:p>
      <w:pPr>
        <w:widowControl/>
        <w:jc w:val="left"/>
        <w:rPr>
          <w:rFonts w:ascii="宋体" w:hAnsi="宋体" w:cs="宋体"/>
          <w:bCs/>
          <w:szCs w:val="22"/>
        </w:rPr>
      </w:pPr>
    </w:p>
    <w:p>
      <w:pPr>
        <w:widowControl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课程工具包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1、人效监测仪表盘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2、构建组织地图-基于战略的组织结构设计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3、人才供应链框架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4、构建任职资格管理/胜任力素质模型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课程亮点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HR在反思组织问题时，课程将教大家以“纵向管理层次×横向管理幅度”入手，以获取资源优势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在思考人效问题时，课程将结合组织、人才、业务与资源综合思索解决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在剖析团队问题时，课程将教大家团队可分为领航力量、攻坚力量和新锐力量。</w:t>
      </w:r>
    </w:p>
    <w:p>
      <w:pPr>
        <w:widowControl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一、高人效的3大主要因素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案例：某生产企业的人力资源扩张之路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1.不平衡的跷跷板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2.粗放型企业占据大部分国内企业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3.一味追求销售额后的弊病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4.清晰的报表，模糊的数据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5.管理方法简单粗暴只为上墙公示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6.高人效企业表象特征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7.提升人效管理的3大因素2大任务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二、构建人力资源效能仪表盘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1.最常用的人效指标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2.个性化的人效指标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3.选择合适的人效指标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4.如何构建自己的效能仪表盘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5.效能分析分为维度和指标两个方面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6.人效监测仪表盘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三、人力资源效能仪表盘逻辑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1.人力资源效能仪表盘概述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2.如何进行监测？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3.人效仪表盘不是即时数据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4.与过去的增长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5.与行业平均水平比较高低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6.与目标比较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7.与竞争对手比强弱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四、高人效组织画像与提升项目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1.人力资源领先战略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2.高人效企业画像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3.人效管理3大策略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4.选择高价值的人才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5.激发中价值的人才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6.优化低价值人才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五、企业经营与组织能力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1.经营管理涉及的内容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2.组织管理涉及的内容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3.企业经营目标实现的路径分析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4.企业跨越非连续性增长的要诀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5.组织能力建设通常存在的问题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6.如何处理业务发展与组织能力建设的节奏？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7. 组织能力建设的构成要素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8. 组织的运行方式：用拉动，牵引来代替推动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9. 构建组织地图-基于战略的组织结构设计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10.构建能力地图-基于组织地图的组织能力体系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六、员工能力和组织能力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1.公司需要什么样的人才？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2.如何构建员工能力模型？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3.人才供应链框架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 构建任职资格管理/胜任力素质模型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 构建人才地图-人力资源规划与人才画像、人才盘点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6.保留与淘汰双管齐下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7.新任经理成长地图+培训项目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七、如何选择合适组织架构提升组织能力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1.理解组织结构对战略目标实现的支撑性影响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2.组织结构的基本知识介绍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3.不同的战略目标对组织结构形态的要求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4.案例展示：组织结构变革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5.严控管理层级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6.增加管理幅度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7.跨职能团队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8.大部制运作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9.严格标准与执行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10.持续改善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ascii="华文中宋" w:hAnsi="华文中宋" w:eastAsia="华文中宋"/>
          <w:b/>
          <w:bCs/>
          <w:color w:val="000000"/>
          <w:sz w:val="4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71120</wp:posOffset>
            </wp:positionV>
            <wp:extent cx="2008505" cy="2282190"/>
            <wp:effectExtent l="0" t="0" r="10795" b="3810"/>
            <wp:wrapNone/>
            <wp:docPr id="4" name="图片 4" descr="C:\Users\Administrator\Desktop\图片2.png图片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图片2.png图片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白睿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组织发展专家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上海交通大学特聘讲师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情境领导力认证培训师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3360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白睿</w:t>
                      </w:r>
                    </w:p>
                    <w:p>
                      <w:pP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组织发展专家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上海交通大学特聘讲师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情境领导力认证培训师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畅销书作者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公众号“白睿频道”创始人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阿里、百度、滴滴、美团、华为、小米、OPPO、网易、科大讯飞、猪八戒、学而思、广联达、宜信、贝壳租房、中都物流、36Kr、Disney、诺亚财富、中国智能交通英语流利说、上汽大众、世纪互联、中融信托、尚德机构、中信书店、汉能、Softbank（中国）、360金融、趣头条、Westpac banking corporate（中国）、招银云创、Paypal、商汤科技等</w:t>
      </w:r>
    </w:p>
    <w:p>
      <w:pPr>
        <w:jc w:val="left"/>
        <w:rPr>
          <w:rFonts w:hint="eastAsia" w:ascii="宋体" w:hAnsi="Times New Roman" w:cs="Tahoma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课程预告</w:t>
      </w:r>
    </w:p>
    <w:p>
      <w:pPr>
        <w:pStyle w:val="12"/>
        <w:spacing w:before="0" w:beforeAutospacing="0" w:after="0" w:afterAutospacing="0" w:line="480" w:lineRule="auto"/>
        <w:rPr>
          <w:rFonts w:ascii="微软雅黑" w:hAnsi="微软雅黑" w:eastAsia="微软雅黑"/>
          <w:b/>
          <w:sz w:val="32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88900</wp:posOffset>
            </wp:positionV>
            <wp:extent cx="3217545" cy="2742565"/>
            <wp:effectExtent l="0" t="0" r="1905" b="635"/>
            <wp:wrapSquare wrapText="bothSides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2845435" cy="2943860"/>
            <wp:effectExtent l="0" t="0" r="12065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2336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804F7DD"/>
    <w:multiLevelType w:val="singleLevel"/>
    <w:tmpl w:val="2804F7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B03294C"/>
    <w:multiLevelType w:val="multilevel"/>
    <w:tmpl w:val="3B03294C"/>
    <w:lvl w:ilvl="0" w:tentative="0">
      <w:start w:val="1"/>
      <w:numFmt w:val="bullet"/>
      <w:pStyle w:val="38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3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7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0B8B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AC1C88"/>
    <w:rsid w:val="01C62F6A"/>
    <w:rsid w:val="01FD48EF"/>
    <w:rsid w:val="02233B79"/>
    <w:rsid w:val="023E4202"/>
    <w:rsid w:val="025716EF"/>
    <w:rsid w:val="02976C60"/>
    <w:rsid w:val="02BB5EED"/>
    <w:rsid w:val="02C23CA8"/>
    <w:rsid w:val="02C43F44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57A1179"/>
    <w:rsid w:val="069A4AE7"/>
    <w:rsid w:val="06A72055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BF73710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A854D8"/>
    <w:rsid w:val="20E67100"/>
    <w:rsid w:val="215D0D9C"/>
    <w:rsid w:val="2189664A"/>
    <w:rsid w:val="21DB4B29"/>
    <w:rsid w:val="22003B30"/>
    <w:rsid w:val="2240553D"/>
    <w:rsid w:val="22C43786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AFF472C"/>
    <w:rsid w:val="2B4E1D4B"/>
    <w:rsid w:val="2B751740"/>
    <w:rsid w:val="2BA23D03"/>
    <w:rsid w:val="2BA545C3"/>
    <w:rsid w:val="2BD918A8"/>
    <w:rsid w:val="2C012E83"/>
    <w:rsid w:val="2CC96416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2E2EA1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276B1"/>
    <w:rsid w:val="406C6CD0"/>
    <w:rsid w:val="40FE112C"/>
    <w:rsid w:val="43022668"/>
    <w:rsid w:val="435629B6"/>
    <w:rsid w:val="43C47D83"/>
    <w:rsid w:val="43D54DC2"/>
    <w:rsid w:val="44803E79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A1FA4"/>
    <w:rsid w:val="4E0D7F90"/>
    <w:rsid w:val="4E62395A"/>
    <w:rsid w:val="4E6F0B33"/>
    <w:rsid w:val="4EF905EE"/>
    <w:rsid w:val="4F694B38"/>
    <w:rsid w:val="4F827BB5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77047CD"/>
    <w:rsid w:val="57B35D21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B35487F"/>
    <w:rsid w:val="5B7066C7"/>
    <w:rsid w:val="5BF06088"/>
    <w:rsid w:val="5BFC0B78"/>
    <w:rsid w:val="5C0A7929"/>
    <w:rsid w:val="5C5E3805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5B3296"/>
    <w:rsid w:val="5FD5341C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3F74ECD"/>
    <w:rsid w:val="643A73A8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F323D4C"/>
    <w:rsid w:val="6F807A98"/>
    <w:rsid w:val="6F841F74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051EDF"/>
    <w:rsid w:val="72511E08"/>
    <w:rsid w:val="729C5D67"/>
    <w:rsid w:val="72A77CBD"/>
    <w:rsid w:val="72D83B02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D837A0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EC46422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9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Light List Accent 3"/>
    <w:basedOn w:val="13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9"/>
    <w:semiHidden/>
    <w:qFormat/>
    <w:uiPriority w:val="0"/>
    <w:rPr>
      <w:kern w:val="2"/>
      <w:sz w:val="18"/>
      <w:szCs w:val="18"/>
    </w:rPr>
  </w:style>
  <w:style w:type="paragraph" w:customStyle="1" w:styleId="2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style681"/>
    <w:basedOn w:val="16"/>
    <w:qFormat/>
    <w:uiPriority w:val="0"/>
    <w:rPr>
      <w:color w:val="000033"/>
      <w:sz w:val="20"/>
      <w:szCs w:val="20"/>
    </w:rPr>
  </w:style>
  <w:style w:type="character" w:customStyle="1" w:styleId="26">
    <w:name w:val="course_content1"/>
    <w:basedOn w:val="16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7">
    <w:name w:val="标题 1 字符"/>
    <w:basedOn w:val="16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8">
    <w:name w:val="标题 2 字符"/>
    <w:basedOn w:val="16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9">
    <w:name w:val="标题 3 字符"/>
    <w:basedOn w:val="16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30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1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2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4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6"/>
    <w:basedOn w:val="1"/>
    <w:qFormat/>
    <w:uiPriority w:val="34"/>
    <w:pPr>
      <w:ind w:firstLine="420" w:firstLineChars="200"/>
    </w:pPr>
  </w:style>
  <w:style w:type="paragraph" w:customStyle="1" w:styleId="36">
    <w:name w:val="正文楷体"/>
    <w:basedOn w:val="1"/>
    <w:qFormat/>
    <w:uiPriority w:val="0"/>
    <w:pPr>
      <w:spacing w:line="300" w:lineRule="auto"/>
    </w:pPr>
  </w:style>
  <w:style w:type="paragraph" w:customStyle="1" w:styleId="37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8">
    <w:name w:val="Bullet Level 1"/>
    <w:next w:val="37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9">
    <w:name w:val="number"/>
    <w:basedOn w:val="16"/>
    <w:qFormat/>
    <w:uiPriority w:val="0"/>
  </w:style>
  <w:style w:type="character" w:customStyle="1" w:styleId="40">
    <w:name w:val="apple-converted-space"/>
    <w:basedOn w:val="16"/>
    <w:qFormat/>
    <w:uiPriority w:val="0"/>
  </w:style>
  <w:style w:type="character" w:customStyle="1" w:styleId="41">
    <w:name w:val="a121"/>
    <w:qFormat/>
    <w:uiPriority w:val="0"/>
    <w:rPr>
      <w:sz w:val="18"/>
      <w:szCs w:val="18"/>
    </w:rPr>
  </w:style>
  <w:style w:type="paragraph" w:customStyle="1" w:styleId="42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3">
    <w:name w:val="小标题（红色）"/>
    <w:next w:val="42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6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1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2">
    <w:name w:val="s1"/>
    <w:basedOn w:val="16"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3">
    <w:name w:val="s2"/>
    <w:basedOn w:val="16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2162</Words>
  <Characters>2287</Characters>
  <Lines>17</Lines>
  <Paragraphs>4</Paragraphs>
  <TotalTime>3</TotalTime>
  <ScaleCrop>false</ScaleCrop>
  <LinksUpToDate>false</LinksUpToDate>
  <CharactersWithSpaces>2356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阿也.</cp:lastModifiedBy>
  <cp:lastPrinted>2015-07-07T09:25:00Z</cp:lastPrinted>
  <dcterms:modified xsi:type="dcterms:W3CDTF">2023-06-30T01:57:14Z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