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400" w:lineRule="exact"/>
        <w:jc w:val="distribute"/>
        <w:rPr>
          <w:rFonts w:hAnsi="Times New Roman"/>
          <w:b/>
          <w:color w:val="FF0000"/>
          <w:spacing w:val="-23"/>
          <w:w w:val="50"/>
          <w:sz w:val="28"/>
          <w:szCs w:val="28"/>
        </w:rPr>
      </w:pPr>
    </w:p>
    <w:p>
      <w:pPr>
        <w:spacing w:before="312" w:after="160" w:line="1100" w:lineRule="exact"/>
        <w:jc w:val="distribute"/>
        <w:rPr>
          <w:rFonts w:ascii="仿宋_GB2312" w:hAnsi="仿宋_GB2312" w:eastAsia="仿宋_GB2312"/>
          <w:color w:val="000000"/>
          <w:spacing w:val="-23"/>
          <w:w w:val="50"/>
          <w:sz w:val="32"/>
          <w:szCs w:val="32"/>
        </w:rPr>
      </w:pPr>
      <w:r>
        <w:rPr>
          <w:rFonts w:hAnsi="Times New Roman"/>
          <w:b/>
          <w:color w:val="FF0000"/>
          <w:spacing w:val="-23"/>
          <w:w w:val="50"/>
          <w:sz w:val="110"/>
          <w:szCs w:val="110"/>
        </w:rPr>
        <w:t>安易持（北京）安全技术研究院</w:t>
      </w:r>
      <w:r>
        <w:rPr>
          <w:rFonts w:eastAsia="宋体"/>
          <w:b/>
          <w:color w:val="FF0000"/>
          <w:spacing w:val="-23"/>
          <w:w w:val="50"/>
          <w:sz w:val="110"/>
          <w:szCs w:val="110"/>
        </w:rPr>
        <w:t>文件</w:t>
      </w:r>
    </w:p>
    <w:p>
      <w:pPr>
        <w:wordWrap w:val="0"/>
        <w:spacing w:before="312" w:after="160" w:line="320" w:lineRule="exact"/>
        <w:jc w:val="center"/>
        <w:rPr>
          <w:rFonts w:ascii="仿宋_GB2312" w:hAnsi="仿宋_GB2312" w:eastAsia="宋体"/>
          <w:color w:val="000000"/>
          <w:sz w:val="32"/>
          <w:szCs w:val="32"/>
        </w:rPr>
      </w:pPr>
      <w:r>
        <w:rPr>
          <w:rFonts w:eastAsia="宋体"/>
          <w:color w:val="000000"/>
          <w:sz w:val="28"/>
          <w:szCs w:val="28"/>
        </w:rPr>
        <w:t>安技培字</w:t>
      </w:r>
      <w:r>
        <w:rPr>
          <w:rFonts w:hint="eastAsia" w:eastAsia="宋体"/>
          <w:color w:val="000000"/>
          <w:sz w:val="28"/>
          <w:szCs w:val="28"/>
        </w:rPr>
        <w:t>（2023）06号</w:t>
      </w:r>
    </w:p>
    <w:p>
      <w:pPr>
        <w:wordWrap w:val="0"/>
        <w:spacing w:after="160" w:line="320" w:lineRule="exact"/>
        <w:jc w:val="center"/>
        <w:rPr>
          <w:rFonts w:eastAsia="宋体"/>
          <w:b/>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101600</wp:posOffset>
                </wp:positionV>
                <wp:extent cx="5903595" cy="5715"/>
                <wp:effectExtent l="0" t="0" r="1905" b="0"/>
                <wp:wrapNone/>
                <wp:docPr id="1" name="任意多边形 2"/>
                <wp:cNvGraphicFramePr/>
                <a:graphic xmlns:a="http://schemas.openxmlformats.org/drawingml/2006/main">
                  <a:graphicData uri="http://schemas.microsoft.com/office/word/2010/wordprocessingShape">
                    <wps:wsp>
                      <wps:cNvSpPr txBox="1"/>
                      <wps:spPr>
                        <a:xfrm>
                          <a:off x="0" y="0"/>
                          <a:ext cx="5903595" cy="5715"/>
                        </a:xfrm>
                        <a:custGeom>
                          <a:avLst/>
                          <a:gdLst>
                            <a:gd name="TX0" fmla="*/ 0 w 5899785"/>
                            <a:gd name="TY0" fmla="*/ 0 h 1905"/>
                            <a:gd name="TX1" fmla="*/ 5899785 w 5899785"/>
                            <a:gd name="TY1" fmla="*/ 1905 h 1905"/>
                          </a:gdLst>
                          <a:ahLst/>
                          <a:cxnLst>
                            <a:cxn ang="0">
                              <a:pos x="TX0" y="TY0"/>
                            </a:cxn>
                            <a:cxn ang="0">
                              <a:pos x="TX1" y="TY1"/>
                            </a:cxn>
                          </a:cxnLst>
                          <a:rect l="l" t="t" r="r" b="b"/>
                          <a:pathLst>
                            <a:path w="5899785" h="1905">
                              <a:moveTo>
                                <a:pt x="0" y="0"/>
                              </a:moveTo>
                              <a:lnTo>
                                <a:pt x="5899785" y="1905"/>
                              </a:lnTo>
                            </a:path>
                          </a:pathLst>
                        </a:custGeom>
                        <a:noFill/>
                        <a:ln w="22225" cap="flat" cmpd="sng">
                          <a:solidFill>
                            <a:prstClr val="red"/>
                          </a:solidFill>
                          <a:prstDash val="solid"/>
                          <a:headEnd type="none" w="med" len="med"/>
                          <a:tailEnd type="none" w="med" len="med"/>
                        </a:ln>
                      </wps:spPr>
                      <wps:txbx>
                        <w:txbxContent>
                          <w:p>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2" o:spid="_x0000_s1026" o:spt="100" style="position:absolute;left:0pt;margin-left:8.25pt;margin-top:8pt;height:0.45pt;width:464.85pt;z-index:251662336;v-text-anchor:middle;mso-width-relative:page;mso-height-relative:page;" filled="f" stroked="t" coordsize="5899785,1905" o:gfxdata="UEsDBAoAAAAAAIdO4kAAAAAAAAAAAAAAAAAEAAAAZHJzL1BLAwQUAAAACACHTuJAROSDV9QAAAAI&#10;AQAADwAAAGRycy9kb3ducmV2LnhtbE1PPU/DMBDdkfgP1iGxIOq0tCkOcTogscBEQHS9xm4SiM9R&#10;7Cbl33OZ6HR6957eR747u06MdgitJw3LRQLCUuVNS7WGz4+X+0cQISIZ7DxZDb82wK64vsoxM36i&#10;dzuWsRZsQiFDDU2MfSZlqBrrMCx8b4m5ox8cRoZDLc2AE5u7Tq6SJJUOW+KEBnv73Njqpzw5DeP3&#10;K01qo9RXeVy/bfcjursH1Pr2Zpk8gYj2HP/FMNfn6lBwp4M/kQmiY5xuWDlfnsS8WqcrEIf5oUAW&#10;ubwcUPwBUEsDBBQAAAAIAIdO4kDfeXdVMwMAAOIGAAAOAAAAZHJzL2Uyb0RvYy54bWytVU1vEzEQ&#10;vSPxH6w9ItHdBAWSqElVGoqQKlqpQZSj4/VmV/IXtpNsOXPnzhHxJ1AFv4YifgbP3s0HLaAeyGEz&#10;9rx9nnkznt0/qKUgS25dpdUo6exlCeGK6bxS81Hyanr8sJ8Q56nKqdCKj5JL7pKD8f17+ysz5F1d&#10;apFzS0Ci3HBlRknpvRmmqWMll9TtacMVnIW2knos7TzNLV2BXYq0m2WP05W2ubGaceewO2mcScto&#10;70Koi6JifKLZQnLlG1bLBfVIyZWVcck4RlsUnPnTonDcEzFKkKmPTxwCexae6XifDueWmrJibQj0&#10;LiHcyEnSSuHQDdWEekoWtrpFJStmtdOF32Napk0iURFk0cluaHNeUsNjLpDamY3o7v/RspfLM0uq&#10;HJ2QEEUlCv796urH+w/Xnz/+/Pbl+usn0g0irYwbAntugPb1U12HF9p9h82Qe11YGf6RFYEfEl9u&#10;JOa1JwybvUH2qDfoJYTB13vS6QWSdPsuWzj/nOvIQ5cnzjcFymFFefM2yOkF6AspUKwHKcnIivT6&#10;g8GTfuRDGTa4N7/jStIZZLdAF0h+Q9YS/YNyFx3oyJYVqczXwdJyHT+rVZsALELDTctiuxjtglQx&#10;GwgyRbSNHsCFfP8GRwQRHmuAMyO8+W8Psmj90PQiNr1PCJrexqafhSPo0FAf4lubZIV6tBKSEtUN&#10;MgWn1Es+1RHmb5QVB269Qu2iNlQIc6044A0IRjg9Fn4TRoh+p/hKH1dCxEiFCsF18Qt9QzFzCtx1&#10;mNKgb52axzidFlUe3omhWuePhCVLCgksz1tVb2Em1JUNKLoaZUpO82cqJ/7S4DooTMEkBCBBQwTH&#10;0AxWjMzTStwFGTNHuuEWNbclWL6e1aAJ5kznl7hZVjcDyhl2XCGFE+r8GbVocnQxZrY/xaMQGtGg&#10;KtFKSKntuz/tBzwGBbwIHxMOUr1dUItkxAuFEdLvDzLQ+rjoZf2wsLue2a5HLeSRhpjoPEQXzYD3&#10;Ym0WVsvXGO2H4VS4qGI4e5Qwj7ZrFke+mbz4ODB+eBhhC2OreYlXQIyRiHY4UeeGBR+0iYph9MVW&#10;acd0mK2764jafprG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E5INX1AAAAAgBAAAPAAAAAAAA&#10;AAEAIAAAACIAAABkcnMvZG93bnJldi54bWxQSwECFAAUAAAACACHTuJA33l3VTMDAADiBgAADgAA&#10;AAAAAAABACAAAAAjAQAAZHJzL2Uyb0RvYy54bWxQSwUGAAAAAAYABgBZAQAAyAYAAAAA&#10;" path="m0,0l5899785,1905e">
                <v:path textboxrect="0,0,5899785,1905" o:connectlocs="0,0;5903595,5715" o:connectangles="0,0"/>
                <v:fill on="f" focussize="0,0"/>
                <v:stroke weight="1.75pt" color="#FF0000" joinstyle="round"/>
                <v:imagedata o:title=""/>
                <o:lock v:ext="edit" aspectratio="f"/>
                <v:textbox inset="7pt,4pt,7pt,4pt">
                  <w:txbxContent>
                    <w:p>
                      <w:pPr>
                        <w:wordWrap w:val="0"/>
                        <w:spacing w:after="160"/>
                        <w:rPr>
                          <w:rFonts w:eastAsia="宋体"/>
                        </w:rPr>
                      </w:pPr>
                    </w:p>
                  </w:txbxContent>
                </v:textbox>
              </v:shape>
            </w:pict>
          </mc:Fallback>
        </mc:AlternateContent>
      </w:r>
    </w:p>
    <w:p>
      <w:pPr>
        <w:wordWrap w:val="0"/>
        <w:spacing w:after="80" w:line="420" w:lineRule="exact"/>
        <w:jc w:val="center"/>
        <w:rPr>
          <w:rFonts w:eastAsia="宋体"/>
          <w:b/>
          <w:color w:val="000000"/>
          <w:sz w:val="32"/>
          <w:szCs w:val="32"/>
        </w:rPr>
      </w:pPr>
      <w:bookmarkStart w:id="0" w:name="_Hlk70342788"/>
      <w:r>
        <w:rPr>
          <w:rFonts w:eastAsia="宋体"/>
          <w:b/>
          <w:color w:val="000000"/>
          <w:sz w:val="32"/>
          <w:szCs w:val="32"/>
        </w:rPr>
        <w:t>关于</w:t>
      </w:r>
      <w:r>
        <w:rPr>
          <w:rFonts w:hint="eastAsia" w:eastAsia="宋体"/>
          <w:b/>
          <w:color w:val="000000"/>
          <w:sz w:val="32"/>
          <w:szCs w:val="32"/>
        </w:rPr>
        <w:t>开展</w:t>
      </w:r>
      <w:bookmarkEnd w:id="0"/>
      <w:r>
        <w:rPr>
          <w:rFonts w:eastAsia="宋体"/>
          <w:b/>
          <w:color w:val="000000"/>
          <w:sz w:val="32"/>
          <w:szCs w:val="32"/>
        </w:rPr>
        <w:t>全面构建现代化安全生产治理体系、提升安全领导力与执行力暨高级</w:t>
      </w:r>
      <w:r>
        <w:rPr>
          <w:rFonts w:hAnsi="Times New Roman"/>
          <w:b/>
          <w:color w:val="000000"/>
          <w:sz w:val="32"/>
          <w:szCs w:val="32"/>
        </w:rPr>
        <w:t>《</w:t>
      </w:r>
      <w:r>
        <w:rPr>
          <w:rFonts w:eastAsia="宋体"/>
          <w:b/>
          <w:color w:val="000000"/>
          <w:sz w:val="32"/>
          <w:szCs w:val="32"/>
        </w:rPr>
        <w:t>安全工程管理师</w:t>
      </w:r>
      <w:r>
        <w:rPr>
          <w:rFonts w:hAnsi="Times New Roman"/>
          <w:b/>
          <w:color w:val="000000"/>
          <w:sz w:val="32"/>
          <w:szCs w:val="32"/>
        </w:rPr>
        <w:t>》</w:t>
      </w:r>
      <w:r>
        <w:rPr>
          <w:rFonts w:hint="eastAsia" w:asciiTheme="minorEastAsia" w:hAnsiTheme="minorEastAsia" w:eastAsiaTheme="minorEastAsia"/>
          <w:b/>
          <w:color w:val="000000"/>
          <w:sz w:val="32"/>
          <w:szCs w:val="32"/>
        </w:rPr>
        <w:t>研修班</w:t>
      </w:r>
      <w:r>
        <w:rPr>
          <w:rFonts w:asciiTheme="minorEastAsia" w:hAnsiTheme="minorEastAsia" w:eastAsiaTheme="minorEastAsia"/>
          <w:b/>
          <w:color w:val="000000"/>
          <w:sz w:val="32"/>
          <w:szCs w:val="32"/>
        </w:rPr>
        <w:t>的通知</w:t>
      </w:r>
    </w:p>
    <w:p>
      <w:pPr>
        <w:wordWrap w:val="0"/>
        <w:spacing w:line="420" w:lineRule="exact"/>
        <w:rPr>
          <w:rFonts w:eastAsia="宋体" w:cs="宋体"/>
          <w:sz w:val="28"/>
          <w:szCs w:val="28"/>
        </w:rPr>
      </w:pPr>
      <w:r>
        <w:rPr>
          <w:rFonts w:hint="eastAsia" w:eastAsia="宋体" w:cs="宋体"/>
          <w:sz w:val="28"/>
          <w:szCs w:val="28"/>
        </w:rPr>
        <w:t>各有关单位：</w:t>
      </w:r>
    </w:p>
    <w:p>
      <w:pPr>
        <w:spacing w:line="420" w:lineRule="exact"/>
        <w:ind w:firstLine="420"/>
        <w:rPr>
          <w:rFonts w:eastAsia="宋体" w:cs="宋体"/>
          <w:sz w:val="28"/>
          <w:szCs w:val="28"/>
        </w:rPr>
      </w:pPr>
      <w:r>
        <w:rPr>
          <w:rFonts w:hint="eastAsia" w:eastAsia="宋体" w:cs="宋体"/>
          <w:sz w:val="28"/>
          <w:szCs w:val="28"/>
        </w:rPr>
        <w:t>现阶段，全面学习并落实习近平总书记关于安全生产工作的一系列重要指示和党中央、国务院决策部署以及《“十四五”国家安全生产规划》，依然是安全生产和应急管理工作的重点。</w:t>
      </w:r>
    </w:p>
    <w:p>
      <w:pPr>
        <w:wordWrap w:val="0"/>
        <w:spacing w:line="420" w:lineRule="exact"/>
        <w:ind w:firstLine="560" w:firstLineChars="200"/>
        <w:rPr>
          <w:rFonts w:eastAsia="宋体" w:cs="宋体"/>
          <w:sz w:val="28"/>
          <w:szCs w:val="28"/>
        </w:rPr>
      </w:pPr>
      <w:r>
        <w:rPr>
          <w:rFonts w:hint="eastAsia" w:eastAsia="宋体" w:cs="宋体"/>
          <w:sz w:val="28"/>
          <w:szCs w:val="28"/>
        </w:rPr>
        <w:t>为了帮助生产经营单位和地方政府相关部门深刻领会全国建设社会主义现代化国家的重大战略部署，坚持总体国家安全观，完善应急管理体系，提高安全领导力与执行力，全力化解风险挑战，解决根本问题，厘清管理逻辑，科学规划建立管理体系，从根本上消除事故隐患，防范遏制各类重特大事故，在大安全大应急的框架下，最终实现安全生产管理体系和治理能力现代化建设，结合广大企事业单位和新老学员的要求，本院决定开展线上和线下相结合的安全生产和应急管理专题培训班。现将有关事宜通知如下：</w:t>
      </w:r>
    </w:p>
    <w:p>
      <w:pPr>
        <w:wordWrap w:val="0"/>
        <w:spacing w:line="420" w:lineRule="exact"/>
        <w:outlineLvl w:val="0"/>
        <w:rPr>
          <w:rFonts w:eastAsia="宋体" w:cs="宋体"/>
          <w:b/>
          <w:sz w:val="28"/>
          <w:szCs w:val="28"/>
        </w:rPr>
      </w:pPr>
      <w:r>
        <w:rPr>
          <w:rFonts w:hint="eastAsia" w:eastAsia="宋体" w:cs="宋体"/>
          <w:sz w:val="28"/>
          <w:szCs w:val="28"/>
        </w:rPr>
        <w:t>一、</w:t>
      </w:r>
      <w:r>
        <w:rPr>
          <w:rFonts w:hint="eastAsia" w:eastAsia="宋体" w:cs="宋体"/>
          <w:b/>
          <w:sz w:val="28"/>
          <w:szCs w:val="28"/>
        </w:rPr>
        <w:t>培训对象</w:t>
      </w:r>
    </w:p>
    <w:p>
      <w:pPr>
        <w:wordWrap w:val="0"/>
        <w:spacing w:line="420" w:lineRule="exact"/>
        <w:ind w:firstLine="560" w:firstLineChars="200"/>
        <w:rPr>
          <w:rFonts w:eastAsia="宋体" w:cs="宋体"/>
          <w:sz w:val="28"/>
          <w:szCs w:val="28"/>
        </w:rPr>
      </w:pPr>
      <w:r>
        <w:rPr>
          <w:rFonts w:hint="eastAsia" w:eastAsia="宋体" w:cs="宋体"/>
          <w:sz w:val="28"/>
          <w:szCs w:val="28"/>
        </w:rPr>
        <w:t>地方各级政府及相关行业主管部门应急管理、安全生产监管人员；开发区、乡镇、街道应急管理部门相关人员；交通运输、建筑施工、非煤矿山、金属冶炼、危险化学品、水务、文旅、电力等各行业领域企事业单位分管领导、相关业务负责人和安全应急管理人员；有关行业协会、团体安全与应急管理人员。</w:t>
      </w:r>
    </w:p>
    <w:p>
      <w:pPr>
        <w:wordWrap w:val="0"/>
        <w:spacing w:line="420" w:lineRule="exact"/>
        <w:outlineLvl w:val="0"/>
        <w:rPr>
          <w:rFonts w:eastAsia="宋体" w:cs="宋体"/>
          <w:b/>
          <w:bCs/>
          <w:sz w:val="28"/>
          <w:szCs w:val="28"/>
        </w:rPr>
      </w:pPr>
      <w:r>
        <w:rPr>
          <w:rFonts w:hint="eastAsia" w:eastAsia="宋体" w:cs="宋体"/>
          <w:b/>
          <w:bCs/>
          <w:sz w:val="28"/>
          <w:szCs w:val="28"/>
        </w:rPr>
        <w:t>二、培训方式</w:t>
      </w:r>
    </w:p>
    <w:p>
      <w:pPr>
        <w:pStyle w:val="39"/>
        <w:wordWrap w:val="0"/>
        <w:spacing w:line="420" w:lineRule="exact"/>
        <w:ind w:left="0" w:firstLine="560" w:firstLineChars="200"/>
        <w:jc w:val="left"/>
        <w:rPr>
          <w:rFonts w:eastAsia="宋体" w:cs="宋体"/>
          <w:sz w:val="28"/>
          <w:szCs w:val="28"/>
        </w:rPr>
      </w:pPr>
      <w:r>
        <w:rPr>
          <w:rFonts w:hint="eastAsia" w:eastAsia="宋体" w:cs="宋体"/>
          <w:sz w:val="28"/>
          <w:szCs w:val="28"/>
        </w:rPr>
        <w:t>面授及网课相结合的模式，面授课程进行网上直播。全课题多学时网课实时更新，电脑/手机随时回放学习，同时可为参加网课学员提供后续现场面授、案例研讨培训。业内权威专家授课，理论和实际相结合。</w:t>
      </w:r>
    </w:p>
    <w:p>
      <w:pPr>
        <w:pStyle w:val="39"/>
        <w:wordWrap w:val="0"/>
        <w:spacing w:line="420" w:lineRule="exact"/>
        <w:ind w:left="0"/>
        <w:jc w:val="left"/>
        <w:outlineLvl w:val="0"/>
        <w:rPr>
          <w:rFonts w:eastAsia="宋体" w:cs="宋体"/>
          <w:b/>
          <w:bCs/>
          <w:sz w:val="28"/>
          <w:szCs w:val="28"/>
        </w:rPr>
      </w:pPr>
      <w:r>
        <w:rPr>
          <w:rFonts w:hint="eastAsia" w:eastAsia="宋体" w:cs="宋体"/>
          <w:b/>
          <w:bCs/>
          <w:sz w:val="28"/>
          <w:szCs w:val="28"/>
        </w:rPr>
        <w:t>三、培训课程体系</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1、国家安全生产应急管理相关政策法规解读</w:t>
      </w:r>
    </w:p>
    <w:p>
      <w:pPr>
        <w:pStyle w:val="39"/>
        <w:wordWrap w:val="0"/>
        <w:spacing w:line="420" w:lineRule="exact"/>
        <w:ind w:left="0" w:firstLine="562" w:firstLineChars="200"/>
        <w:jc w:val="left"/>
        <w:rPr>
          <w:rFonts w:eastAsia="宋体" w:cs="宋体"/>
          <w:sz w:val="28"/>
          <w:szCs w:val="28"/>
        </w:rPr>
      </w:pPr>
      <w:r>
        <w:rPr>
          <w:rFonts w:hint="eastAsia" w:eastAsia="宋体" w:cs="宋体"/>
          <w:b/>
          <w:bCs/>
          <w:sz w:val="28"/>
          <w:szCs w:val="28"/>
        </w:rPr>
        <w:t>（1）学习贯彻中共中央二十大报告、“十四五”国家安全生产规划、提高公共安全治理水平：</w:t>
      </w:r>
      <w:r>
        <w:rPr>
          <w:rFonts w:hint="eastAsia" w:eastAsia="宋体" w:cs="宋体"/>
          <w:sz w:val="28"/>
          <w:szCs w:val="28"/>
        </w:rPr>
        <w:t>建立大安全大应急框架，完善公共安全体系，推动公共安全治理模式向事前预防转型。</w:t>
      </w:r>
      <w:r>
        <w:rPr>
          <w:rFonts w:hint="eastAsia" w:eastAsia="宋体" w:cs="宋体"/>
          <w:bCs/>
          <w:sz w:val="28"/>
          <w:szCs w:val="28"/>
        </w:rPr>
        <w:t>帮助生产经营单位提前做好安全工作规划安排，以及作为政府应急管理部门和企业安全管理部门的工作指引。</w:t>
      </w:r>
    </w:p>
    <w:p>
      <w:pPr>
        <w:pStyle w:val="39"/>
        <w:wordWrap w:val="0"/>
        <w:spacing w:line="420" w:lineRule="exact"/>
        <w:ind w:left="0" w:firstLine="562" w:firstLineChars="200"/>
        <w:jc w:val="left"/>
        <w:rPr>
          <w:rFonts w:eastAsia="宋体" w:cs="宋体"/>
          <w:sz w:val="28"/>
          <w:szCs w:val="28"/>
        </w:rPr>
      </w:pPr>
      <w:r>
        <w:rPr>
          <w:rFonts w:hint="eastAsia" w:eastAsia="宋体" w:cs="宋体"/>
          <w:b/>
          <w:bCs/>
          <w:sz w:val="28"/>
          <w:szCs w:val="28"/>
        </w:rPr>
        <w:t>（2）落实习近平总书记关于安全生产和应急管理工作重要论述：</w:t>
      </w:r>
      <w:r>
        <w:rPr>
          <w:rFonts w:hint="eastAsia" w:eastAsia="宋体" w:cs="宋体"/>
          <w:sz w:val="28"/>
          <w:szCs w:val="28"/>
        </w:rPr>
        <w:t>党和国家领导人将安全生产工作提到了一个前所未有的高度，安全生产工作要突出党的领导，结合企事业单位实际案例，充分阐述应如何牢固树立安全发展理念、加强安全生产监管、完善现代化应急管理体系。</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（3）《安全生产法》（2021版）：</w:t>
      </w:r>
      <w:r>
        <w:rPr>
          <w:rFonts w:hint="eastAsia" w:eastAsia="宋体" w:cs="宋体"/>
          <w:bCs/>
          <w:sz w:val="28"/>
          <w:szCs w:val="28"/>
        </w:rPr>
        <w:t>修订的背景及思路；解读安全生产法修订条款核心要求；应用实际企事业单位安全管理的案例诠释安全生产法重点条款有效落实的思路与方法。</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（4）《刑法修正案》（十一）：</w:t>
      </w:r>
      <w:r>
        <w:rPr>
          <w:rFonts w:hint="eastAsia" w:eastAsia="宋体" w:cs="宋体"/>
          <w:bCs/>
          <w:sz w:val="28"/>
          <w:szCs w:val="28"/>
        </w:rPr>
        <w:t>结合安全生产事故判例，对刑法修正案的的有关罪名、法条等内容进行解读，指导企事业单位如何有效规避主要负责人和安全管理人员的安全从业风险。</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2、安全与应急管理工作实务</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（1）现代安全管理之路：</w:t>
      </w:r>
      <w:r>
        <w:rPr>
          <w:rFonts w:hint="eastAsia" w:eastAsia="宋体" w:cs="宋体"/>
          <w:bCs/>
          <w:sz w:val="28"/>
          <w:szCs w:val="28"/>
        </w:rPr>
        <w:t>结合企事业单位实际情况，对安全生产的基本认识和理念进行分析；将先进安全管理理念及经验与学员分享；深入浅出讲解杜邦安全文化四阶段的形成及启示；杜邦 “十大安全管理理念”解析；现场6S管理解析等。</w:t>
      </w:r>
    </w:p>
    <w:p>
      <w:pPr>
        <w:pStyle w:val="39"/>
        <w:wordWrap w:val="0"/>
        <w:spacing w:line="420" w:lineRule="exact"/>
        <w:ind w:left="0" w:firstLine="562" w:firstLineChars="200"/>
        <w:jc w:val="left"/>
        <w:rPr>
          <w:rFonts w:eastAsia="宋体" w:cs="宋体"/>
          <w:sz w:val="28"/>
          <w:szCs w:val="28"/>
        </w:rPr>
      </w:pPr>
      <w:r>
        <w:rPr>
          <w:rFonts w:hint="eastAsia" w:eastAsia="宋体" w:cs="宋体"/>
          <w:b/>
          <w:bCs/>
          <w:sz w:val="28"/>
          <w:szCs w:val="28"/>
        </w:rPr>
        <w:t>（2）安全领导力与执行力提升：</w:t>
      </w:r>
      <w:r>
        <w:rPr>
          <w:rFonts w:hint="eastAsia" w:eastAsia="宋体" w:cs="宋体"/>
          <w:sz w:val="28"/>
          <w:szCs w:val="28"/>
        </w:rPr>
        <w:t>安全领导力是企业各层级领导者在管辖范围内充分利用各种资源，带领团队实现安全目标的能力。安全执行力是将安全管理制度准确执行，实现安全目标和愿景重要保证。</w:t>
      </w:r>
    </w:p>
    <w:p>
      <w:pPr>
        <w:pStyle w:val="39"/>
        <w:wordWrap w:val="0"/>
        <w:spacing w:line="420" w:lineRule="exact"/>
        <w:ind w:left="0" w:firstLine="562" w:firstLineChars="200"/>
        <w:jc w:val="left"/>
        <w:rPr>
          <w:rFonts w:eastAsia="宋体" w:cs="宋体"/>
          <w:color w:val="C00000"/>
          <w:sz w:val="28"/>
          <w:szCs w:val="28"/>
        </w:rPr>
      </w:pPr>
      <w:r>
        <w:rPr>
          <w:rFonts w:hint="eastAsia" w:eastAsia="宋体" w:cs="宋体"/>
          <w:b/>
          <w:bCs/>
          <w:sz w:val="28"/>
          <w:szCs w:val="28"/>
        </w:rPr>
        <w:t>（3）以合规管理促进企业主体责任落实：</w:t>
      </w:r>
      <w:r>
        <w:rPr>
          <w:rFonts w:hint="eastAsia" w:eastAsia="宋体" w:cs="宋体"/>
          <w:sz w:val="28"/>
          <w:szCs w:val="28"/>
        </w:rPr>
        <w:t>通过合规管理和三道防线的思路，来推动企业安全生产责任制的落实，解决普遍存在的尽职履责方面的漏洞和问题。</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（4）“双重预防机制”实务：</w:t>
      </w:r>
      <w:r>
        <w:rPr>
          <w:rFonts w:hint="eastAsia" w:eastAsia="宋体" w:cs="宋体"/>
          <w:sz w:val="28"/>
          <w:szCs w:val="28"/>
        </w:rPr>
        <w:t>结合企业实际现状介绍双重预防机制建设流程及核心要求；机制对事故的遏制机理分析；机制建设中容易出现的问题及解决思路；选取实际案例进行研讨交流。</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（5）企业安全生产标准化达标创建：</w:t>
      </w:r>
      <w:r>
        <w:rPr>
          <w:rFonts w:hint="eastAsia" w:eastAsia="宋体" w:cs="宋体"/>
          <w:bCs/>
          <w:sz w:val="28"/>
          <w:szCs w:val="28"/>
        </w:rPr>
        <w:t>《企业安全生产标准化基本规范》的核心要素解读，安全生产标准化创建流程介绍、标准化工作案例分享；</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（6）危险作业管理：</w:t>
      </w:r>
      <w:r>
        <w:rPr>
          <w:rFonts w:hint="eastAsia" w:eastAsia="宋体" w:cs="宋体"/>
          <w:bCs/>
          <w:sz w:val="28"/>
          <w:szCs w:val="28"/>
        </w:rPr>
        <w:t>结合企业危险作业现场情况与实际事故案例，对典型危险作业管理要求，开展风险分析与管控指导。</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（7）安全生产现场管理：</w:t>
      </w:r>
      <w:r>
        <w:rPr>
          <w:rFonts w:hint="eastAsia" w:eastAsia="宋体" w:cs="宋体"/>
          <w:bCs/>
          <w:sz w:val="28"/>
          <w:szCs w:val="28"/>
        </w:rPr>
        <w:t>围绕企业现场安全管理现状与实际事故案例，对设备管理、挂牌上锁管理、承包商管理等重点内容，开展风险分析与管控指导。</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（8）班组安全建设：</w:t>
      </w:r>
      <w:r>
        <w:rPr>
          <w:rFonts w:hint="eastAsia" w:eastAsia="宋体" w:cs="宋体"/>
          <w:bCs/>
          <w:sz w:val="28"/>
          <w:szCs w:val="28"/>
        </w:rPr>
        <w:t>结合企业班组安全管理要求、对班组长、一线员工如何有效避免违章指挥、违章操作、违反劳动纪律等“三违”行为进行解读分析，并通过实际案例分析推进班组安全体系建设相关内容。</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（9）“涉危企业”危化品安全管理实务：</w:t>
      </w:r>
      <w:r>
        <w:rPr>
          <w:rFonts w:hint="eastAsia" w:eastAsia="宋体" w:cs="宋体"/>
          <w:sz w:val="28"/>
          <w:szCs w:val="28"/>
        </w:rPr>
        <w:t>针对涉危企业危险化学品的采购、储存、使用、废弃等全生命周期中涉及的安全问题进行分析探讨，解析企业如何防范危化品事故的发生。</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（10）生产经营单位事故应急救援体系建设：</w:t>
      </w:r>
      <w:r>
        <w:rPr>
          <w:rFonts w:hint="eastAsia" w:eastAsia="宋体" w:cs="宋体"/>
          <w:bCs/>
          <w:sz w:val="28"/>
          <w:szCs w:val="28"/>
        </w:rPr>
        <w:t>《生产经营单位生产安全事故应急预案编制导则》（GB/T 29639-2020）：新导则修订核心要求分析；新导则下的应急预案编写要求；应急管理的理念与思路解析；应急演练与评估、应急装备介绍。</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（11）职业健康管理与ISO45001职业健康安全管理体系深度融合：</w:t>
      </w:r>
      <w:r>
        <w:rPr>
          <w:rFonts w:hint="eastAsia" w:eastAsia="宋体" w:cs="宋体"/>
          <w:bCs/>
          <w:sz w:val="28"/>
          <w:szCs w:val="28"/>
        </w:rPr>
        <w:t>机构职能调整后，结合《职业健康安全管理体系》（ISO45001 GB/T 45001-2020）的核心要素解读，企业开展职业健康安全管理体系的重点、难点解析，如何与企业现行安全管理实现深度融合。</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 xml:space="preserve">（12）企业安全文化建设： </w:t>
      </w:r>
      <w:r>
        <w:rPr>
          <w:rFonts w:hint="eastAsia" w:eastAsia="宋体" w:cs="宋体"/>
          <w:bCs/>
          <w:sz w:val="28"/>
          <w:szCs w:val="28"/>
        </w:rPr>
        <w:t>结合企业安全生产标准化基本规范关于安全文化建设相关要求、《企业安全文化建设导则》和《全国安全文化建设示范企业评价标准》，解读分析企业应如何开展安全文化创建工作。</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（13）国际安全生产管理的经验介绍与借鉴：</w:t>
      </w:r>
      <w:r>
        <w:rPr>
          <w:rFonts w:hint="eastAsia" w:eastAsia="宋体" w:cs="宋体"/>
          <w:bCs/>
          <w:sz w:val="28"/>
          <w:szCs w:val="28"/>
        </w:rPr>
        <w:t>随着经济的发展，国际交流日益增加，通过国外先进的安全理念和管理经验分享，在工作中可以借鉴。</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（14）承包商安全管理：</w:t>
      </w:r>
      <w:r>
        <w:rPr>
          <w:rFonts w:hint="eastAsia" w:eastAsia="宋体" w:cs="宋体"/>
          <w:bCs/>
          <w:sz w:val="28"/>
          <w:szCs w:val="28"/>
        </w:rPr>
        <w:t>承包商安全一直是安全工作的老大难。从政策法规要求、管理流程及常见问题三方面，分析并提出建议。</w:t>
      </w:r>
    </w:p>
    <w:p>
      <w:pPr>
        <w:pStyle w:val="39"/>
        <w:wordWrap w:val="0"/>
        <w:spacing w:line="420" w:lineRule="exact"/>
        <w:ind w:left="0" w:firstLine="562" w:firstLineChars="200"/>
        <w:jc w:val="left"/>
        <w:rPr>
          <w:rFonts w:eastAsia="宋体" w:cs="宋体"/>
          <w:bCs/>
          <w:sz w:val="28"/>
          <w:szCs w:val="28"/>
        </w:rPr>
      </w:pPr>
      <w:r>
        <w:rPr>
          <w:rFonts w:hint="eastAsia" w:eastAsia="宋体" w:cs="宋体"/>
          <w:b/>
          <w:sz w:val="28"/>
          <w:szCs w:val="28"/>
        </w:rPr>
        <w:t>（15）</w:t>
      </w:r>
      <w:r>
        <w:rPr>
          <w:rFonts w:hint="eastAsia" w:eastAsia="宋体" w:cs="宋体"/>
          <w:b/>
          <w:bCs/>
          <w:sz w:val="28"/>
          <w:szCs w:val="28"/>
        </w:rPr>
        <w:t>企业全员安全生产责任制创建实务：</w:t>
      </w:r>
      <w:r>
        <w:rPr>
          <w:rFonts w:hint="eastAsia" w:eastAsia="宋体" w:cs="宋体"/>
          <w:bCs/>
          <w:sz w:val="28"/>
          <w:szCs w:val="28"/>
        </w:rPr>
        <w:t>如何正确理解“失职追责、尽职免责”，全员安全生产责任制创建将指导企事业单位主要负责人和安全管理人员真正做到职责明确，责任落实到岗到人，分解安全管理工作风险。</w:t>
      </w:r>
    </w:p>
    <w:p>
      <w:pPr>
        <w:pStyle w:val="39"/>
        <w:wordWrap w:val="0"/>
        <w:spacing w:line="420" w:lineRule="exact"/>
        <w:ind w:left="0" w:firstLine="562" w:firstLineChars="200"/>
        <w:jc w:val="left"/>
        <w:rPr>
          <w:rFonts w:eastAsia="宋体" w:cs="宋体"/>
          <w:b/>
          <w:bCs/>
          <w:sz w:val="28"/>
          <w:szCs w:val="28"/>
        </w:rPr>
      </w:pPr>
      <w:r>
        <w:rPr>
          <w:rFonts w:hint="eastAsia" w:eastAsia="宋体" w:cs="宋体"/>
          <w:b/>
          <w:bCs/>
          <w:sz w:val="28"/>
          <w:szCs w:val="28"/>
        </w:rPr>
        <w:t>3、安全科技发展动态</w:t>
      </w:r>
    </w:p>
    <w:p>
      <w:pPr>
        <w:pStyle w:val="39"/>
        <w:wordWrap w:val="0"/>
        <w:spacing w:line="420" w:lineRule="exact"/>
        <w:ind w:left="0" w:firstLine="562" w:firstLineChars="200"/>
        <w:jc w:val="left"/>
        <w:rPr>
          <w:rFonts w:eastAsia="宋体" w:cs="宋体"/>
          <w:bCs/>
          <w:sz w:val="28"/>
          <w:szCs w:val="28"/>
        </w:rPr>
      </w:pPr>
      <w:r>
        <w:rPr>
          <w:rFonts w:hint="eastAsia" w:eastAsia="宋体" w:cs="宋体"/>
          <w:b/>
          <w:bCs/>
          <w:sz w:val="28"/>
          <w:szCs w:val="28"/>
        </w:rPr>
        <w:t>（1）安全信息化的发展：</w:t>
      </w:r>
      <w:r>
        <w:rPr>
          <w:rFonts w:hint="eastAsia" w:eastAsia="宋体" w:cs="宋体"/>
          <w:bCs/>
          <w:sz w:val="28"/>
          <w:szCs w:val="28"/>
        </w:rPr>
        <w:t>信息化对企业安全工作的促进作用，如何有效利用信息化、互联网等手段，推进企业安全管理高效化、精准化、智能化。</w:t>
      </w:r>
    </w:p>
    <w:p>
      <w:pPr>
        <w:wordWrap w:val="0"/>
        <w:spacing w:line="420" w:lineRule="exact"/>
        <w:ind w:firstLine="562" w:firstLineChars="200"/>
        <w:jc w:val="left"/>
        <w:rPr>
          <w:rFonts w:eastAsia="宋体" w:cs="宋体"/>
          <w:bCs/>
          <w:sz w:val="28"/>
          <w:szCs w:val="28"/>
        </w:rPr>
      </w:pPr>
      <w:r>
        <w:rPr>
          <w:rFonts w:hint="eastAsia" w:eastAsia="宋体" w:cs="宋体"/>
          <w:b/>
          <w:bCs/>
          <w:sz w:val="28"/>
          <w:szCs w:val="28"/>
        </w:rPr>
        <w:t>（2）互联网、物联网应用对安全管理工作的影响：</w:t>
      </w:r>
      <w:r>
        <w:rPr>
          <w:rFonts w:hint="eastAsia" w:eastAsia="宋体" w:cs="宋体"/>
          <w:bCs/>
          <w:sz w:val="28"/>
          <w:szCs w:val="28"/>
        </w:rPr>
        <w:t>工业互联网+安全生产三年行动计划的推进，为生产经营单位和政府监管部门在安全管理工作的变革提供了新的思路和方法，传统安全管理模式已经不适应新的发展形势和风险的快速变化，如何有效应对这种变化，课程将从新的思路、新的视角为大家进行解读，拓宽安全管理的手段和思路。</w:t>
      </w:r>
    </w:p>
    <w:p>
      <w:pPr>
        <w:wordWrap w:val="0"/>
        <w:spacing w:line="420" w:lineRule="exact"/>
        <w:jc w:val="left"/>
        <w:outlineLvl w:val="0"/>
        <w:rPr>
          <w:rFonts w:eastAsia="宋体" w:cs="宋体"/>
          <w:b/>
          <w:sz w:val="28"/>
          <w:szCs w:val="28"/>
        </w:rPr>
      </w:pPr>
      <w:r>
        <w:rPr>
          <w:rFonts w:hint="eastAsia" w:eastAsia="宋体" w:cs="宋体"/>
          <w:b/>
          <w:sz w:val="28"/>
          <w:szCs w:val="28"/>
        </w:rPr>
        <w:t>四、授课时间及地点</w:t>
      </w:r>
    </w:p>
    <w:p>
      <w:pPr>
        <w:wordWrap w:val="0"/>
        <w:spacing w:line="420" w:lineRule="exact"/>
        <w:ind w:left="564" w:leftChars="282"/>
        <w:rPr>
          <w:rFonts w:eastAsia="宋体" w:cs="宋体"/>
          <w:bCs/>
          <w:sz w:val="28"/>
          <w:szCs w:val="28"/>
        </w:rPr>
      </w:pPr>
      <w:r>
        <w:rPr>
          <w:rFonts w:eastAsia="宋体" w:cs="宋体"/>
          <w:bCs/>
          <w:sz w:val="28"/>
          <w:szCs w:val="28"/>
        </w:rPr>
        <w:t>第</w:t>
      </w:r>
      <w:r>
        <w:rPr>
          <w:rFonts w:hint="eastAsia" w:eastAsia="宋体" w:cs="宋体"/>
          <w:bCs/>
          <w:sz w:val="28"/>
          <w:szCs w:val="28"/>
        </w:rPr>
        <w:t>七</w:t>
      </w:r>
      <w:r>
        <w:rPr>
          <w:rFonts w:eastAsia="宋体" w:cs="宋体"/>
          <w:bCs/>
          <w:sz w:val="28"/>
          <w:szCs w:val="28"/>
        </w:rPr>
        <w:t>期：2023年07月25日-07月30日(</w:t>
      </w:r>
      <w:r>
        <w:rPr>
          <w:rFonts w:hint="eastAsia" w:eastAsia="宋体" w:cs="宋体"/>
          <w:bCs/>
          <w:sz w:val="28"/>
          <w:szCs w:val="28"/>
        </w:rPr>
        <w:t>25</w:t>
      </w:r>
      <w:r>
        <w:rPr>
          <w:rFonts w:eastAsia="宋体" w:cs="宋体"/>
          <w:bCs/>
          <w:sz w:val="28"/>
          <w:szCs w:val="28"/>
        </w:rPr>
        <w:t>日报到)  南昌市</w:t>
      </w:r>
    </w:p>
    <w:p>
      <w:pPr>
        <w:wordWrap w:val="0"/>
        <w:spacing w:line="420" w:lineRule="exact"/>
        <w:ind w:left="564" w:leftChars="282"/>
        <w:rPr>
          <w:rFonts w:eastAsia="宋体" w:cs="宋体"/>
          <w:bCs/>
          <w:sz w:val="28"/>
          <w:szCs w:val="28"/>
        </w:rPr>
      </w:pPr>
      <w:r>
        <w:rPr>
          <w:rFonts w:eastAsia="宋体" w:cs="宋体"/>
          <w:bCs/>
          <w:sz w:val="28"/>
          <w:szCs w:val="28"/>
        </w:rPr>
        <w:t>第</w:t>
      </w:r>
      <w:r>
        <w:rPr>
          <w:rFonts w:hint="eastAsia" w:eastAsia="宋体" w:cs="宋体"/>
          <w:bCs/>
          <w:sz w:val="28"/>
          <w:szCs w:val="28"/>
        </w:rPr>
        <w:t>八</w:t>
      </w:r>
      <w:r>
        <w:rPr>
          <w:rFonts w:eastAsia="宋体" w:cs="宋体"/>
          <w:bCs/>
          <w:sz w:val="28"/>
          <w:szCs w:val="28"/>
        </w:rPr>
        <w:t>期：2023年08月08日-08月13日(08日报到)  拉萨市</w:t>
      </w:r>
    </w:p>
    <w:p>
      <w:pPr>
        <w:wordWrap w:val="0"/>
        <w:spacing w:line="420" w:lineRule="exact"/>
        <w:ind w:left="564" w:leftChars="282"/>
        <w:rPr>
          <w:rFonts w:eastAsia="宋体" w:cs="宋体"/>
          <w:bCs/>
          <w:sz w:val="28"/>
          <w:szCs w:val="28"/>
        </w:rPr>
      </w:pPr>
      <w:r>
        <w:rPr>
          <w:rFonts w:eastAsia="宋体" w:cs="宋体"/>
          <w:bCs/>
          <w:sz w:val="28"/>
          <w:szCs w:val="28"/>
        </w:rPr>
        <w:t>第</w:t>
      </w:r>
      <w:r>
        <w:rPr>
          <w:rFonts w:hint="eastAsia" w:eastAsia="宋体" w:cs="宋体"/>
          <w:bCs/>
          <w:sz w:val="28"/>
          <w:szCs w:val="28"/>
        </w:rPr>
        <w:t>九</w:t>
      </w:r>
      <w:r>
        <w:rPr>
          <w:rFonts w:eastAsia="宋体" w:cs="宋体"/>
          <w:bCs/>
          <w:sz w:val="28"/>
          <w:szCs w:val="28"/>
        </w:rPr>
        <w:t>期：2023年08月15日-08月20日(15日报到)  大连市</w:t>
      </w:r>
    </w:p>
    <w:p>
      <w:pPr>
        <w:wordWrap w:val="0"/>
        <w:spacing w:line="420" w:lineRule="exact"/>
        <w:ind w:left="564" w:leftChars="282"/>
        <w:rPr>
          <w:rFonts w:eastAsia="宋体" w:cs="宋体"/>
          <w:bCs/>
          <w:sz w:val="28"/>
          <w:szCs w:val="28"/>
        </w:rPr>
      </w:pPr>
      <w:r>
        <w:rPr>
          <w:rFonts w:eastAsia="宋体" w:cs="宋体"/>
          <w:bCs/>
          <w:sz w:val="28"/>
          <w:szCs w:val="28"/>
        </w:rPr>
        <w:t>第</w:t>
      </w:r>
      <w:r>
        <w:rPr>
          <w:rFonts w:hint="eastAsia" w:eastAsia="宋体" w:cs="宋体"/>
          <w:bCs/>
          <w:sz w:val="28"/>
          <w:szCs w:val="28"/>
        </w:rPr>
        <w:t>十</w:t>
      </w:r>
      <w:r>
        <w:rPr>
          <w:rFonts w:eastAsia="宋体" w:cs="宋体"/>
          <w:bCs/>
          <w:sz w:val="28"/>
          <w:szCs w:val="28"/>
        </w:rPr>
        <w:t>期：2023年08月22日-08月27日(22日报到)  成都市</w:t>
      </w:r>
    </w:p>
    <w:p>
      <w:pPr>
        <w:wordWrap w:val="0"/>
        <w:spacing w:line="420" w:lineRule="exact"/>
        <w:outlineLvl w:val="0"/>
        <w:rPr>
          <w:rFonts w:eastAsia="宋体" w:cs="宋体"/>
          <w:b/>
          <w:sz w:val="28"/>
          <w:szCs w:val="28"/>
        </w:rPr>
      </w:pPr>
      <w:r>
        <w:rPr>
          <w:rFonts w:hint="eastAsia" w:eastAsia="宋体" w:cs="宋体"/>
          <w:b/>
          <w:sz w:val="28"/>
          <w:szCs w:val="28"/>
        </w:rPr>
        <w:t xml:space="preserve">五、培训证书 </w:t>
      </w:r>
    </w:p>
    <w:p>
      <w:pPr>
        <w:wordWrap w:val="0"/>
        <w:spacing w:line="420" w:lineRule="exact"/>
        <w:ind w:firstLine="560"/>
        <w:rPr>
          <w:rFonts w:eastAsia="宋体" w:cs="宋体"/>
          <w:sz w:val="28"/>
          <w:szCs w:val="28"/>
        </w:rPr>
      </w:pPr>
      <w:r>
        <w:rPr>
          <w:rFonts w:hint="eastAsia" w:eastAsia="宋体" w:cs="宋体"/>
          <w:sz w:val="28"/>
          <w:szCs w:val="28"/>
        </w:rPr>
        <w:t>1、完成面授或网课学时，颁发双证。由安易持（北京）安全技术研究院颁发培训合格证书，由中国管理科学研究院颁发高级《安全工程管理师》专业人才技能证书。</w:t>
      </w:r>
    </w:p>
    <w:p>
      <w:pPr>
        <w:wordWrap w:val="0"/>
        <w:spacing w:line="420" w:lineRule="exact"/>
        <w:ind w:firstLine="560"/>
        <w:rPr>
          <w:rFonts w:eastAsia="宋体" w:cs="宋体"/>
          <w:sz w:val="28"/>
          <w:szCs w:val="28"/>
        </w:rPr>
      </w:pPr>
      <w:r>
        <w:rPr>
          <w:rFonts w:hint="eastAsia" w:eastAsia="宋体" w:cs="宋体"/>
          <w:sz w:val="28"/>
          <w:szCs w:val="28"/>
        </w:rPr>
        <w:t>2、报名后交电子版本人身份证复印件1份、近期二寸蓝底免冠正面照片、最高学历毕业证复印件1份（备案用）。</w:t>
      </w:r>
    </w:p>
    <w:p>
      <w:pPr>
        <w:wordWrap w:val="0"/>
        <w:spacing w:line="420" w:lineRule="exact"/>
        <w:outlineLvl w:val="0"/>
        <w:rPr>
          <w:rFonts w:eastAsia="宋体" w:cs="宋体"/>
          <w:b/>
          <w:sz w:val="28"/>
          <w:szCs w:val="28"/>
        </w:rPr>
      </w:pPr>
      <w:r>
        <w:rPr>
          <w:rFonts w:hint="eastAsia" w:eastAsia="宋体" w:cs="宋体"/>
          <w:b/>
          <w:sz w:val="28"/>
          <w:szCs w:val="28"/>
        </w:rPr>
        <w:t>六、费用、报名事宜</w:t>
      </w:r>
    </w:p>
    <w:p>
      <w:pPr>
        <w:wordWrap w:val="0"/>
        <w:spacing w:line="420" w:lineRule="exact"/>
        <w:ind w:firstLine="560"/>
        <w:rPr>
          <w:rFonts w:eastAsia="宋体" w:cs="宋体"/>
          <w:sz w:val="28"/>
          <w:szCs w:val="28"/>
        </w:rPr>
      </w:pPr>
      <w:r>
        <w:rPr>
          <w:rFonts w:hint="eastAsia" w:eastAsia="宋体" w:cs="宋体"/>
          <w:sz w:val="28"/>
          <w:szCs w:val="28"/>
        </w:rPr>
        <w:t>1、培训费2800元/人（含直播课、精讲网课一年，面授课一次）；食宿统一安排，费用自理，报到时交费。</w:t>
      </w:r>
    </w:p>
    <w:p>
      <w:pPr>
        <w:wordWrap w:val="0"/>
        <w:spacing w:line="420" w:lineRule="exact"/>
        <w:ind w:firstLine="560"/>
        <w:rPr>
          <w:rFonts w:eastAsia="宋体" w:cs="宋体"/>
          <w:sz w:val="28"/>
          <w:szCs w:val="28"/>
        </w:rPr>
      </w:pPr>
      <w:r>
        <w:rPr>
          <w:rFonts w:hint="eastAsia" w:eastAsia="宋体" w:cs="宋体"/>
          <w:sz w:val="28"/>
          <w:szCs w:val="28"/>
        </w:rPr>
        <w:t>2、请各单位尽快填好报名回执表加盖单位公章后发送至会务组，收到报名表后及时安排开通网络线上学习。</w:t>
      </w:r>
    </w:p>
    <w:p>
      <w:pPr>
        <w:wordWrap w:val="0"/>
        <w:spacing w:line="420" w:lineRule="exact"/>
        <w:ind w:firstLine="560"/>
        <w:rPr>
          <w:rFonts w:eastAsia="宋体" w:cs="宋体"/>
          <w:sz w:val="28"/>
          <w:szCs w:val="28"/>
        </w:rPr>
      </w:pPr>
      <w:r>
        <w:rPr>
          <w:rFonts w:hint="eastAsia" w:eastAsia="宋体" w:cs="宋体"/>
          <w:sz w:val="28"/>
          <w:szCs w:val="28"/>
        </w:rPr>
        <w:t>3、账号信息：</w:t>
      </w:r>
    </w:p>
    <w:p>
      <w:pPr>
        <w:wordWrap w:val="0"/>
        <w:spacing w:line="420" w:lineRule="exact"/>
        <w:ind w:firstLine="991"/>
        <w:rPr>
          <w:rFonts w:eastAsia="宋体" w:cs="宋体"/>
          <w:sz w:val="28"/>
          <w:szCs w:val="28"/>
        </w:rPr>
      </w:pPr>
      <w:r>
        <w:rPr>
          <w:rFonts w:hint="eastAsia" w:eastAsia="宋体" w:cs="宋体"/>
          <w:sz w:val="28"/>
          <w:szCs w:val="28"/>
        </w:rPr>
        <w:t>企业名称：安易持（北京）安全技术研究院</w:t>
      </w:r>
    </w:p>
    <w:p>
      <w:pPr>
        <w:wordWrap w:val="0"/>
        <w:spacing w:line="420" w:lineRule="exact"/>
        <w:ind w:firstLine="991"/>
        <w:rPr>
          <w:rFonts w:eastAsia="宋体" w:cs="宋体"/>
          <w:sz w:val="28"/>
          <w:szCs w:val="28"/>
        </w:rPr>
      </w:pPr>
      <w:r>
        <w:rPr>
          <w:rFonts w:hint="eastAsia" w:eastAsia="宋体" w:cs="宋体"/>
          <w:sz w:val="28"/>
          <w:szCs w:val="28"/>
        </w:rPr>
        <w:t>开 户 行：建设银行北京和平里支行</w:t>
      </w:r>
    </w:p>
    <w:p>
      <w:pPr>
        <w:wordWrap w:val="0"/>
        <w:spacing w:line="420" w:lineRule="exact"/>
        <w:ind w:firstLine="991"/>
        <w:rPr>
          <w:rFonts w:eastAsia="宋体" w:cs="宋体"/>
          <w:sz w:val="28"/>
          <w:szCs w:val="28"/>
        </w:rPr>
      </w:pPr>
      <w:r>
        <w:rPr>
          <w:rFonts w:hint="eastAsia" w:eastAsia="宋体" w:cs="宋体"/>
          <w:sz w:val="28"/>
          <w:szCs w:val="28"/>
        </w:rPr>
        <w:t>账    号：1105 0160 5600 0000 0573</w:t>
      </w:r>
    </w:p>
    <w:p>
      <w:pPr>
        <w:wordWrap w:val="0"/>
        <w:spacing w:line="420" w:lineRule="exact"/>
        <w:ind w:firstLine="560"/>
        <w:rPr>
          <w:rFonts w:eastAsia="宋体" w:cs="宋体"/>
          <w:sz w:val="28"/>
          <w:szCs w:val="28"/>
        </w:rPr>
      </w:pPr>
      <w:r>
        <w:rPr>
          <w:rFonts w:hint="eastAsia" w:eastAsia="宋体" w:cs="宋体"/>
          <w:sz w:val="28"/>
          <w:szCs w:val="28"/>
        </w:rPr>
        <w:t>4、联系人：</w:t>
      </w:r>
      <w:r>
        <w:rPr>
          <w:rFonts w:hint="eastAsia" w:eastAsia="宋体" w:cs="宋体"/>
          <w:sz w:val="28"/>
          <w:szCs w:val="28"/>
          <w:lang w:eastAsia="zh-CN"/>
        </w:rPr>
        <w:t>郭</w:t>
      </w:r>
      <w:r>
        <w:rPr>
          <w:rFonts w:hint="eastAsia" w:eastAsia="宋体" w:cs="宋体"/>
          <w:sz w:val="28"/>
          <w:szCs w:val="28"/>
          <w:lang w:val="en-US" w:eastAsia="zh-CN"/>
        </w:rPr>
        <w:t xml:space="preserve"> </w:t>
      </w:r>
      <w:r>
        <w:rPr>
          <w:rFonts w:hint="eastAsia" w:eastAsia="宋体" w:cs="宋体"/>
          <w:sz w:val="28"/>
          <w:szCs w:val="28"/>
          <w:lang w:eastAsia="zh-CN"/>
        </w:rPr>
        <w:t>磊</w:t>
      </w:r>
      <w:r>
        <w:rPr>
          <w:rFonts w:hint="eastAsia" w:eastAsia="宋体" w:cs="宋体"/>
          <w:sz w:val="28"/>
          <w:szCs w:val="28"/>
          <w:lang w:val="en-US" w:eastAsia="zh-CN"/>
        </w:rPr>
        <w:t>18701646027（同微信）</w:t>
      </w:r>
      <w:r>
        <w:rPr>
          <w:rFonts w:hint="eastAsia" w:eastAsia="宋体" w:cs="宋体"/>
          <w:sz w:val="28"/>
          <w:szCs w:val="28"/>
        </w:rPr>
        <w:t xml:space="preserve">             </w:t>
      </w:r>
    </w:p>
    <w:p>
      <w:pPr>
        <w:wordWrap w:val="0"/>
        <w:spacing w:line="420" w:lineRule="exact"/>
        <w:ind w:firstLine="1061" w:firstLineChars="379"/>
        <w:rPr>
          <w:rFonts w:hint="default" w:eastAsia="宋体" w:cs="宋体"/>
          <w:sz w:val="28"/>
          <w:szCs w:val="28"/>
          <w:lang w:val="en-US" w:eastAsia="zh-CN"/>
        </w:rPr>
      </w:pPr>
      <w:r>
        <w:rPr>
          <w:rFonts w:hint="eastAsia" w:eastAsia="宋体" w:cs="宋体"/>
          <w:sz w:val="28"/>
          <w:szCs w:val="28"/>
          <w:lang w:val="en-US" w:eastAsia="zh-CN"/>
        </w:rPr>
        <w:t>邮 箱：2952107154@qq.com</w:t>
      </w:r>
    </w:p>
    <w:p>
      <w:pPr>
        <w:snapToGrid w:val="0"/>
        <w:spacing w:line="420" w:lineRule="exact"/>
        <w:rPr>
          <w:rFonts w:eastAsia="宋体" w:cs="宋体"/>
          <w:sz w:val="28"/>
          <w:szCs w:val="28"/>
        </w:rPr>
      </w:pPr>
      <w:r>
        <w:rPr>
          <w:rFonts w:hint="eastAsia" w:eastAsia="宋体" w:cs="宋体"/>
          <w:sz w:val="28"/>
          <w:szCs w:val="28"/>
        </w:rPr>
        <w:t xml:space="preserve">附件：1、报名回执表 </w:t>
      </w:r>
    </w:p>
    <w:p>
      <w:pPr>
        <w:snapToGrid w:val="0"/>
        <w:spacing w:line="420" w:lineRule="exact"/>
        <w:rPr>
          <w:rFonts w:eastAsia="宋体" w:cs="宋体"/>
          <w:sz w:val="28"/>
          <w:szCs w:val="28"/>
        </w:rPr>
      </w:pPr>
      <w:r>
        <w:rPr>
          <w:rFonts w:hint="eastAsia" w:eastAsia="宋体" w:cs="宋体"/>
          <w:sz w:val="28"/>
          <w:szCs w:val="28"/>
        </w:rPr>
        <w:t xml:space="preserve">      2、其他班次时间地点安排                            </w:t>
      </w:r>
    </w:p>
    <w:p>
      <w:pPr>
        <w:tabs>
          <w:tab w:val="left" w:pos="4300"/>
        </w:tabs>
        <w:snapToGrid w:val="0"/>
        <w:spacing w:line="410" w:lineRule="exact"/>
        <w:rPr>
          <w:rFonts w:eastAsia="宋体" w:cs="宋体"/>
          <w:sz w:val="28"/>
          <w:szCs w:val="28"/>
        </w:rPr>
      </w:pPr>
    </w:p>
    <w:p>
      <w:pPr>
        <w:tabs>
          <w:tab w:val="left" w:pos="4300"/>
        </w:tabs>
        <w:snapToGrid w:val="0"/>
        <w:spacing w:line="410" w:lineRule="exact"/>
        <w:rPr>
          <w:rFonts w:eastAsia="宋体" w:cs="宋体"/>
          <w:sz w:val="28"/>
          <w:szCs w:val="28"/>
        </w:rPr>
      </w:pPr>
    </w:p>
    <w:p>
      <w:pPr>
        <w:tabs>
          <w:tab w:val="left" w:pos="4300"/>
        </w:tabs>
        <w:snapToGrid w:val="0"/>
        <w:spacing w:line="410" w:lineRule="exact"/>
        <w:rPr>
          <w:rFonts w:eastAsia="宋体" w:cs="宋体"/>
          <w:sz w:val="28"/>
          <w:szCs w:val="28"/>
        </w:rPr>
      </w:pPr>
    </w:p>
    <w:p>
      <w:pPr>
        <w:tabs>
          <w:tab w:val="left" w:pos="4300"/>
        </w:tabs>
        <w:snapToGrid w:val="0"/>
        <w:spacing w:line="410" w:lineRule="exact"/>
        <w:rPr>
          <w:rFonts w:eastAsia="宋体" w:cs="宋体"/>
          <w:sz w:val="28"/>
          <w:szCs w:val="28"/>
        </w:rPr>
      </w:pPr>
      <w:r>
        <w:drawing>
          <wp:anchor distT="0" distB="0" distL="114300" distR="114300" simplePos="0" relativeHeight="251663360" behindDoc="0" locked="0" layoutInCell="1" allowOverlap="1">
            <wp:simplePos x="0" y="0"/>
            <wp:positionH relativeFrom="column">
              <wp:posOffset>2506345</wp:posOffset>
            </wp:positionH>
            <wp:positionV relativeFrom="paragraph">
              <wp:posOffset>149225</wp:posOffset>
            </wp:positionV>
            <wp:extent cx="2609850" cy="161925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2609850" cy="1619250"/>
                    </a:xfrm>
                    <a:prstGeom prst="rect">
                      <a:avLst/>
                    </a:prstGeom>
                    <a:noFill/>
                    <a:ln>
                      <a:noFill/>
                    </a:ln>
                  </pic:spPr>
                </pic:pic>
              </a:graphicData>
            </a:graphic>
          </wp:anchor>
        </w:drawing>
      </w:r>
    </w:p>
    <w:p>
      <w:pPr>
        <w:tabs>
          <w:tab w:val="left" w:pos="4300"/>
        </w:tabs>
        <w:snapToGrid w:val="0"/>
        <w:spacing w:line="410" w:lineRule="exact"/>
        <w:rPr>
          <w:rFonts w:eastAsia="宋体" w:cs="宋体"/>
          <w:sz w:val="28"/>
          <w:szCs w:val="28"/>
        </w:rPr>
      </w:pPr>
    </w:p>
    <w:p>
      <w:pPr>
        <w:tabs>
          <w:tab w:val="left" w:pos="4300"/>
        </w:tabs>
        <w:snapToGrid w:val="0"/>
        <w:spacing w:line="410" w:lineRule="exact"/>
        <w:rPr>
          <w:rFonts w:eastAsia="宋体" w:cs="宋体"/>
          <w:sz w:val="28"/>
          <w:szCs w:val="28"/>
        </w:rPr>
      </w:pPr>
      <w:r>
        <w:rPr>
          <w:rFonts w:hint="eastAsia" w:eastAsia="宋体" w:cs="宋体"/>
          <w:sz w:val="28"/>
          <w:szCs w:val="28"/>
        </w:rPr>
        <w:tab/>
      </w:r>
    </w:p>
    <w:p>
      <w:pPr>
        <w:snapToGrid w:val="0"/>
        <w:spacing w:line="410" w:lineRule="exact"/>
        <w:jc w:val="center"/>
        <w:rPr>
          <w:rFonts w:eastAsia="宋体"/>
          <w:sz w:val="28"/>
          <w:szCs w:val="28"/>
        </w:rPr>
      </w:pPr>
    </w:p>
    <w:p>
      <w:pPr>
        <w:snapToGrid w:val="0"/>
        <w:spacing w:line="410" w:lineRule="exact"/>
        <w:jc w:val="center"/>
        <w:rPr>
          <w:rFonts w:eastAsia="宋体"/>
          <w:sz w:val="28"/>
          <w:szCs w:val="28"/>
        </w:rPr>
      </w:pPr>
    </w:p>
    <w:p>
      <w:pPr>
        <w:snapToGrid w:val="0"/>
        <w:spacing w:line="410" w:lineRule="exact"/>
        <w:jc w:val="center"/>
        <w:rPr>
          <w:rFonts w:eastAsia="宋体"/>
          <w:sz w:val="28"/>
          <w:szCs w:val="28"/>
        </w:rPr>
      </w:pPr>
    </w:p>
    <w:p>
      <w:pPr>
        <w:snapToGrid w:val="0"/>
        <w:spacing w:line="410" w:lineRule="exact"/>
        <w:rPr>
          <w:rFonts w:eastAsia="宋体"/>
          <w:sz w:val="28"/>
          <w:szCs w:val="28"/>
        </w:rPr>
      </w:pPr>
    </w:p>
    <w:p>
      <w:pPr>
        <w:snapToGrid w:val="0"/>
        <w:spacing w:line="410" w:lineRule="exact"/>
        <w:rPr>
          <w:rFonts w:eastAsia="宋体"/>
          <w:sz w:val="28"/>
          <w:szCs w:val="28"/>
        </w:rPr>
      </w:pPr>
    </w:p>
    <w:p>
      <w:pPr>
        <w:snapToGrid w:val="0"/>
        <w:spacing w:after="160" w:line="410" w:lineRule="exact"/>
        <w:rPr>
          <w:rFonts w:eastAsia="宋体"/>
          <w:sz w:val="28"/>
          <w:szCs w:val="28"/>
        </w:rPr>
      </w:pPr>
      <w:r>
        <mc:AlternateContent>
          <mc:Choice Requires="wps">
            <w:drawing>
              <wp:anchor distT="0" distB="0" distL="114300" distR="114300" simplePos="0" relativeHeight="251660288" behindDoc="0" locked="0" layoutInCell="1" allowOverlap="0">
                <wp:simplePos x="0" y="0"/>
                <wp:positionH relativeFrom="column">
                  <wp:posOffset>200025</wp:posOffset>
                </wp:positionH>
                <wp:positionV relativeFrom="paragraph">
                  <wp:posOffset>317500</wp:posOffset>
                </wp:positionV>
                <wp:extent cx="5582920" cy="3810"/>
                <wp:effectExtent l="0" t="0" r="0" b="0"/>
                <wp:wrapNone/>
                <wp:docPr id="2" name="任意多边形 5"/>
                <wp:cNvGraphicFramePr/>
                <a:graphic xmlns:a="http://schemas.openxmlformats.org/drawingml/2006/main">
                  <a:graphicData uri="http://schemas.microsoft.com/office/word/2010/wordprocessingShape">
                    <wps:wsp>
                      <wps:cNvSpPr/>
                      <wps:spPr>
                        <a:xfrm>
                          <a:off x="0" y="0"/>
                          <a:ext cx="5582920" cy="3810"/>
                        </a:xfrm>
                        <a:custGeom>
                          <a:avLst/>
                          <a:gdLst/>
                          <a:ahLst/>
                          <a:cxnLst/>
                          <a:rect l="0" t="0" r="0" b="0"/>
                          <a:pathLst>
                            <a:path w="5581650" h="2540">
                              <a:moveTo>
                                <a:pt x="0" y="0"/>
                              </a:moveTo>
                              <a:lnTo>
                                <a:pt x="5581650" y="2540"/>
                              </a:lnTo>
                            </a:path>
                          </a:pathLst>
                        </a:custGeom>
                        <a:noFill/>
                        <a:ln w="0" cap="flat" cmpd="sng">
                          <a:solidFill>
                            <a:srgbClr val="000000"/>
                          </a:solidFill>
                          <a:prstDash val="solid"/>
                          <a:headEnd type="none" w="med" len="med"/>
                          <a:tailEnd type="none" w="med" len="med"/>
                        </a:ln>
                      </wps:spPr>
                      <wps:txbx>
                        <w:txbxContent>
                          <w:p>
                            <w:pPr>
                              <w:wordWrap w:val="0"/>
                              <w:spacing w:after="160"/>
                              <w:rPr>
                                <w:rFonts w:eastAsia="宋体"/>
                              </w:rPr>
                            </w:pPr>
                          </w:p>
                        </w:txbxContent>
                      </wps:txbx>
                      <wps:bodyPr lIns="88900" tIns="50800" rIns="88900" bIns="50800" anchor="ctr"/>
                    </wps:wsp>
                  </a:graphicData>
                </a:graphic>
              </wp:anchor>
            </w:drawing>
          </mc:Choice>
          <mc:Fallback>
            <w:pict>
              <v:shape id="任意多边形 5" o:spid="_x0000_s1026" o:spt="100" style="position:absolute;left:0pt;margin-left:15.75pt;margin-top:25pt;height:0.3pt;width:439.6pt;z-index:251660288;v-text-anchor:middle;mso-width-relative:page;mso-height-relative:page;" filled="f" stroked="t" coordsize="5581650,2540" o:allowoverlap="f" o:gfxdata="UEsDBAoAAAAAAIdO4kAAAAAAAAAAAAAAAAAEAAAAZHJzL1BLAwQUAAAACACHTuJAsnKz4NcAAAAI&#10;AQAADwAAAGRycy9kb3ducmV2LnhtbE2PzU7DMBCE70i8g7VI3KgdQn8IcSoVgQRSK0TLA7jxkkTE&#10;68h22sLTsz3BcXdmZ78plyfXiwOG2HnSkE0UCKTa244aDR+755sFiJgMWdN7Qg3fGGFZXV6UprD+&#10;SO942KZGcAjFwmhoUxoKKWPdojNx4gck1j59cCbxGBppgzlyuOvlrVIz6UxH/KE1Az62WH9tR8cY&#10;L0+7TVzRWx7GO/uar+3PZpW0vr7K1AOIhKf0Z4YzPt9AxUx7P5KNoteQZ1N2apgqrsT6fabmIPbn&#10;xQxkVcr/BapfUEsDBBQAAAAIAIdO4kDBgZHAVgIAAPUEAAAOAAAAZHJzL2Uyb0RvYy54bWytVMuO&#10;0zAU3SPxD5b3NGkho0zUdBaUQUgIRprhA1zbaSz5Jdtt0j179iwRP4FGw9cwiM/g2umLIqEu6CK9&#10;1/fm+Jz7yPSqVxKtufPC6BqPRzlGXFPDhF7W+MPd9bMSIx+IZkQazWu84R5fzZ4+mXa24hPTGsm4&#10;QwCifdXZGrch2CrLPG25In5kLNcQbIxTJIDrlhlzpAN0JbNJnl9knXHMOkO593A6H4J4i+jOATRN&#10;IyifG7pSXIcB1XFJAkjyrbAezxLbpuE0vG8azwOSNQalIT3hErAX8ZnNpqRaOmJbQbcUyDkUTjQp&#10;IjRcuoeak0DQyom/oJSgznjThBE1KhuEpIqAinF+UpvbllietECpvd0X3f8/WPpufeOQYDWeYKSJ&#10;gob/uL//+fHT49fPv75/e3z4gopYpM76CnJv7Y3beh7MqLhvnIr/oAX1qbCbfWF5HxCFw6IoJ5cT&#10;qDmF2PNynOqeHd6lKx9ec5NwyPqtD0Nb2M4i7c6ivd6ZDpr7z7ZaEuJ7kVw0UZeIjC8KINKC4OJF&#10;nnqmzJrfmZQWTiQAx0NU6uMs0DRAgaQEBZwhfUgCI16ZTvY04PBYqDbXQsqkVOpILtaHwEY1MMlg&#10;Kgtd8XqZOHojBYv5kaZ3y8VL6dCaxKlOv9gjwP8jzTof5sS3Q14KDfPecsJeaYbCxkK/Naw5jvcr&#10;zjCSHL4K0UrEAhHynMwkHBjEMRkGI1qhX/QAE82FYRsYNPlGw/CW5WUOYkNyiryMjjuOLI4jRNPW&#10;wMrS4JLKCAfbkPRuNzeu27GfmBy+Vr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nKz4NcAAAAI&#10;AQAADwAAAAAAAAABACAAAAAiAAAAZHJzL2Rvd25yZXYueG1sUEsBAhQAFAAAAAgAh07iQMGBkcBW&#10;AgAA9QQAAA4AAAAAAAAAAQAgAAAAJgEAAGRycy9lMm9Eb2MueG1sUEsFBgAAAAAGAAYAWQEAAO4F&#10;AAAAAA==&#10;" path="m0,0l5581650,2540e">
                <v:path textboxrect="0,0,5581650,2540"/>
                <v:fill on="f" focussize="0,0"/>
                <v:stroke weight="0pt" color="#000000" joinstyle="round"/>
                <v:imagedata o:title=""/>
                <o:lock v:ext="edit" aspectratio="f"/>
                <v:textbox inset="7pt,4pt,7pt,4pt">
                  <w:txbxContent>
                    <w:p>
                      <w:pPr>
                        <w:wordWrap w:val="0"/>
                        <w:spacing w:after="160"/>
                        <w:rPr>
                          <w:rFonts w:eastAsia="宋体"/>
                        </w:rPr>
                      </w:pPr>
                    </w:p>
                  </w:txbxContent>
                </v:textbox>
              </v:shape>
            </w:pict>
          </mc:Fallback>
        </mc:AlternateContent>
      </w:r>
    </w:p>
    <w:p>
      <w:pPr>
        <w:snapToGrid w:val="0"/>
        <w:spacing w:after="160" w:line="410" w:lineRule="exact"/>
        <w:ind w:firstLine="346" w:firstLineChars="173"/>
        <w:rPr>
          <w:rFonts w:eastAsia="宋体"/>
          <w:sz w:val="28"/>
          <w:szCs w:val="28"/>
        </w:rPr>
      </w:pPr>
      <w:r>
        <mc:AlternateContent>
          <mc:Choice Requires="wps">
            <w:drawing>
              <wp:anchor distT="0" distB="0" distL="114300" distR="114300" simplePos="0" relativeHeight="251661312" behindDoc="0" locked="0" layoutInCell="1" allowOverlap="1">
                <wp:simplePos x="0" y="0"/>
                <wp:positionH relativeFrom="column">
                  <wp:posOffset>203200</wp:posOffset>
                </wp:positionH>
                <wp:positionV relativeFrom="paragraph">
                  <wp:posOffset>330200</wp:posOffset>
                </wp:positionV>
                <wp:extent cx="5586095" cy="6985"/>
                <wp:effectExtent l="0" t="0" r="0" b="0"/>
                <wp:wrapNone/>
                <wp:docPr id="3" name="任意多边形 3"/>
                <wp:cNvGraphicFramePr/>
                <a:graphic xmlns:a="http://schemas.openxmlformats.org/drawingml/2006/main">
                  <a:graphicData uri="http://schemas.microsoft.com/office/word/2010/wordprocessingShape">
                    <wps:wsp>
                      <wps:cNvSpPr txBox="1"/>
                      <wps:spPr>
                        <a:xfrm>
                          <a:off x="0" y="0"/>
                          <a:ext cx="5586095" cy="6985"/>
                        </a:xfrm>
                        <a:custGeom>
                          <a:avLst/>
                          <a:gdLst>
                            <a:gd name="TX0" fmla="*/ 0 w 5581650"/>
                            <a:gd name="TY0" fmla="*/ 0 h 2540"/>
                            <a:gd name="TX1" fmla="*/ 5581650 w 5581650"/>
                            <a:gd name="TY1" fmla="*/ 2540 h 2540"/>
                          </a:gdLst>
                          <a:ahLst/>
                          <a:cxnLst>
                            <a:cxn ang="0">
                              <a:pos x="TX0" y="TY0"/>
                            </a:cxn>
                            <a:cxn ang="0">
                              <a:pos x="TX1" y="TY1"/>
                            </a:cxn>
                          </a:cxnLst>
                          <a:rect l="l" t="t" r="r" b="b"/>
                          <a:pathLst>
                            <a:path w="5581650" h="2540">
                              <a:moveTo>
                                <a:pt x="0" y="0"/>
                              </a:moveTo>
                              <a:lnTo>
                                <a:pt x="5581650" y="2540"/>
                              </a:lnTo>
                            </a:path>
                          </a:pathLst>
                        </a:custGeom>
                        <a:noFill/>
                        <a:ln w="0" cap="flat" cmpd="sng">
                          <a:solidFill>
                            <a:prstClr val="black"/>
                          </a:solidFill>
                          <a:prstDash val="solid"/>
                          <a:headEnd type="none" w="med" len="med"/>
                          <a:tailEnd type="none" w="med" len="med"/>
                        </a:ln>
                      </wps:spPr>
                      <wps:txbx>
                        <w:txbxContent>
                          <w:p>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3" o:spid="_x0000_s1026" o:spt="100" style="position:absolute;left:0pt;margin-left:16pt;margin-top:26pt;height:0.55pt;width:439.85pt;z-index:251661312;v-text-anchor:middle;mso-width-relative:page;mso-height-relative:page;" filled="f" stroked="t" coordsize="5581650,2540" o:gfxdata="UEsDBAoAAAAAAIdO4kAAAAAAAAAAAAAAAAAEAAAAZHJzL1BLAwQUAAAACACHTuJALsZDY9gAAAAI&#10;AQAADwAAAGRycy9kb3ducmV2LnhtbE2P0U7DMAxF35H2D5GReGNpVhhQmk4aAgkkpomND8ga01Zr&#10;nCpJt8HX4z3Bk2Vf+/rccnFyvThgiJ0nDWqagUCqve2o0fC5fbm+BxGTIWt6T6jhGyMsqslFaQrr&#10;j/SBh01qBJtQLIyGNqWhkDLWLToTp35AYu3LB2cSt6GRNpgjm7tezrJsLp3piD+0ZsCnFuv9ZnSM&#10;8fq8XcUlrfMw3ti3/N3+rJZJ66tLlT2CSHhKf8twxucbqJhp50eyUfQa8hlHSRpuz5X1B6XuQOx4&#10;kCuQVSn/B6h+AVBLAwQUAAAACACHTuJA0ODMcTEDAADgBgAADgAAAGRycy9lMm9Eb2MueG1srVVN&#10;bxMxEL0j8R8sH5Hobgqp0qhJVRqKkCpaqUGUo+P1Zld4bWM7X5y5c+eI+BOogl9DET+DZ+9uElpA&#10;PXDZjHfevpl5M54cHC4rSebCulKrAe3spJQIxXVWqumAvhyfPOxR4jxTGZNaiQFdCUcPh/fvHSxM&#10;X+zqQstMWAIS5foLM6CF96afJI4XomJuRxuh4My1rZjH0U6TzLIF2CuZ7KbpXrLQNjNWc+Ec3o5q&#10;J20Y7V0IdZ6XXIw0n1VC+ZrVCsk8SnJFaRwdxmzzXHB/ludOeCIHFJX6+EQQ2JPwTIYHrD+1zBQl&#10;b1Jgd0nhRk0VKxWCrqlGzDMys+UtqqrkVjud+x2uq6QuJCqCKjrpDW0uCmZErAVSO7MW3f0/Wv5i&#10;fm5JmQ3oI0oUq9Dw71dXP95/uP788ee3L9dfP5FHQaSFcX1gLwzQfvlELzE67XuHl6H2ZW6r8Iuq&#10;CPyQeLWWWCw94XjZ7fb20v0uJRy+vf1eN5Akm2/5zPlnQkceNj91vm5QBivKmzVJji9Bn1cSzXqQ&#10;kJQsCJg7e922o2vc699xBdntPr4FuuxskTVE/6DcRgc6smFFKdM2WVa0+fOlagqARVi4aWkcF6Nd&#10;kCpWA0HGyLbWA7hQ79/gyCDCYw8QM8Lr3yaQxeiHoZdx6D0lGHobh34SQrC+YT7k15pkEZsTJSTF&#10;gEaZgrPSczHWEeZvtBUBN16ptlFtN0KareKA1yAYIXps/DqNkP1W85U+KaWMmUoVkkMfOcO+yXHP&#10;YVYGM+vUNMrotCyzgI9pWuePpSVzhvInkvE3jaa3UCPmihoWXbUuhWDZU5URvzK4DAo7kIbwlcgo&#10;kQIrM1gxL89KeRdkrBvFhjtU35Vg+eVkCZpgTnS2wr2yul5PzvCTEkWcMufPmcWIo3ZsbH+GRy41&#10;skFPokVJoe27P70PeKwJeJE+9hvEejtjFsXI5woLpNfbT0Hr46Gb9sLBbnsm2x41q4415MTcIbto&#10;BryXrZlbXb3CYj8KUeFiiiP2gHKPoasPx77eu/hr4OLoKMJmxpbTAp+AGAsRw3CqLgwPPmgTFcPi&#10;i4PSLOmwWbfPEbX5Yx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C7GQ2PYAAAACAEAAA8AAAAA&#10;AAAAAQAgAAAAIgAAAGRycy9kb3ducmV2LnhtbFBLAQIUABQAAAAIAIdO4kDQ4MxxMQMAAOAGAAAO&#10;AAAAAAAAAAEAIAAAACcBAABkcnMvZTJvRG9jLnhtbFBLBQYAAAAABgAGAFkBAADKBgAAAAA=&#10;" path="m0,0l5581650,2540e">
                <v:path textboxrect="0,0,5581650,2540" o:connectlocs="0,0;5586095,6985" o:connectangles="0,0"/>
                <v:fill on="f" focussize="0,0"/>
                <v:stroke weight="0pt" color="#000000" joinstyle="round"/>
                <v:imagedata o:title=""/>
                <o:lock v:ext="edit" aspectratio="f"/>
                <v:textbox inset="7pt,4pt,7pt,4pt">
                  <w:txbxContent>
                    <w:p>
                      <w:pPr>
                        <w:wordWrap w:val="0"/>
                        <w:spacing w:after="160"/>
                        <w:rPr>
                          <w:rFonts w:eastAsia="宋体"/>
                        </w:rPr>
                      </w:pPr>
                    </w:p>
                  </w:txbxContent>
                </v:textbox>
              </v:shape>
            </w:pict>
          </mc:Fallback>
        </mc:AlternateContent>
      </w:r>
      <w:r>
        <w:rPr>
          <w:rFonts w:eastAsia="宋体"/>
          <w:sz w:val="28"/>
          <w:szCs w:val="28"/>
        </w:rPr>
        <w:t xml:space="preserve">安易持（北京）安全技术研究院          </w:t>
      </w:r>
      <w:r>
        <w:rPr>
          <w:rFonts w:hint="eastAsia" w:eastAsia="宋体"/>
          <w:sz w:val="28"/>
          <w:szCs w:val="28"/>
        </w:rPr>
        <w:t>2023年3月29日印发</w:t>
      </w:r>
      <w:r>
        <w:rPr>
          <w:rFonts w:eastAsia="宋体"/>
          <w:sz w:val="28"/>
          <w:szCs w:val="28"/>
        </w:rPr>
        <w:t xml:space="preserve"> </w:t>
      </w:r>
    </w:p>
    <w:p>
      <w:pPr>
        <w:spacing w:after="160" w:line="410" w:lineRule="exact"/>
        <w:ind w:firstLine="478" w:firstLineChars="171"/>
        <w:rPr>
          <w:rFonts w:hAnsi="Times New Roman"/>
          <w:b/>
          <w:sz w:val="28"/>
          <w:szCs w:val="28"/>
        </w:rPr>
      </w:pPr>
      <w:r>
        <w:rPr>
          <w:rFonts w:eastAsia="宋体"/>
          <w:sz w:val="28"/>
          <w:szCs w:val="28"/>
        </w:rPr>
        <w:t>经办人：</w:t>
      </w:r>
      <w:r>
        <w:rPr>
          <w:rFonts w:hint="eastAsia" w:eastAsia="宋体"/>
          <w:sz w:val="28"/>
          <w:szCs w:val="28"/>
          <w:lang w:eastAsia="zh-CN"/>
        </w:rPr>
        <w:t>郭</w:t>
      </w:r>
      <w:r>
        <w:rPr>
          <w:rFonts w:hint="eastAsia" w:eastAsia="宋体"/>
          <w:sz w:val="28"/>
          <w:szCs w:val="28"/>
          <w:lang w:val="en-US" w:eastAsia="zh-CN"/>
        </w:rPr>
        <w:t xml:space="preserve"> </w:t>
      </w:r>
      <w:r>
        <w:rPr>
          <w:rFonts w:hint="eastAsia" w:eastAsia="宋体"/>
          <w:sz w:val="28"/>
          <w:szCs w:val="28"/>
          <w:lang w:eastAsia="zh-CN"/>
        </w:rPr>
        <w:t>磊</w:t>
      </w:r>
      <w:r>
        <w:rPr>
          <w:rFonts w:eastAsia="宋体"/>
          <w:sz w:val="28"/>
          <w:szCs w:val="28"/>
        </w:rPr>
        <w:t xml:space="preserve">         电话：</w:t>
      </w:r>
      <w:r>
        <w:rPr>
          <w:rFonts w:hint="eastAsia" w:eastAsia="宋体"/>
          <w:sz w:val="28"/>
          <w:szCs w:val="28"/>
          <w:lang w:val="en-US" w:eastAsia="zh-CN"/>
        </w:rPr>
        <w:t>18701646027</w:t>
      </w:r>
      <w:r>
        <w:rPr>
          <w:rFonts w:eastAsia="宋体"/>
          <w:sz w:val="28"/>
          <w:szCs w:val="28"/>
        </w:rPr>
        <w:t xml:space="preserve">      共印100份</w:t>
      </w:r>
    </w:p>
    <w:p>
      <w:pPr>
        <w:spacing w:after="160" w:line="420" w:lineRule="exact"/>
        <w:rPr>
          <w:rFonts w:hAnsi="Times New Roman"/>
          <w:b/>
          <w:sz w:val="28"/>
          <w:szCs w:val="28"/>
        </w:rPr>
      </w:pPr>
      <w:r>
        <w:rPr>
          <w:rFonts w:hAnsi="Times New Roman"/>
          <w:b/>
          <w:sz w:val="28"/>
          <w:szCs w:val="28"/>
        </w:rPr>
        <w:t>附件</w:t>
      </w:r>
      <w:r>
        <w:rPr>
          <w:rFonts w:hint="eastAsia" w:hAnsi="Times New Roman" w:eastAsia="宋体"/>
          <w:b/>
          <w:sz w:val="28"/>
          <w:szCs w:val="28"/>
        </w:rPr>
        <w:t>1</w:t>
      </w:r>
      <w:r>
        <w:rPr>
          <w:rFonts w:hAnsi="Times New Roman"/>
          <w:b/>
          <w:sz w:val="28"/>
          <w:szCs w:val="28"/>
        </w:rPr>
        <w:t>：</w:t>
      </w:r>
    </w:p>
    <w:p>
      <w:pPr>
        <w:wordWrap w:val="0"/>
        <w:spacing w:after="80" w:line="420" w:lineRule="exact"/>
        <w:jc w:val="center"/>
        <w:rPr>
          <w:rFonts w:hAnsi="Times New Roman"/>
          <w:b/>
          <w:color w:val="000000"/>
          <w:sz w:val="32"/>
          <w:szCs w:val="32"/>
        </w:rPr>
      </w:pPr>
      <w:r>
        <w:rPr>
          <w:rFonts w:hAnsi="Times New Roman"/>
          <w:b/>
          <w:color w:val="000000"/>
          <w:sz w:val="32"/>
          <w:szCs w:val="32"/>
        </w:rPr>
        <w:t>全面构建现代化安全生产治理体系、提升安全领导力与执行力</w:t>
      </w:r>
    </w:p>
    <w:p>
      <w:pPr>
        <w:wordWrap w:val="0"/>
        <w:spacing w:after="80" w:line="420" w:lineRule="exact"/>
        <w:jc w:val="center"/>
        <w:rPr>
          <w:rFonts w:eastAsia="宋体"/>
          <w:b/>
          <w:color w:val="000000"/>
          <w:sz w:val="32"/>
          <w:szCs w:val="32"/>
        </w:rPr>
      </w:pPr>
      <w:r>
        <w:rPr>
          <w:rFonts w:hAnsi="Times New Roman"/>
          <w:b/>
          <w:color w:val="000000"/>
          <w:sz w:val="32"/>
          <w:szCs w:val="32"/>
        </w:rPr>
        <w:t>暨高级《安全工程管理师》</w:t>
      </w:r>
      <w:r>
        <w:rPr>
          <w:rFonts w:hint="eastAsia" w:hAnsi="Times New Roman"/>
          <w:b/>
          <w:color w:val="000000"/>
          <w:sz w:val="32"/>
          <w:szCs w:val="32"/>
        </w:rPr>
        <w:t>研修班</w:t>
      </w:r>
      <w:r>
        <w:rPr>
          <w:rFonts w:hAnsi="Times New Roman"/>
          <w:b/>
          <w:color w:val="000000"/>
          <w:sz w:val="32"/>
          <w:szCs w:val="32"/>
        </w:rPr>
        <w:t>报名回执表</w:t>
      </w:r>
    </w:p>
    <w:p>
      <w:pPr>
        <w:spacing w:after="160" w:line="600" w:lineRule="exact"/>
        <w:ind w:firstLine="130"/>
        <w:rPr>
          <w:rFonts w:eastAsia="宋体"/>
          <w:spacing w:val="-10"/>
          <w:sz w:val="28"/>
          <w:szCs w:val="28"/>
        </w:rPr>
      </w:pPr>
      <w:r>
        <w:rPr>
          <w:rFonts w:hAnsi="Times New Roman"/>
          <w:spacing w:val="-10"/>
          <w:sz w:val="28"/>
          <w:szCs w:val="28"/>
        </w:rPr>
        <w:t>经研究，我单位安排下列同志参加学习（加盖单位公章）</w:t>
      </w:r>
    </w:p>
    <w:tbl>
      <w:tblPr>
        <w:tblStyle w:val="26"/>
        <w:tblpPr w:leftFromText="180" w:rightFromText="180" w:vertAnchor="text" w:tblpXSpec="center" w:tblpY="1"/>
        <w:tblOverlap w:val="never"/>
        <w:tblW w:w="9325" w:type="dxa"/>
        <w:jc w:val="center"/>
        <w:tblLayout w:type="fixed"/>
        <w:tblCellMar>
          <w:top w:w="0" w:type="dxa"/>
          <w:left w:w="108" w:type="dxa"/>
          <w:bottom w:w="0" w:type="dxa"/>
          <w:right w:w="108" w:type="dxa"/>
        </w:tblCellMar>
      </w:tblPr>
      <w:tblGrid>
        <w:gridCol w:w="1620"/>
        <w:gridCol w:w="889"/>
        <w:gridCol w:w="1134"/>
        <w:gridCol w:w="1397"/>
        <w:gridCol w:w="1326"/>
        <w:gridCol w:w="538"/>
        <w:gridCol w:w="2421"/>
      </w:tblGrid>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单位名称</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联系人</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详细地址</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电话</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rPr>
                <w:rFonts w:hAnsi="Times New Roman"/>
                <w:sz w:val="28"/>
                <w:szCs w:val="28"/>
              </w:rPr>
            </w:pPr>
            <w:r>
              <w:rPr>
                <w:rFonts w:hAnsi="Times New Roman"/>
                <w:sz w:val="28"/>
                <w:szCs w:val="28"/>
              </w:rPr>
              <w:t>E-mail</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传真</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sz w:val="28"/>
                <w:szCs w:val="28"/>
              </w:rPr>
              <w:t>参加班次</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ind w:firstLine="700"/>
              <w:rPr>
                <w:rFonts w:hAnsi="Times New Roman"/>
                <w:sz w:val="28"/>
                <w:szCs w:val="28"/>
              </w:rPr>
            </w:pPr>
            <w:r>
              <w:rPr>
                <w:rFonts w:hAnsi="Times New Roman"/>
                <w:sz w:val="28"/>
                <w:szCs w:val="28"/>
              </w:rPr>
              <w:t>第</w:t>
            </w:r>
            <w:r>
              <w:rPr>
                <w:rFonts w:hint="eastAsia" w:hAnsi="Times New Roman" w:eastAsia="宋体"/>
                <w:sz w:val="28"/>
                <w:szCs w:val="28"/>
              </w:rPr>
              <w:t xml:space="preserve">   </w:t>
            </w:r>
            <w:r>
              <w:rPr>
                <w:rFonts w:hAnsi="Times New Roman"/>
                <w:sz w:val="28"/>
                <w:szCs w:val="28"/>
              </w:rPr>
              <w:t>期</w:t>
            </w:r>
          </w:p>
        </w:tc>
        <w:tc>
          <w:tcPr>
            <w:tcW w:w="1326" w:type="dxa"/>
            <w:tcBorders>
              <w:top w:val="single" w:color="auto" w:sz="4" w:space="0"/>
              <w:left w:val="nil"/>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sz w:val="28"/>
                <w:szCs w:val="28"/>
              </w:rPr>
              <w:t>地点</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姓名</w:t>
            </w:r>
          </w:p>
        </w:tc>
        <w:tc>
          <w:tcPr>
            <w:tcW w:w="889"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性别</w:t>
            </w:r>
          </w:p>
        </w:tc>
        <w:tc>
          <w:tcPr>
            <w:tcW w:w="1134"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职务</w:t>
            </w:r>
          </w:p>
        </w:tc>
        <w:tc>
          <w:tcPr>
            <w:tcW w:w="1397"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部门名称</w:t>
            </w: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电话</w:t>
            </w:r>
          </w:p>
        </w:tc>
        <w:tc>
          <w:tcPr>
            <w:tcW w:w="2421"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手机</w:t>
            </w: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739"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color w:val="000000"/>
                <w:sz w:val="28"/>
                <w:szCs w:val="28"/>
              </w:rPr>
              <w:t>住宿申请：</w:t>
            </w:r>
            <w:r>
              <w:rPr>
                <w:rFonts w:hint="eastAsia" w:hAnsi="Times New Roman" w:eastAsia="宋体"/>
                <w:color w:val="000000"/>
                <w:sz w:val="28"/>
                <w:szCs w:val="28"/>
              </w:rPr>
              <w:t>□</w:t>
            </w:r>
            <w:r>
              <w:rPr>
                <w:rFonts w:hAnsi="Times New Roman"/>
                <w:color w:val="000000"/>
                <w:sz w:val="28"/>
                <w:szCs w:val="28"/>
              </w:rPr>
              <w:t xml:space="preserve">标准间 [（）单住（）合住（）间数]  </w:t>
            </w:r>
            <w:r>
              <w:rPr>
                <w:rFonts w:hint="eastAsia" w:hAnsi="Times New Roman" w:eastAsia="宋体"/>
                <w:color w:val="000000"/>
                <w:sz w:val="28"/>
                <w:szCs w:val="28"/>
              </w:rPr>
              <w:t>□</w:t>
            </w:r>
            <w:r>
              <w:rPr>
                <w:rFonts w:hAnsi="Times New Roman"/>
                <w:color w:val="000000"/>
                <w:sz w:val="28"/>
                <w:szCs w:val="28"/>
              </w:rPr>
              <w:t>不安排</w:t>
            </w:r>
          </w:p>
        </w:tc>
      </w:tr>
      <w:tr>
        <w:tblPrEx>
          <w:tblCellMar>
            <w:top w:w="0" w:type="dxa"/>
            <w:left w:w="108" w:type="dxa"/>
            <w:bottom w:w="0" w:type="dxa"/>
            <w:right w:w="108" w:type="dxa"/>
          </w:tblCellMar>
        </w:tblPrEx>
        <w:trPr>
          <w:trHeight w:val="1617"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Ansi="Times New Roman"/>
                <w:color w:val="000000"/>
                <w:sz w:val="24"/>
                <w:szCs w:val="24"/>
              </w:rPr>
            </w:pPr>
            <w:r>
              <w:rPr>
                <w:rFonts w:hAnsi="Times New Roman"/>
                <w:b/>
                <w:color w:val="000000"/>
                <w:sz w:val="28"/>
                <w:szCs w:val="28"/>
              </w:rPr>
              <w:t>备注：</w:t>
            </w:r>
            <w:r>
              <w:rPr>
                <w:rFonts w:hAnsi="Times New Roman"/>
                <w:color w:val="000000"/>
                <w:sz w:val="24"/>
                <w:szCs w:val="24"/>
              </w:rPr>
              <w:t>1、此表可复印，统一报名人数超过8人时可另外附表。</w:t>
            </w:r>
          </w:p>
          <w:p>
            <w:pPr>
              <w:numPr>
                <w:ilvl w:val="0"/>
                <w:numId w:val="1"/>
              </w:numPr>
              <w:snapToGrid w:val="0"/>
              <w:ind w:firstLine="840"/>
              <w:rPr>
                <w:rFonts w:hAnsi="Times New Roman"/>
                <w:color w:val="000000"/>
                <w:sz w:val="24"/>
                <w:szCs w:val="24"/>
              </w:rPr>
            </w:pPr>
            <w:r>
              <w:rPr>
                <w:rFonts w:hint="eastAsia" w:hAnsi="Times New Roman" w:eastAsia="宋体"/>
                <w:color w:val="000000"/>
                <w:sz w:val="24"/>
                <w:szCs w:val="24"/>
              </w:rPr>
              <w:t>面授</w:t>
            </w:r>
            <w:r>
              <w:rPr>
                <w:rFonts w:hAnsi="Times New Roman"/>
                <w:color w:val="000000"/>
                <w:sz w:val="24"/>
                <w:szCs w:val="24"/>
              </w:rPr>
              <w:t>培训的期次和地点</w:t>
            </w:r>
            <w:r>
              <w:rPr>
                <w:rFonts w:hint="eastAsia" w:hAnsi="Times New Roman" w:eastAsia="宋体"/>
                <w:color w:val="000000"/>
                <w:sz w:val="24"/>
                <w:szCs w:val="24"/>
              </w:rPr>
              <w:t>开班前一周确定即可</w:t>
            </w:r>
            <w:r>
              <w:rPr>
                <w:rFonts w:hAnsi="Times New Roman"/>
                <w:color w:val="000000"/>
                <w:sz w:val="24"/>
                <w:szCs w:val="24"/>
              </w:rPr>
              <w:t>，</w:t>
            </w:r>
            <w:r>
              <w:rPr>
                <w:rFonts w:hint="eastAsia" w:hAnsi="Times New Roman" w:eastAsia="宋体"/>
                <w:color w:val="000000"/>
                <w:sz w:val="24"/>
                <w:szCs w:val="24"/>
              </w:rPr>
              <w:t>请</w:t>
            </w:r>
            <w:r>
              <w:rPr>
                <w:rFonts w:hAnsi="Times New Roman"/>
                <w:color w:val="000000"/>
                <w:sz w:val="24"/>
                <w:szCs w:val="24"/>
              </w:rPr>
              <w:t>填写上表</w:t>
            </w:r>
          </w:p>
          <w:p>
            <w:pPr>
              <w:snapToGrid w:val="0"/>
              <w:spacing w:line="400" w:lineRule="exact"/>
              <w:rPr>
                <w:rFonts w:hAnsi="Times New Roman"/>
                <w:color w:val="000000"/>
                <w:sz w:val="28"/>
                <w:szCs w:val="28"/>
              </w:rPr>
            </w:pPr>
            <w:r>
              <w:rPr>
                <w:rFonts w:hAnsi="Times New Roman"/>
                <w:color w:val="000000"/>
                <w:sz w:val="24"/>
                <w:szCs w:val="24"/>
              </w:rPr>
              <w:t>后及时</w:t>
            </w:r>
            <w:r>
              <w:rPr>
                <w:rFonts w:hint="eastAsia" w:hAnsi="Times New Roman" w:eastAsia="宋体"/>
                <w:color w:val="000000"/>
                <w:sz w:val="24"/>
                <w:szCs w:val="24"/>
              </w:rPr>
              <w:t>发送</w:t>
            </w:r>
            <w:r>
              <w:rPr>
                <w:rFonts w:hAnsi="Times New Roman"/>
                <w:color w:val="000000"/>
                <w:sz w:val="24"/>
                <w:szCs w:val="24"/>
              </w:rPr>
              <w:t>至会务组，以便</w:t>
            </w:r>
            <w:r>
              <w:rPr>
                <w:rFonts w:hint="eastAsia" w:hAnsi="Times New Roman" w:eastAsia="宋体"/>
                <w:color w:val="000000"/>
                <w:sz w:val="24"/>
                <w:szCs w:val="24"/>
              </w:rPr>
              <w:t>及时安排开通网课和</w:t>
            </w:r>
            <w:r>
              <w:rPr>
                <w:rFonts w:hAnsi="Times New Roman"/>
                <w:color w:val="000000"/>
                <w:sz w:val="24"/>
                <w:szCs w:val="24"/>
              </w:rPr>
              <w:t>会务工作。</w:t>
            </w:r>
          </w:p>
        </w:tc>
      </w:tr>
    </w:tbl>
    <w:p>
      <w:pPr>
        <w:snapToGrid w:val="0"/>
        <w:spacing w:after="160" w:line="240" w:lineRule="exact"/>
        <w:jc w:val="left"/>
        <w:rPr>
          <w:rFonts w:hAnsi="Times New Roman"/>
          <w:b/>
          <w:sz w:val="28"/>
          <w:szCs w:val="28"/>
        </w:rPr>
      </w:pPr>
    </w:p>
    <w:p>
      <w:pPr>
        <w:spacing w:line="320" w:lineRule="exact"/>
        <w:ind w:firstLine="560" w:firstLineChars="200"/>
        <w:rPr>
          <w:rFonts w:hint="eastAsia" w:hAnsi="Times New Roman"/>
          <w:sz w:val="28"/>
          <w:szCs w:val="28"/>
        </w:rPr>
      </w:pPr>
      <w:r>
        <w:rPr>
          <w:rFonts w:hint="eastAsia" w:hAnsi="Times New Roman"/>
          <w:sz w:val="28"/>
          <w:szCs w:val="28"/>
        </w:rPr>
        <w:t>联系人：</w:t>
      </w:r>
      <w:r>
        <w:rPr>
          <w:rFonts w:hint="eastAsia" w:hAnsi="Times New Roman" w:eastAsia="宋体"/>
          <w:sz w:val="28"/>
          <w:szCs w:val="28"/>
          <w:lang w:eastAsia="zh-CN"/>
        </w:rPr>
        <w:t>郭</w:t>
      </w:r>
      <w:r>
        <w:rPr>
          <w:rFonts w:hint="eastAsia" w:hAnsi="Times New Roman" w:eastAsia="宋体"/>
          <w:sz w:val="28"/>
          <w:szCs w:val="28"/>
          <w:lang w:val="en-US" w:eastAsia="zh-CN"/>
        </w:rPr>
        <w:t xml:space="preserve"> </w:t>
      </w:r>
      <w:r>
        <w:rPr>
          <w:rFonts w:hint="eastAsia" w:hAnsi="Times New Roman" w:eastAsia="宋体"/>
          <w:sz w:val="28"/>
          <w:szCs w:val="28"/>
          <w:lang w:eastAsia="zh-CN"/>
        </w:rPr>
        <w:t>磊</w:t>
      </w:r>
      <w:r>
        <w:rPr>
          <w:rFonts w:hint="eastAsia" w:hAnsi="Times New Roman"/>
          <w:sz w:val="28"/>
          <w:szCs w:val="28"/>
        </w:rPr>
        <w:t xml:space="preserve">                 手 机： 18</w:t>
      </w:r>
      <w:r>
        <w:rPr>
          <w:rFonts w:hint="eastAsia" w:hAnsi="Times New Roman" w:eastAsia="宋体"/>
          <w:sz w:val="28"/>
          <w:szCs w:val="28"/>
          <w:lang w:val="en-US" w:eastAsia="zh-CN"/>
        </w:rPr>
        <w:t>701646027</w:t>
      </w:r>
      <w:r>
        <w:rPr>
          <w:rFonts w:hint="eastAsia" w:hAnsi="Times New Roman"/>
          <w:sz w:val="28"/>
          <w:szCs w:val="28"/>
        </w:rPr>
        <w:t>（同微信）</w:t>
      </w:r>
    </w:p>
    <w:p>
      <w:pPr>
        <w:spacing w:line="320" w:lineRule="exact"/>
        <w:ind w:firstLine="560" w:firstLineChars="200"/>
        <w:rPr>
          <w:rFonts w:hint="eastAsia" w:hAnsi="Times New Roman"/>
          <w:sz w:val="28"/>
          <w:szCs w:val="28"/>
        </w:rPr>
      </w:pPr>
    </w:p>
    <w:p>
      <w:pPr>
        <w:spacing w:line="320" w:lineRule="exact"/>
        <w:ind w:firstLine="560" w:firstLineChars="200"/>
        <w:rPr>
          <w:rFonts w:hint="eastAsia" w:hAnsi="Times New Roman"/>
          <w:sz w:val="28"/>
          <w:szCs w:val="28"/>
        </w:rPr>
      </w:pPr>
    </w:p>
    <w:p>
      <w:pPr>
        <w:spacing w:line="320" w:lineRule="exact"/>
        <w:ind w:firstLine="560" w:firstLineChars="200"/>
        <w:rPr>
          <w:rFonts w:hint="eastAsia" w:hAnsi="Times New Roman"/>
          <w:sz w:val="28"/>
          <w:szCs w:val="28"/>
        </w:rPr>
      </w:pPr>
    </w:p>
    <w:p>
      <w:pPr>
        <w:rPr>
          <w:sz w:val="28"/>
          <w:szCs w:val="28"/>
        </w:rPr>
      </w:pPr>
      <w:bookmarkStart w:id="1" w:name="_GoBack"/>
      <w:r>
        <w:rPr>
          <w:rFonts w:hint="eastAsia"/>
          <w:sz w:val="28"/>
          <w:szCs w:val="28"/>
        </w:rPr>
        <w:t>附件2：</w:t>
      </w:r>
    </w:p>
    <w:p>
      <w:pPr>
        <w:jc w:val="center"/>
        <w:rPr>
          <w:b/>
          <w:bCs/>
          <w:sz w:val="32"/>
          <w:szCs w:val="32"/>
        </w:rPr>
      </w:pPr>
      <w:r>
        <w:rPr>
          <w:rFonts w:hint="eastAsia"/>
          <w:b/>
          <w:bCs/>
          <w:sz w:val="32"/>
          <w:szCs w:val="32"/>
        </w:rPr>
        <w:t>安易持（北京）安全技术研究院</w:t>
      </w:r>
    </w:p>
    <w:p>
      <w:pPr>
        <w:widowControl w:val="0"/>
        <w:spacing w:line="520" w:lineRule="exact"/>
        <w:jc w:val="center"/>
        <w:rPr>
          <w:b/>
          <w:bCs/>
          <w:sz w:val="28"/>
          <w:szCs w:val="28"/>
        </w:rPr>
      </w:pPr>
      <w:r>
        <w:rPr>
          <w:rFonts w:hint="eastAsia"/>
          <w:b/>
          <w:bCs/>
          <w:sz w:val="28"/>
          <w:szCs w:val="28"/>
        </w:rPr>
        <w:t>安全生产与应急管理相关知识暨高级《安全工程管理师》研修班</w:t>
      </w:r>
    </w:p>
    <w:p>
      <w:pPr>
        <w:widowControl w:val="0"/>
        <w:spacing w:line="520" w:lineRule="exact"/>
        <w:jc w:val="center"/>
        <w:rPr>
          <w:b/>
          <w:bCs/>
          <w:sz w:val="28"/>
          <w:szCs w:val="28"/>
        </w:rPr>
      </w:pPr>
      <w:r>
        <w:rPr>
          <w:rFonts w:hint="eastAsia"/>
          <w:b/>
          <w:bCs/>
          <w:sz w:val="28"/>
          <w:szCs w:val="28"/>
        </w:rPr>
        <w:t>其他班次时间地点安排</w:t>
      </w:r>
    </w:p>
    <w:p>
      <w:pPr>
        <w:widowControl w:val="0"/>
        <w:spacing w:line="520" w:lineRule="exact"/>
        <w:ind w:firstLine="560" w:firstLineChars="200"/>
        <w:rPr>
          <w:sz w:val="28"/>
          <w:szCs w:val="28"/>
        </w:rPr>
      </w:pPr>
      <w:r>
        <w:rPr>
          <w:rFonts w:hint="eastAsia"/>
          <w:sz w:val="28"/>
          <w:szCs w:val="28"/>
        </w:rPr>
        <w:t>第一期：2023年09月12日-09月17日(12日报到)  桂林市</w:t>
      </w:r>
    </w:p>
    <w:p>
      <w:pPr>
        <w:widowControl w:val="0"/>
        <w:spacing w:line="520" w:lineRule="exact"/>
        <w:ind w:firstLine="560" w:firstLineChars="200"/>
        <w:rPr>
          <w:sz w:val="28"/>
          <w:szCs w:val="28"/>
        </w:rPr>
      </w:pPr>
      <w:r>
        <w:rPr>
          <w:rFonts w:hint="eastAsia"/>
          <w:sz w:val="28"/>
          <w:szCs w:val="28"/>
        </w:rPr>
        <w:t>第二期：2023年09月19日-09月24日(19日报到)  乌鲁木齐市</w:t>
      </w:r>
    </w:p>
    <w:p>
      <w:pPr>
        <w:widowControl w:val="0"/>
        <w:spacing w:line="520" w:lineRule="exact"/>
        <w:ind w:firstLine="560" w:firstLineChars="200"/>
        <w:rPr>
          <w:sz w:val="28"/>
          <w:szCs w:val="28"/>
        </w:rPr>
      </w:pPr>
      <w:r>
        <w:rPr>
          <w:rFonts w:hint="eastAsia"/>
          <w:sz w:val="28"/>
          <w:szCs w:val="28"/>
        </w:rPr>
        <w:t>第三期：2023年10月17日-10月22日(17日报到)  重庆市</w:t>
      </w:r>
    </w:p>
    <w:p>
      <w:pPr>
        <w:widowControl w:val="0"/>
        <w:spacing w:line="520" w:lineRule="exact"/>
        <w:ind w:firstLine="560" w:firstLineChars="200"/>
        <w:rPr>
          <w:sz w:val="28"/>
          <w:szCs w:val="28"/>
        </w:rPr>
      </w:pPr>
      <w:r>
        <w:rPr>
          <w:rFonts w:hint="eastAsia"/>
          <w:sz w:val="28"/>
          <w:szCs w:val="28"/>
        </w:rPr>
        <w:t>第四期：2023年10月24日-10月29日(24日报到)  西安市</w:t>
      </w:r>
    </w:p>
    <w:p>
      <w:pPr>
        <w:widowControl w:val="0"/>
        <w:spacing w:line="520" w:lineRule="exact"/>
        <w:ind w:firstLine="560" w:firstLineChars="200"/>
        <w:rPr>
          <w:sz w:val="28"/>
          <w:szCs w:val="28"/>
        </w:rPr>
      </w:pPr>
      <w:r>
        <w:rPr>
          <w:rFonts w:hint="eastAsia"/>
          <w:sz w:val="28"/>
          <w:szCs w:val="28"/>
        </w:rPr>
        <w:t>第五期：2023年11月07日-11月12日(07日报到)  昆明市</w:t>
      </w:r>
    </w:p>
    <w:p>
      <w:pPr>
        <w:widowControl w:val="0"/>
        <w:spacing w:line="520" w:lineRule="exact"/>
        <w:ind w:firstLine="560" w:firstLineChars="200"/>
        <w:rPr>
          <w:sz w:val="28"/>
          <w:szCs w:val="28"/>
        </w:rPr>
      </w:pPr>
      <w:r>
        <w:rPr>
          <w:rFonts w:hint="eastAsia"/>
          <w:sz w:val="28"/>
          <w:szCs w:val="28"/>
        </w:rPr>
        <w:t>第六期：2023年11月21日-11月26日(21日报到)  厦门市</w:t>
      </w:r>
    </w:p>
    <w:p>
      <w:pPr>
        <w:widowControl w:val="0"/>
        <w:spacing w:line="520" w:lineRule="exact"/>
        <w:ind w:firstLine="560" w:firstLineChars="200"/>
        <w:rPr>
          <w:sz w:val="28"/>
          <w:szCs w:val="28"/>
        </w:rPr>
      </w:pPr>
      <w:r>
        <w:rPr>
          <w:rFonts w:hint="eastAsia"/>
          <w:sz w:val="28"/>
          <w:szCs w:val="28"/>
        </w:rPr>
        <w:t>第七期：2023年12月05日-12月10日(05日报到)  杭州市</w:t>
      </w:r>
    </w:p>
    <w:p>
      <w:pPr>
        <w:widowControl w:val="0"/>
        <w:spacing w:line="520" w:lineRule="exact"/>
        <w:ind w:firstLine="560" w:firstLineChars="200"/>
        <w:rPr>
          <w:sz w:val="28"/>
          <w:szCs w:val="28"/>
        </w:rPr>
      </w:pPr>
      <w:r>
        <w:rPr>
          <w:rFonts w:hint="eastAsia"/>
          <w:sz w:val="28"/>
          <w:szCs w:val="28"/>
        </w:rPr>
        <w:t>第八期：2023年12月19日-12月24日(19日报到)  深圳市</w:t>
      </w:r>
    </w:p>
    <w:p>
      <w:pPr>
        <w:widowControl w:val="0"/>
        <w:spacing w:line="520" w:lineRule="exact"/>
        <w:ind w:firstLine="560" w:firstLineChars="200"/>
        <w:rPr>
          <w:sz w:val="28"/>
          <w:szCs w:val="28"/>
        </w:rPr>
      </w:pPr>
      <w:r>
        <w:rPr>
          <w:rFonts w:hint="eastAsia"/>
          <w:sz w:val="28"/>
          <w:szCs w:val="28"/>
        </w:rPr>
        <w:t>第九期：2024年01月09日-01月14日(09日报到)  海口市</w:t>
      </w:r>
    </w:p>
    <w:p>
      <w:pPr>
        <w:widowControl w:val="0"/>
        <w:spacing w:line="520" w:lineRule="exact"/>
        <w:ind w:firstLine="560" w:firstLineChars="200"/>
        <w:rPr>
          <w:rFonts w:eastAsiaTheme="minorEastAsia"/>
          <w:sz w:val="28"/>
          <w:szCs w:val="28"/>
        </w:rPr>
      </w:pPr>
      <w:r>
        <w:rPr>
          <w:rFonts w:hint="eastAsia"/>
          <w:sz w:val="28"/>
          <w:szCs w:val="28"/>
        </w:rPr>
        <w:t>第十期：2024年01月16日-01月21日(16日报到)  成都市</w:t>
      </w:r>
    </w:p>
    <w:p>
      <w:pPr>
        <w:widowControl w:val="0"/>
        <w:tabs>
          <w:tab w:val="left" w:pos="5330"/>
        </w:tabs>
        <w:spacing w:line="420" w:lineRule="exact"/>
        <w:ind w:firstLine="562" w:firstLineChars="200"/>
        <w:jc w:val="left"/>
        <w:rPr>
          <w:rFonts w:eastAsia="宋体" w:cs="宋体"/>
          <w:b/>
          <w:color w:val="000000"/>
          <w:sz w:val="28"/>
          <w:szCs w:val="28"/>
        </w:rPr>
      </w:pPr>
    </w:p>
    <w:p>
      <w:pPr>
        <w:widowControl w:val="0"/>
        <w:tabs>
          <w:tab w:val="left" w:pos="5330"/>
        </w:tabs>
        <w:spacing w:line="420" w:lineRule="exact"/>
        <w:ind w:firstLine="562" w:firstLineChars="200"/>
        <w:jc w:val="left"/>
        <w:rPr>
          <w:rFonts w:eastAsia="宋体" w:cs="宋体"/>
          <w:b/>
          <w:color w:val="000000"/>
          <w:sz w:val="28"/>
          <w:szCs w:val="28"/>
        </w:rPr>
      </w:pPr>
      <w:r>
        <w:rPr>
          <w:rFonts w:hint="eastAsia" w:eastAsia="宋体" w:cs="宋体"/>
          <w:b/>
          <w:color w:val="000000"/>
          <w:sz w:val="28"/>
          <w:szCs w:val="28"/>
        </w:rPr>
        <w:t>请各相关单位根据自身需求选择参加，培训内容可以针对交通运输、危险化学品、金属非金属矿山、景区、建筑施工、高速公路、港口等分行业进行，根据各单位安全管理实际情况，针对性调整安全生产应急管理相关课题，量身定制，具体事宜请来电咨询。</w:t>
      </w:r>
    </w:p>
    <w:p>
      <w:pPr>
        <w:widowControl w:val="0"/>
        <w:tabs>
          <w:tab w:val="left" w:pos="5330"/>
        </w:tabs>
        <w:spacing w:line="420" w:lineRule="exact"/>
        <w:ind w:firstLine="562" w:firstLineChars="200"/>
        <w:jc w:val="left"/>
        <w:rPr>
          <w:rFonts w:eastAsia="宋体" w:cs="宋体"/>
          <w:b/>
          <w:color w:val="000000"/>
          <w:sz w:val="28"/>
          <w:szCs w:val="28"/>
        </w:rPr>
      </w:pPr>
    </w:p>
    <w:p>
      <w:pPr>
        <w:widowControl w:val="0"/>
        <w:tabs>
          <w:tab w:val="left" w:pos="5330"/>
        </w:tabs>
        <w:spacing w:line="420" w:lineRule="exact"/>
        <w:ind w:firstLine="562" w:firstLineChars="200"/>
        <w:jc w:val="left"/>
        <w:rPr>
          <w:rFonts w:hint="eastAsia" w:eastAsia="宋体" w:cs="宋体"/>
          <w:b/>
          <w:color w:val="000000"/>
          <w:sz w:val="28"/>
          <w:szCs w:val="28"/>
        </w:rPr>
      </w:pPr>
      <w:r>
        <w:rPr>
          <w:rFonts w:hint="eastAsia" w:eastAsia="宋体" w:cs="宋体"/>
          <w:b/>
          <w:color w:val="000000"/>
          <w:sz w:val="28"/>
          <w:szCs w:val="28"/>
        </w:rPr>
        <w:t>联系人：</w:t>
      </w:r>
      <w:r>
        <w:rPr>
          <w:rFonts w:hint="eastAsia" w:eastAsia="宋体" w:cs="宋体"/>
          <w:b/>
          <w:color w:val="000000"/>
          <w:sz w:val="28"/>
          <w:szCs w:val="28"/>
          <w:lang w:eastAsia="zh-CN"/>
        </w:rPr>
        <w:t>郭</w:t>
      </w:r>
      <w:r>
        <w:rPr>
          <w:rFonts w:hint="eastAsia" w:eastAsia="宋体" w:cs="宋体"/>
          <w:b/>
          <w:color w:val="000000"/>
          <w:sz w:val="28"/>
          <w:szCs w:val="28"/>
          <w:lang w:val="en-US" w:eastAsia="zh-CN"/>
        </w:rPr>
        <w:t xml:space="preserve"> </w:t>
      </w:r>
      <w:r>
        <w:rPr>
          <w:rFonts w:hint="eastAsia" w:eastAsia="宋体" w:cs="宋体"/>
          <w:b/>
          <w:color w:val="000000"/>
          <w:sz w:val="28"/>
          <w:szCs w:val="28"/>
          <w:lang w:eastAsia="zh-CN"/>
        </w:rPr>
        <w:t>磊</w:t>
      </w:r>
      <w:r>
        <w:rPr>
          <w:rFonts w:hint="eastAsia" w:eastAsia="宋体" w:cs="宋体"/>
          <w:b/>
          <w:color w:val="000000"/>
          <w:sz w:val="28"/>
          <w:szCs w:val="28"/>
        </w:rPr>
        <w:t xml:space="preserve">                 手 机： 18</w:t>
      </w:r>
      <w:r>
        <w:rPr>
          <w:rFonts w:hint="eastAsia" w:eastAsia="宋体" w:cs="宋体"/>
          <w:b/>
          <w:color w:val="000000"/>
          <w:sz w:val="28"/>
          <w:szCs w:val="28"/>
          <w:lang w:val="en-US" w:eastAsia="zh-CN"/>
        </w:rPr>
        <w:t>701646027</w:t>
      </w:r>
      <w:r>
        <w:rPr>
          <w:rFonts w:hint="eastAsia" w:eastAsia="宋体" w:cs="宋体"/>
          <w:b/>
          <w:color w:val="000000"/>
          <w:sz w:val="28"/>
          <w:szCs w:val="28"/>
        </w:rPr>
        <w:t>（同微信）</w:t>
      </w:r>
    </w:p>
    <w:p>
      <w:pPr>
        <w:widowControl w:val="0"/>
        <w:tabs>
          <w:tab w:val="left" w:pos="5330"/>
        </w:tabs>
        <w:spacing w:line="420" w:lineRule="exact"/>
        <w:ind w:firstLine="562" w:firstLineChars="200"/>
        <w:jc w:val="left"/>
        <w:rPr>
          <w:rFonts w:hint="eastAsia" w:eastAsia="宋体" w:cs="宋体"/>
          <w:b/>
          <w:color w:val="000000"/>
          <w:sz w:val="28"/>
          <w:szCs w:val="28"/>
        </w:rPr>
      </w:pPr>
    </w:p>
    <w:bookmarkEnd w:id="1"/>
    <w:p>
      <w:pPr>
        <w:spacing w:line="320" w:lineRule="exact"/>
        <w:ind w:firstLine="562" w:firstLineChars="200"/>
        <w:rPr>
          <w:rFonts w:eastAsia="宋体"/>
          <w:b/>
          <w:color w:val="000000"/>
          <w:sz w:val="28"/>
          <w:szCs w:val="28"/>
        </w:rPr>
      </w:pPr>
    </w:p>
    <w:sectPr>
      <w:footerReference r:id="rId3" w:type="default"/>
      <w:pgSz w:w="11906" w:h="16838"/>
      <w:pgMar w:top="1191" w:right="1106" w:bottom="1191" w:left="1106" w:header="851" w:footer="2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auto"/>
    <w:pitch w:val="default"/>
    <w:sig w:usb0="00000000" w:usb1="00000000" w:usb2="0000003F" w:usb3="00000000" w:csb0="003F01FF" w:csb1="00000000"/>
  </w:font>
  <w:font w:name="仿宋_GB2312">
    <w:altName w:val="仿宋"/>
    <w:panose1 w:val="00000000000000000000"/>
    <w:charset w:val="00"/>
    <w:family w:val="auto"/>
    <w:pitch w:val="default"/>
    <w:sig w:usb0="00000000" w:usb1="00000000" w:usb2="00000000" w:usb3="00000000" w:csb0="FFFFFF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60"/>
      <w:rPr>
        <w:rFonts w:ascii="等线" w:hAnsi="Times New Roman"/>
        <w:shd w:val="clear" w:color="000000" w:fill="auto"/>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2785" cy="255905"/>
              <wp:effectExtent l="0" t="0" r="0" b="0"/>
              <wp:wrapNone/>
              <wp:docPr id="5" name="文本框 1"/>
              <wp:cNvGraphicFramePr/>
              <a:graphic xmlns:a="http://schemas.openxmlformats.org/drawingml/2006/main">
                <a:graphicData uri="http://schemas.microsoft.com/office/word/2010/wordprocessingShape">
                  <wps:wsp>
                    <wps:cNvSpPr txBox="1"/>
                    <wps:spPr>
                      <a:xfrm>
                        <a:off x="0" y="0"/>
                        <a:ext cx="692785" cy="255905"/>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16"/>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6</w:t>
                          </w:r>
                          <w:r>
                            <w:rPr>
                              <w:rFonts w:hAnsi="Times New Roman"/>
                              <w:shd w:val="clear" w:color="000000" w:fill="auto"/>
                            </w:rPr>
                            <w:fldChar w:fldCharType="end"/>
                          </w:r>
                          <w:r>
                            <w:rPr>
                              <w:rFonts w:hAnsi="Times New Roman"/>
                              <w:shd w:val="clear" w:color="000000" w:fill="auto"/>
                            </w:rPr>
                            <w:t>页</w:t>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20.15pt;width:54.55pt;mso-position-horizontal:center;mso-position-horizontal-relative:margin;mso-wrap-style:none;z-index:251659264;mso-width-relative:page;mso-height-relative:page;" filled="f" stroked="f" coordsize="21600,21600" o:gfxdata="UEsDBAoAAAAAAIdO4kAAAAAAAAAAAAAAAAAEAAAAZHJzL1BLAwQUAAAACACHTuJAayTI+tMAAAAE&#10;AQAADwAAAGRycy9kb3ducmV2LnhtbE2PwU7DMBBE70j9B2srcaN22gpBGqdSK8IRiYYDRzfeJgF7&#10;HdluGv4elwu9rDSa0czbYjtZw0b0oXckIVsIYEiN0z21Ej7q6uEJWIiKtDKOUMIPBtiWs7tC5dpd&#10;6B3HQ2xZKqGQKwldjEPOeWg6tCos3ICUvJPzVsUkfcu1V5dUbg1fCvHIreopLXRqwH2HzffhbCXs&#10;q7r2IwZvPvG1Wn297db4Mkl5P8/EBljEKf6H4Yqf0KFMTEd3Jh2YkZAeiX/36onnDNhRwlqsgJcF&#10;v4UvfwFQSwMEFAAAAAgAh07iQBrNP9o2AgAAXgQAAA4AAABkcnMvZTJvRG9jLnhtbK1UzY7TMBC+&#10;I/EOlu80bVGX3arpqmxVhFSxKxXE2XWcJpL/ZLtNygPAG3Diwp3n6nPw2Wm6aOGwBy7O2DOez983&#10;M5ndtkqSg3C+Njqno8GQEqG5KWq9y+mnj6tX15T4wHTBpNEip0fh6e385YtZY6dibCojC+EIkmg/&#10;bWxOqxDsNMs8r4RifmCs0HCWxikWsHW7rHCsQXYls/FweJU1xhXWGS68x+myc9JzRvechKYsay6W&#10;hu+V0KHL6oRkAZR8VVtP5+m1ZSl4uC9LLwKROQXTkFaAwN7GNZvP2HTnmK1qfn4Ce84TnnBSrNYA&#10;vaRassDI3tV/pVI1d8abMgy4UVlHJCkCFqPhE202FbMicYHU3l5E9/8vLf9weHCkLnI6oUQzhYKf&#10;vn87/fh1+vmVjKI8jfVTRG0s4kL71rRomv7c4zCybkun4hd8CPwQ93gRV7SBcBxe3YzfXAOEwzWe&#10;TG6Gk5gle7xsnQ/vhFEkGjl1qF2SlB3WPnShfUjE0mZVS5nqJzVpAPB6AmDO0JMleiHdvQQBR2rA&#10;RTbdq6MV2m17prg1xREMnelaxFu+qvGONfPhgTn0BHJjasI9llIa4JmzRUll3Jd/ncd4lApeShr0&#10;WE41RooS+V6jhEgYesP1xrY39F7dGTTtCNNoeTJxwQXZm6Uz6jNGaREx4GKaAymnoTfvQtfnGEUu&#10;FosUhKazLKz1xvK4jzp6u9gHaJkkjqJ0Spy1QtulIp1HJPb1n/sU9fhb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TI+tMAAAAEAQAADwAAAAAAAAABACAAAAAiAAAAZHJzL2Rvd25yZXYueG1s&#10;UEsBAhQAFAAAAAgAh07iQBrNP9o2AgAAXgQAAA4AAAAAAAAAAQAgAAAAIgEAAGRycy9lMm9Eb2Mu&#10;eG1sUEsFBgAAAAAGAAYAWQEAAMoFAAAAAA==&#10;">
              <v:fill on="f" focussize="0,0"/>
              <v:stroke on="f" weight="0.5pt"/>
              <v:imagedata o:title=""/>
              <o:lock v:ext="edit" aspectratio="f"/>
              <v:textbox inset="0mm,0mm,0mm,0mm" style="mso-fit-shape-to-text:t;">
                <w:txbxContent>
                  <w:p>
                    <w:pPr>
                      <w:pStyle w:val="16"/>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6</w:t>
                    </w:r>
                    <w:r>
                      <w:rPr>
                        <w:rFonts w:hAnsi="Times New Roman"/>
                        <w:shd w:val="clear" w:color="000000" w:fill="auto"/>
                      </w:rPr>
                      <w:fldChar w:fldCharType="end"/>
                    </w:r>
                    <w:r>
                      <w:rPr>
                        <w:rFonts w:hAnsi="Times New Roman"/>
                        <w:shd w:val="clear" w:color="000000" w:fill="auto"/>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09BE"/>
    <w:multiLevelType w:val="singleLevel"/>
    <w:tmpl w:val="1C1209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NjlmYjIyOTZkMGIzOGIzOWJkZmY2NjM4N2YyNWYifQ=="/>
  </w:docVars>
  <w:rsids>
    <w:rsidRoot w:val="006064A7"/>
    <w:rsid w:val="00031758"/>
    <w:rsid w:val="000350AB"/>
    <w:rsid w:val="00040E59"/>
    <w:rsid w:val="00043489"/>
    <w:rsid w:val="00054C4F"/>
    <w:rsid w:val="00083DDB"/>
    <w:rsid w:val="0009477D"/>
    <w:rsid w:val="000A26D0"/>
    <w:rsid w:val="000C1C0B"/>
    <w:rsid w:val="000D5799"/>
    <w:rsid w:val="000E0E8B"/>
    <w:rsid w:val="000E4C37"/>
    <w:rsid w:val="0010380F"/>
    <w:rsid w:val="00106FF3"/>
    <w:rsid w:val="00123EAB"/>
    <w:rsid w:val="00144B92"/>
    <w:rsid w:val="00177B47"/>
    <w:rsid w:val="00194D50"/>
    <w:rsid w:val="00196FB9"/>
    <w:rsid w:val="001A02E0"/>
    <w:rsid w:val="001A42E0"/>
    <w:rsid w:val="001E035E"/>
    <w:rsid w:val="001E2F48"/>
    <w:rsid w:val="001F1CF4"/>
    <w:rsid w:val="0024456C"/>
    <w:rsid w:val="00254AEE"/>
    <w:rsid w:val="00263F25"/>
    <w:rsid w:val="0029092B"/>
    <w:rsid w:val="002B124C"/>
    <w:rsid w:val="002C33AC"/>
    <w:rsid w:val="002D0BF6"/>
    <w:rsid w:val="002D5656"/>
    <w:rsid w:val="002E58B6"/>
    <w:rsid w:val="002E68E9"/>
    <w:rsid w:val="002F35B0"/>
    <w:rsid w:val="00314289"/>
    <w:rsid w:val="0033211C"/>
    <w:rsid w:val="0033348E"/>
    <w:rsid w:val="00343120"/>
    <w:rsid w:val="00355CBF"/>
    <w:rsid w:val="0036015A"/>
    <w:rsid w:val="00371BC3"/>
    <w:rsid w:val="003739AB"/>
    <w:rsid w:val="0038639F"/>
    <w:rsid w:val="003905A9"/>
    <w:rsid w:val="00392E6E"/>
    <w:rsid w:val="003A47D3"/>
    <w:rsid w:val="003A5C14"/>
    <w:rsid w:val="00402615"/>
    <w:rsid w:val="00415BE8"/>
    <w:rsid w:val="004309FF"/>
    <w:rsid w:val="00444FF7"/>
    <w:rsid w:val="00460751"/>
    <w:rsid w:val="0047329D"/>
    <w:rsid w:val="004A3FB4"/>
    <w:rsid w:val="004B0F99"/>
    <w:rsid w:val="004B2D6D"/>
    <w:rsid w:val="004C4D5B"/>
    <w:rsid w:val="004E5D44"/>
    <w:rsid w:val="00505B4D"/>
    <w:rsid w:val="00523581"/>
    <w:rsid w:val="00532930"/>
    <w:rsid w:val="005738EF"/>
    <w:rsid w:val="00595CA6"/>
    <w:rsid w:val="005B2756"/>
    <w:rsid w:val="005C5F92"/>
    <w:rsid w:val="005C6A76"/>
    <w:rsid w:val="005D085B"/>
    <w:rsid w:val="005D7354"/>
    <w:rsid w:val="00603CAB"/>
    <w:rsid w:val="006064A7"/>
    <w:rsid w:val="006332E3"/>
    <w:rsid w:val="00644BBE"/>
    <w:rsid w:val="0065731E"/>
    <w:rsid w:val="00681341"/>
    <w:rsid w:val="006966DB"/>
    <w:rsid w:val="006B0B34"/>
    <w:rsid w:val="006B0D04"/>
    <w:rsid w:val="006C043B"/>
    <w:rsid w:val="006C2BAB"/>
    <w:rsid w:val="006F2A8B"/>
    <w:rsid w:val="006F63F2"/>
    <w:rsid w:val="00704482"/>
    <w:rsid w:val="00717160"/>
    <w:rsid w:val="007200F5"/>
    <w:rsid w:val="00774BC8"/>
    <w:rsid w:val="007B10E5"/>
    <w:rsid w:val="007D18B3"/>
    <w:rsid w:val="007D2DE6"/>
    <w:rsid w:val="00806D21"/>
    <w:rsid w:val="00820D59"/>
    <w:rsid w:val="00831440"/>
    <w:rsid w:val="00842112"/>
    <w:rsid w:val="00861060"/>
    <w:rsid w:val="008834D5"/>
    <w:rsid w:val="008939BA"/>
    <w:rsid w:val="008A570E"/>
    <w:rsid w:val="008A677A"/>
    <w:rsid w:val="008B579A"/>
    <w:rsid w:val="008C1FEE"/>
    <w:rsid w:val="008D6E73"/>
    <w:rsid w:val="008E5FDE"/>
    <w:rsid w:val="008E69A4"/>
    <w:rsid w:val="008F3C16"/>
    <w:rsid w:val="008F4DD5"/>
    <w:rsid w:val="00916D9D"/>
    <w:rsid w:val="009314C9"/>
    <w:rsid w:val="00934F2F"/>
    <w:rsid w:val="00937C95"/>
    <w:rsid w:val="00954372"/>
    <w:rsid w:val="00955254"/>
    <w:rsid w:val="00967900"/>
    <w:rsid w:val="00984A29"/>
    <w:rsid w:val="00987178"/>
    <w:rsid w:val="00987C98"/>
    <w:rsid w:val="00A11BAC"/>
    <w:rsid w:val="00A21FC9"/>
    <w:rsid w:val="00A35284"/>
    <w:rsid w:val="00A45536"/>
    <w:rsid w:val="00A51B40"/>
    <w:rsid w:val="00A570F8"/>
    <w:rsid w:val="00A57529"/>
    <w:rsid w:val="00A93A71"/>
    <w:rsid w:val="00AA0C2F"/>
    <w:rsid w:val="00AA0DAA"/>
    <w:rsid w:val="00AB5C62"/>
    <w:rsid w:val="00AC7B63"/>
    <w:rsid w:val="00AD2801"/>
    <w:rsid w:val="00AF41FD"/>
    <w:rsid w:val="00AF49F7"/>
    <w:rsid w:val="00B006E6"/>
    <w:rsid w:val="00B0393C"/>
    <w:rsid w:val="00B40A34"/>
    <w:rsid w:val="00B421F5"/>
    <w:rsid w:val="00B456C8"/>
    <w:rsid w:val="00B54879"/>
    <w:rsid w:val="00B56A5B"/>
    <w:rsid w:val="00B6023E"/>
    <w:rsid w:val="00B84085"/>
    <w:rsid w:val="00BA083B"/>
    <w:rsid w:val="00BA411D"/>
    <w:rsid w:val="00BA539F"/>
    <w:rsid w:val="00BC1260"/>
    <w:rsid w:val="00BC7499"/>
    <w:rsid w:val="00BF25AC"/>
    <w:rsid w:val="00BF45AC"/>
    <w:rsid w:val="00C1165D"/>
    <w:rsid w:val="00C3759C"/>
    <w:rsid w:val="00C456D4"/>
    <w:rsid w:val="00C50B08"/>
    <w:rsid w:val="00C92101"/>
    <w:rsid w:val="00C92B00"/>
    <w:rsid w:val="00C95D4A"/>
    <w:rsid w:val="00CA7E86"/>
    <w:rsid w:val="00CB40FC"/>
    <w:rsid w:val="00CC50D5"/>
    <w:rsid w:val="00CD588D"/>
    <w:rsid w:val="00CE29F7"/>
    <w:rsid w:val="00CF005F"/>
    <w:rsid w:val="00D21193"/>
    <w:rsid w:val="00D21E01"/>
    <w:rsid w:val="00D237DF"/>
    <w:rsid w:val="00D3133D"/>
    <w:rsid w:val="00D35D4F"/>
    <w:rsid w:val="00D4496F"/>
    <w:rsid w:val="00D475C8"/>
    <w:rsid w:val="00D5133E"/>
    <w:rsid w:val="00DB7670"/>
    <w:rsid w:val="00E1632F"/>
    <w:rsid w:val="00E36093"/>
    <w:rsid w:val="00E444B3"/>
    <w:rsid w:val="00E4456E"/>
    <w:rsid w:val="00E61F3B"/>
    <w:rsid w:val="00E73D7F"/>
    <w:rsid w:val="00E754EB"/>
    <w:rsid w:val="00E77A6C"/>
    <w:rsid w:val="00EB7144"/>
    <w:rsid w:val="00EE554F"/>
    <w:rsid w:val="00EF2E50"/>
    <w:rsid w:val="00EF7480"/>
    <w:rsid w:val="00F06372"/>
    <w:rsid w:val="00F45CFF"/>
    <w:rsid w:val="00F649D3"/>
    <w:rsid w:val="00F76965"/>
    <w:rsid w:val="00F86E9E"/>
    <w:rsid w:val="00F90D4C"/>
    <w:rsid w:val="00F91C33"/>
    <w:rsid w:val="00F938BD"/>
    <w:rsid w:val="00FA768E"/>
    <w:rsid w:val="00FB208C"/>
    <w:rsid w:val="00FF1263"/>
    <w:rsid w:val="00FF16D3"/>
    <w:rsid w:val="00FF287F"/>
    <w:rsid w:val="00FF797F"/>
    <w:rsid w:val="01E82965"/>
    <w:rsid w:val="036A36FA"/>
    <w:rsid w:val="03AC341B"/>
    <w:rsid w:val="04B75B53"/>
    <w:rsid w:val="0704077C"/>
    <w:rsid w:val="073F2601"/>
    <w:rsid w:val="074118D8"/>
    <w:rsid w:val="076D4AF0"/>
    <w:rsid w:val="09514299"/>
    <w:rsid w:val="0A532ED9"/>
    <w:rsid w:val="0B0D3F6E"/>
    <w:rsid w:val="0C2B1DA6"/>
    <w:rsid w:val="0E357021"/>
    <w:rsid w:val="0FD04DF1"/>
    <w:rsid w:val="10332874"/>
    <w:rsid w:val="126223A2"/>
    <w:rsid w:val="13952571"/>
    <w:rsid w:val="13C2783B"/>
    <w:rsid w:val="180430CC"/>
    <w:rsid w:val="180F1384"/>
    <w:rsid w:val="19CF234D"/>
    <w:rsid w:val="1AA870AB"/>
    <w:rsid w:val="1BA2153D"/>
    <w:rsid w:val="1CB430D6"/>
    <w:rsid w:val="1CDD4C87"/>
    <w:rsid w:val="1F74584C"/>
    <w:rsid w:val="2056147D"/>
    <w:rsid w:val="20B8286E"/>
    <w:rsid w:val="211E58C6"/>
    <w:rsid w:val="21951C25"/>
    <w:rsid w:val="26841D09"/>
    <w:rsid w:val="2A076AA2"/>
    <w:rsid w:val="2CC41453"/>
    <w:rsid w:val="2D962D7E"/>
    <w:rsid w:val="2E7A0258"/>
    <w:rsid w:val="2F2525DA"/>
    <w:rsid w:val="30D54CAA"/>
    <w:rsid w:val="31A27B5F"/>
    <w:rsid w:val="31DB2EB3"/>
    <w:rsid w:val="31F25AA8"/>
    <w:rsid w:val="329F6AB2"/>
    <w:rsid w:val="32CF37CC"/>
    <w:rsid w:val="38F75705"/>
    <w:rsid w:val="3FEE3D46"/>
    <w:rsid w:val="40FA1DCB"/>
    <w:rsid w:val="43AB75EA"/>
    <w:rsid w:val="43C00A15"/>
    <w:rsid w:val="46B24CA8"/>
    <w:rsid w:val="46E134D9"/>
    <w:rsid w:val="493360A3"/>
    <w:rsid w:val="4A582978"/>
    <w:rsid w:val="4A7D336C"/>
    <w:rsid w:val="4C4B56AF"/>
    <w:rsid w:val="4E4C1037"/>
    <w:rsid w:val="4F0A78D4"/>
    <w:rsid w:val="532D67D7"/>
    <w:rsid w:val="548768D8"/>
    <w:rsid w:val="556F0D11"/>
    <w:rsid w:val="5593378F"/>
    <w:rsid w:val="56C23920"/>
    <w:rsid w:val="57D165DD"/>
    <w:rsid w:val="5A3B7747"/>
    <w:rsid w:val="5D971DFA"/>
    <w:rsid w:val="5E6F70F2"/>
    <w:rsid w:val="60BB71EB"/>
    <w:rsid w:val="63E43B14"/>
    <w:rsid w:val="65282734"/>
    <w:rsid w:val="664704EC"/>
    <w:rsid w:val="66BA555F"/>
    <w:rsid w:val="694269A8"/>
    <w:rsid w:val="6D7C70DB"/>
    <w:rsid w:val="6DF76C34"/>
    <w:rsid w:val="6FDC5BA4"/>
    <w:rsid w:val="702A0695"/>
    <w:rsid w:val="710E7FA1"/>
    <w:rsid w:val="73332E0D"/>
    <w:rsid w:val="735F5A01"/>
    <w:rsid w:val="73FA534D"/>
    <w:rsid w:val="75A25FEE"/>
    <w:rsid w:val="7D3F2070"/>
    <w:rsid w:val="7F5068F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name="heading 2"/>
    <w:lsdException w:qFormat="1" w:uiPriority="9" w:name="heading 3"/>
    <w:lsdException w:qFormat="1" w:uiPriority="10" w:name="heading 4"/>
    <w:lsdException w:qFormat="1" w:uiPriority="11" w:name="heading 5"/>
    <w:lsdException w:qFormat="1" w:uiPriority="12"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Times New Roman" w:cstheme="minorBidi"/>
      <w:shd w:val="clear" w:color="000000" w:fill="auto"/>
      <w:lang w:val="en-US" w:eastAsia="zh-CN" w:bidi="ar-SA"/>
    </w:rPr>
  </w:style>
  <w:style w:type="paragraph" w:styleId="2">
    <w:name w:val="heading 1"/>
    <w:next w:val="1"/>
    <w:qFormat/>
    <w:uiPriority w:val="7"/>
    <w:pPr>
      <w:jc w:val="both"/>
      <w:outlineLvl w:val="0"/>
    </w:pPr>
    <w:rPr>
      <w:rFonts w:ascii="宋体" w:hAnsi="宋体" w:eastAsia="Times New Roman" w:cstheme="minorBidi"/>
      <w:sz w:val="28"/>
      <w:szCs w:val="28"/>
      <w:shd w:val="clear" w:color="000000" w:fill="auto"/>
      <w:lang w:val="en-US" w:eastAsia="zh-CN" w:bidi="ar-SA"/>
    </w:rPr>
  </w:style>
  <w:style w:type="paragraph" w:styleId="3">
    <w:name w:val="heading 2"/>
    <w:next w:val="1"/>
    <w:semiHidden/>
    <w:unhideWhenUsed/>
    <w:qFormat/>
    <w:uiPriority w:val="8"/>
    <w:pPr>
      <w:jc w:val="both"/>
      <w:outlineLvl w:val="1"/>
    </w:pPr>
    <w:rPr>
      <w:rFonts w:ascii="宋体" w:hAnsi="宋体" w:eastAsia="Times New Roman" w:cstheme="minorBidi"/>
      <w:shd w:val="clear" w:color="000000" w:fill="auto"/>
      <w:lang w:val="en-US" w:eastAsia="zh-CN" w:bidi="ar-SA"/>
    </w:rPr>
  </w:style>
  <w:style w:type="paragraph" w:styleId="4">
    <w:name w:val="heading 3"/>
    <w:next w:val="1"/>
    <w:semiHidden/>
    <w:unhideWhenUsed/>
    <w:qFormat/>
    <w:uiPriority w:val="9"/>
    <w:pPr>
      <w:ind w:left="1000" w:hanging="400"/>
      <w:jc w:val="both"/>
      <w:outlineLvl w:val="2"/>
    </w:pPr>
    <w:rPr>
      <w:rFonts w:ascii="宋体" w:hAnsi="宋体" w:eastAsia="Times New Roman" w:cstheme="minorBidi"/>
      <w:shd w:val="clear" w:color="000000" w:fill="auto"/>
      <w:lang w:val="en-US" w:eastAsia="zh-CN" w:bidi="ar-SA"/>
    </w:rPr>
  </w:style>
  <w:style w:type="paragraph" w:styleId="5">
    <w:name w:val="heading 4"/>
    <w:next w:val="1"/>
    <w:semiHidden/>
    <w:unhideWhenUsed/>
    <w:qFormat/>
    <w:uiPriority w:val="10"/>
    <w:pPr>
      <w:ind w:left="1200" w:hanging="400"/>
      <w:jc w:val="both"/>
      <w:outlineLvl w:val="3"/>
    </w:pPr>
    <w:rPr>
      <w:rFonts w:ascii="宋体" w:hAnsi="宋体" w:eastAsia="Times New Roman" w:cstheme="minorBidi"/>
      <w:b/>
      <w:shd w:val="clear" w:color="000000" w:fill="auto"/>
      <w:lang w:val="en-US" w:eastAsia="zh-CN" w:bidi="ar-SA"/>
    </w:rPr>
  </w:style>
  <w:style w:type="paragraph" w:styleId="6">
    <w:name w:val="heading 5"/>
    <w:next w:val="1"/>
    <w:semiHidden/>
    <w:unhideWhenUsed/>
    <w:qFormat/>
    <w:uiPriority w:val="11"/>
    <w:pPr>
      <w:ind w:left="1400" w:hanging="400"/>
      <w:jc w:val="both"/>
      <w:outlineLvl w:val="4"/>
    </w:pPr>
    <w:rPr>
      <w:rFonts w:ascii="宋体" w:hAnsi="宋体" w:eastAsia="Times New Roman" w:cstheme="minorBidi"/>
      <w:shd w:val="clear" w:color="000000" w:fill="auto"/>
      <w:lang w:val="en-US" w:eastAsia="zh-CN" w:bidi="ar-SA"/>
    </w:rPr>
  </w:style>
  <w:style w:type="paragraph" w:styleId="7">
    <w:name w:val="heading 6"/>
    <w:next w:val="1"/>
    <w:semiHidden/>
    <w:unhideWhenUsed/>
    <w:qFormat/>
    <w:uiPriority w:val="12"/>
    <w:pPr>
      <w:ind w:left="1600" w:hanging="400"/>
      <w:jc w:val="both"/>
      <w:outlineLvl w:val="5"/>
    </w:pPr>
    <w:rPr>
      <w:rFonts w:ascii="宋体" w:hAnsi="宋体" w:eastAsia="Times New Roman" w:cstheme="minorBidi"/>
      <w:b/>
      <w:shd w:val="clear" w:color="000000" w:fill="auto"/>
      <w:lang w:val="en-US" w:eastAsia="zh-CN" w:bidi="ar-SA"/>
    </w:rPr>
  </w:style>
  <w:style w:type="paragraph" w:styleId="8">
    <w:name w:val="heading 7"/>
    <w:next w:val="1"/>
    <w:qFormat/>
    <w:uiPriority w:val="13"/>
    <w:pPr>
      <w:ind w:left="1800" w:hanging="400"/>
      <w:jc w:val="both"/>
      <w:outlineLvl w:val="6"/>
    </w:pPr>
    <w:rPr>
      <w:rFonts w:ascii="宋体" w:hAnsi="宋体" w:eastAsia="Times New Roman" w:cstheme="minorBidi"/>
      <w:shd w:val="clear" w:color="000000" w:fill="auto"/>
      <w:lang w:val="en-US" w:eastAsia="zh-CN" w:bidi="ar-SA"/>
    </w:rPr>
  </w:style>
  <w:style w:type="paragraph" w:styleId="9">
    <w:name w:val="heading 8"/>
    <w:next w:val="1"/>
    <w:qFormat/>
    <w:uiPriority w:val="14"/>
    <w:pPr>
      <w:ind w:left="2000" w:hanging="400"/>
      <w:jc w:val="both"/>
      <w:outlineLvl w:val="7"/>
    </w:pPr>
    <w:rPr>
      <w:rFonts w:ascii="宋体" w:hAnsi="宋体" w:eastAsia="Times New Roman" w:cstheme="minorBidi"/>
      <w:shd w:val="clear" w:color="000000" w:fill="auto"/>
      <w:lang w:val="en-US" w:eastAsia="zh-CN" w:bidi="ar-SA"/>
    </w:rPr>
  </w:style>
  <w:style w:type="paragraph" w:styleId="10">
    <w:name w:val="heading 9"/>
    <w:next w:val="1"/>
    <w:qFormat/>
    <w:uiPriority w:val="15"/>
    <w:pPr>
      <w:ind w:left="2200" w:hanging="400"/>
      <w:jc w:val="both"/>
      <w:outlineLvl w:val="8"/>
    </w:pPr>
    <w:rPr>
      <w:rFonts w:ascii="宋体" w:hAnsi="宋体" w:eastAsia="Times New Roman" w:cstheme="minorBidi"/>
      <w:shd w:val="clear" w:color="000000" w:fill="auto"/>
      <w:lang w:val="en-US" w:eastAsia="zh-CN" w:bidi="ar-SA"/>
    </w:rPr>
  </w:style>
  <w:style w:type="character" w:default="1" w:styleId="27">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next w:val="1"/>
    <w:qFormat/>
    <w:uiPriority w:val="34"/>
    <w:pPr>
      <w:ind w:left="2550"/>
      <w:jc w:val="both"/>
    </w:pPr>
    <w:rPr>
      <w:rFonts w:ascii="宋体" w:hAnsi="宋体" w:eastAsia="Times New Roman" w:cstheme="minorBidi"/>
      <w:shd w:val="clear" w:color="000000" w:fill="auto"/>
      <w:lang w:val="en-US" w:eastAsia="zh-CN" w:bidi="ar-SA"/>
    </w:rPr>
  </w:style>
  <w:style w:type="paragraph" w:styleId="12">
    <w:name w:val="toc 5"/>
    <w:next w:val="1"/>
    <w:qFormat/>
    <w:uiPriority w:val="32"/>
    <w:pPr>
      <w:ind w:left="1700"/>
      <w:jc w:val="both"/>
    </w:pPr>
    <w:rPr>
      <w:rFonts w:ascii="宋体" w:hAnsi="宋体" w:eastAsia="Times New Roman" w:cstheme="minorBidi"/>
      <w:shd w:val="clear" w:color="000000" w:fill="auto"/>
      <w:lang w:val="en-US" w:eastAsia="zh-CN" w:bidi="ar-SA"/>
    </w:rPr>
  </w:style>
  <w:style w:type="paragraph" w:styleId="13">
    <w:name w:val="toc 3"/>
    <w:next w:val="1"/>
    <w:qFormat/>
    <w:uiPriority w:val="30"/>
    <w:pPr>
      <w:ind w:left="850"/>
      <w:jc w:val="both"/>
    </w:pPr>
    <w:rPr>
      <w:rFonts w:ascii="宋体" w:hAnsi="宋体" w:eastAsia="Times New Roman" w:cstheme="minorBidi"/>
      <w:shd w:val="clear" w:color="000000" w:fill="auto"/>
      <w:lang w:val="en-US" w:eastAsia="zh-CN" w:bidi="ar-SA"/>
    </w:rPr>
  </w:style>
  <w:style w:type="paragraph" w:styleId="14">
    <w:name w:val="toc 8"/>
    <w:next w:val="1"/>
    <w:qFormat/>
    <w:uiPriority w:val="35"/>
    <w:pPr>
      <w:ind w:left="2975"/>
      <w:jc w:val="both"/>
    </w:pPr>
    <w:rPr>
      <w:rFonts w:ascii="宋体" w:hAnsi="宋体" w:eastAsia="Times New Roman" w:cstheme="minorBidi"/>
      <w:shd w:val="clear" w:color="000000" w:fill="auto"/>
      <w:lang w:val="en-US" w:eastAsia="zh-CN" w:bidi="ar-SA"/>
    </w:rPr>
  </w:style>
  <w:style w:type="paragraph" w:styleId="15">
    <w:name w:val="Balloon Text"/>
    <w:basedOn w:val="1"/>
    <w:link w:val="55"/>
    <w:qFormat/>
    <w:uiPriority w:val="0"/>
    <w:rPr>
      <w:sz w:val="18"/>
      <w:szCs w:val="18"/>
      <w:shd w:val="clear" w:color="auto" w:fill="auto"/>
    </w:rPr>
  </w:style>
  <w:style w:type="paragraph" w:styleId="16">
    <w:name w:val="footer"/>
    <w:basedOn w:val="1"/>
    <w:link w:val="54"/>
    <w:qFormat/>
    <w:uiPriority w:val="0"/>
    <w:pPr>
      <w:tabs>
        <w:tab w:val="center" w:pos="4153"/>
        <w:tab w:val="right" w:pos="8306"/>
      </w:tabs>
    </w:pPr>
    <w:rPr>
      <w:sz w:val="18"/>
      <w:szCs w:val="18"/>
      <w:shd w:val="clear" w:color="auto" w:fill="auto"/>
    </w:rPr>
  </w:style>
  <w:style w:type="paragraph" w:styleId="17">
    <w:name w:val="header"/>
    <w:basedOn w:val="1"/>
    <w:link w:val="53"/>
    <w:qFormat/>
    <w:uiPriority w:val="0"/>
    <w:pPr>
      <w:tabs>
        <w:tab w:val="center" w:pos="4153"/>
        <w:tab w:val="right" w:pos="8306"/>
      </w:tabs>
      <w:jc w:val="center"/>
    </w:pPr>
    <w:rPr>
      <w:sz w:val="18"/>
      <w:szCs w:val="18"/>
      <w:shd w:val="clear" w:color="auto" w:fill="auto"/>
    </w:rPr>
  </w:style>
  <w:style w:type="paragraph" w:styleId="18">
    <w:name w:val="toc 1"/>
    <w:next w:val="1"/>
    <w:qFormat/>
    <w:uiPriority w:val="28"/>
    <w:pPr>
      <w:jc w:val="both"/>
    </w:pPr>
    <w:rPr>
      <w:rFonts w:ascii="宋体" w:hAnsi="宋体" w:eastAsia="Times New Roman" w:cstheme="minorBidi"/>
      <w:shd w:val="clear" w:color="000000" w:fill="auto"/>
      <w:lang w:val="en-US" w:eastAsia="zh-CN" w:bidi="ar-SA"/>
    </w:rPr>
  </w:style>
  <w:style w:type="paragraph" w:styleId="19">
    <w:name w:val="toc 4"/>
    <w:next w:val="1"/>
    <w:qFormat/>
    <w:uiPriority w:val="31"/>
    <w:pPr>
      <w:ind w:left="1275"/>
      <w:jc w:val="both"/>
    </w:pPr>
    <w:rPr>
      <w:rFonts w:ascii="宋体" w:hAnsi="宋体" w:eastAsia="Times New Roman" w:cstheme="minorBidi"/>
      <w:shd w:val="clear" w:color="000000" w:fill="auto"/>
      <w:lang w:val="en-US" w:eastAsia="zh-CN" w:bidi="ar-SA"/>
    </w:rPr>
  </w:style>
  <w:style w:type="paragraph" w:styleId="20">
    <w:name w:val="Subtitle"/>
    <w:qFormat/>
    <w:uiPriority w:val="16"/>
    <w:pPr>
      <w:jc w:val="center"/>
    </w:pPr>
    <w:rPr>
      <w:rFonts w:ascii="宋体" w:hAnsi="宋体" w:eastAsia="Times New Roman" w:cstheme="minorBidi"/>
      <w:sz w:val="24"/>
      <w:szCs w:val="24"/>
      <w:shd w:val="clear" w:color="000000" w:fill="auto"/>
      <w:lang w:val="en-US" w:eastAsia="zh-CN" w:bidi="ar-SA"/>
    </w:rPr>
  </w:style>
  <w:style w:type="paragraph" w:styleId="21">
    <w:name w:val="toc 6"/>
    <w:next w:val="1"/>
    <w:qFormat/>
    <w:uiPriority w:val="33"/>
    <w:pPr>
      <w:ind w:left="2125"/>
      <w:jc w:val="both"/>
    </w:pPr>
    <w:rPr>
      <w:rFonts w:ascii="宋体" w:hAnsi="宋体" w:eastAsia="Times New Roman" w:cstheme="minorBidi"/>
      <w:shd w:val="clear" w:color="000000" w:fill="auto"/>
      <w:lang w:val="en-US" w:eastAsia="zh-CN" w:bidi="ar-SA"/>
    </w:rPr>
  </w:style>
  <w:style w:type="paragraph" w:styleId="22">
    <w:name w:val="toc 2"/>
    <w:next w:val="1"/>
    <w:qFormat/>
    <w:uiPriority w:val="29"/>
    <w:pPr>
      <w:ind w:left="425"/>
      <w:jc w:val="both"/>
    </w:pPr>
    <w:rPr>
      <w:rFonts w:ascii="宋体" w:hAnsi="宋体" w:eastAsia="Times New Roman" w:cstheme="minorBidi"/>
      <w:shd w:val="clear" w:color="000000" w:fill="auto"/>
      <w:lang w:val="en-US" w:eastAsia="zh-CN" w:bidi="ar-SA"/>
    </w:rPr>
  </w:style>
  <w:style w:type="paragraph" w:styleId="23">
    <w:name w:val="toc 9"/>
    <w:next w:val="1"/>
    <w:qFormat/>
    <w:uiPriority w:val="36"/>
    <w:pPr>
      <w:ind w:left="3400"/>
      <w:jc w:val="both"/>
    </w:pPr>
    <w:rPr>
      <w:rFonts w:ascii="宋体" w:hAnsi="宋体" w:eastAsia="Times New Roman" w:cstheme="minorBidi"/>
      <w:shd w:val="clear" w:color="000000" w:fill="auto"/>
      <w:lang w:val="en-US" w:eastAsia="zh-CN" w:bidi="ar-SA"/>
    </w:rPr>
  </w:style>
  <w:style w:type="paragraph" w:styleId="24">
    <w:name w:val="Normal (Web)"/>
    <w:basedOn w:val="1"/>
    <w:qFormat/>
    <w:uiPriority w:val="0"/>
    <w:rPr>
      <w:rFonts w:ascii="Arial Unicode MS" w:hAnsi="Arial Unicode MS" w:eastAsia="Arial Unicode MS"/>
      <w:sz w:val="24"/>
      <w:szCs w:val="24"/>
      <w:shd w:val="clear" w:color="auto" w:fill="auto"/>
    </w:rPr>
  </w:style>
  <w:style w:type="paragraph" w:styleId="25">
    <w:name w:val="Title"/>
    <w:qFormat/>
    <w:uiPriority w:val="6"/>
    <w:pPr>
      <w:jc w:val="center"/>
    </w:pPr>
    <w:rPr>
      <w:rFonts w:ascii="宋体" w:hAnsi="宋体" w:eastAsia="Times New Roman" w:cstheme="minorBidi"/>
      <w:b/>
      <w:sz w:val="32"/>
      <w:szCs w:val="32"/>
      <w:shd w:val="clear" w:color="000000" w:fill="auto"/>
      <w:lang w:val="en-US" w:eastAsia="zh-CN" w:bidi="ar-SA"/>
    </w:rPr>
  </w:style>
  <w:style w:type="character" w:styleId="28">
    <w:name w:val="Strong"/>
    <w:qFormat/>
    <w:uiPriority w:val="20"/>
    <w:rPr>
      <w:b/>
      <w:w w:val="100"/>
      <w:sz w:val="21"/>
      <w:szCs w:val="21"/>
      <w:shd w:val="clear" w:color="000000" w:fill="auto"/>
    </w:rPr>
  </w:style>
  <w:style w:type="character" w:styleId="29">
    <w:name w:val="Emphasis"/>
    <w:qFormat/>
    <w:uiPriority w:val="20"/>
    <w:rPr>
      <w:i/>
      <w:w w:val="100"/>
      <w:sz w:val="21"/>
      <w:szCs w:val="21"/>
      <w:shd w:val="clear" w:color="000000" w:fill="auto"/>
    </w:rPr>
  </w:style>
  <w:style w:type="character" w:styleId="30">
    <w:name w:val="Hyperlink"/>
    <w:basedOn w:val="27"/>
    <w:semiHidden/>
    <w:unhideWhenUsed/>
    <w:qFormat/>
    <w:uiPriority w:val="0"/>
    <w:rPr>
      <w:color w:val="0000FF"/>
      <w:u w:val="single"/>
    </w:rPr>
  </w:style>
  <w:style w:type="paragraph" w:styleId="31">
    <w:name w:val="No Spacing"/>
    <w:qFormat/>
    <w:uiPriority w:val="5"/>
    <w:pPr>
      <w:jc w:val="both"/>
    </w:pPr>
    <w:rPr>
      <w:rFonts w:ascii="宋体" w:hAnsi="宋体" w:eastAsia="Times New Roman" w:cstheme="minorBidi"/>
      <w:shd w:val="clear" w:color="000000" w:fill="auto"/>
      <w:lang w:val="en-US" w:eastAsia="zh-CN" w:bidi="ar-SA"/>
    </w:rPr>
  </w:style>
  <w:style w:type="character" w:customStyle="1" w:styleId="32">
    <w:name w:val="不明显强调1"/>
    <w:qFormat/>
    <w:uiPriority w:val="17"/>
    <w:rPr>
      <w:i/>
      <w:color w:val="404040"/>
      <w:w w:val="100"/>
      <w:sz w:val="21"/>
      <w:szCs w:val="21"/>
      <w:shd w:val="clear" w:color="auto" w:fill="auto"/>
    </w:rPr>
  </w:style>
  <w:style w:type="character" w:customStyle="1" w:styleId="33">
    <w:name w:val="明显强调1"/>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宋体" w:hAnsi="宋体" w:eastAsia="Times New Roman" w:cstheme="minorBidi"/>
      <w:i/>
      <w:color w:val="404040"/>
      <w:shd w:val="clear" w:color="000000" w:fill="auto"/>
      <w:lang w:val="en-US" w:eastAsia="zh-CN" w:bidi="ar-SA"/>
    </w:rPr>
  </w:style>
  <w:style w:type="paragraph" w:styleId="35">
    <w:name w:val="Intense Quote"/>
    <w:qFormat/>
    <w:uiPriority w:val="22"/>
    <w:pPr>
      <w:ind w:left="950" w:right="950"/>
      <w:jc w:val="center"/>
    </w:pPr>
    <w:rPr>
      <w:rFonts w:ascii="宋体" w:hAnsi="宋体" w:eastAsia="Times New Roman" w:cstheme="minorBidi"/>
      <w:i/>
      <w:color w:val="5B9BD5"/>
      <w:shd w:val="clear" w:color="000000" w:fill="auto"/>
      <w:lang w:val="en-US" w:eastAsia="zh-CN" w:bidi="ar-SA"/>
    </w:rPr>
  </w:style>
  <w:style w:type="character" w:customStyle="1" w:styleId="36">
    <w:name w:val="不明显参考1"/>
    <w:qFormat/>
    <w:uiPriority w:val="23"/>
    <w:rPr>
      <w:smallCaps/>
      <w:color w:val="5A5A5A"/>
      <w:w w:val="100"/>
      <w:sz w:val="21"/>
      <w:szCs w:val="21"/>
      <w:shd w:val="clear" w:color="auto" w:fill="auto"/>
    </w:rPr>
  </w:style>
  <w:style w:type="character" w:customStyle="1" w:styleId="37">
    <w:name w:val="明显参考1"/>
    <w:qFormat/>
    <w:uiPriority w:val="24"/>
    <w:rPr>
      <w:b/>
      <w:smallCaps/>
      <w:color w:val="5B9BD5"/>
      <w:w w:val="100"/>
      <w:sz w:val="21"/>
      <w:szCs w:val="21"/>
      <w:shd w:val="clear" w:color="auto" w:fill="auto"/>
    </w:rPr>
  </w:style>
  <w:style w:type="character" w:customStyle="1" w:styleId="38">
    <w:name w:val="书籍标题1"/>
    <w:qFormat/>
    <w:uiPriority w:val="25"/>
    <w:rPr>
      <w:b/>
      <w:i/>
      <w:w w:val="100"/>
      <w:sz w:val="21"/>
      <w:szCs w:val="21"/>
      <w:shd w:val="clear" w:color="auto" w:fill="auto"/>
    </w:rPr>
  </w:style>
  <w:style w:type="paragraph" w:styleId="39">
    <w:name w:val="List Paragraph"/>
    <w:qFormat/>
    <w:uiPriority w:val="26"/>
    <w:pPr>
      <w:ind w:left="850"/>
      <w:jc w:val="both"/>
    </w:pPr>
    <w:rPr>
      <w:rFonts w:ascii="宋体" w:hAnsi="宋体" w:eastAsia="Times New Roman" w:cstheme="minorBidi"/>
      <w:shd w:val="clear" w:color="000000" w:fill="auto"/>
      <w:lang w:val="en-US" w:eastAsia="zh-CN" w:bidi="ar-SA"/>
    </w:rPr>
  </w:style>
  <w:style w:type="paragraph" w:customStyle="1" w:styleId="40">
    <w:name w:val="目录标题1"/>
    <w:unhideWhenUsed/>
    <w:qFormat/>
    <w:uiPriority w:val="27"/>
    <w:rPr>
      <w:rFonts w:ascii="Calibri" w:hAnsi="Calibri" w:eastAsia="Times New Roman" w:cstheme="minorBidi"/>
      <w:color w:val="2E74B5"/>
      <w:sz w:val="32"/>
      <w:szCs w:val="32"/>
      <w:lang w:val="en-US" w:eastAsia="zh-CN" w:bidi="ar-SA"/>
    </w:rPr>
  </w:style>
  <w:style w:type="character" w:customStyle="1" w:styleId="41">
    <w:name w:val="不明显强调111"/>
    <w:qFormat/>
    <w:uiPriority w:val="0"/>
    <w:rPr>
      <w:i/>
      <w:color w:val="404040"/>
      <w:w w:val="100"/>
      <w:sz w:val="21"/>
      <w:szCs w:val="21"/>
      <w:shd w:val="clear" w:color="000000" w:fill="auto"/>
    </w:rPr>
  </w:style>
  <w:style w:type="character" w:customStyle="1" w:styleId="42">
    <w:name w:val="明显强调111"/>
    <w:qFormat/>
    <w:uiPriority w:val="0"/>
    <w:rPr>
      <w:i/>
      <w:color w:val="5B9BD5"/>
      <w:w w:val="100"/>
      <w:sz w:val="21"/>
      <w:szCs w:val="21"/>
      <w:shd w:val="clear" w:color="000000" w:fill="auto"/>
    </w:rPr>
  </w:style>
  <w:style w:type="character" w:customStyle="1" w:styleId="43">
    <w:name w:val="不明显参考111"/>
    <w:qFormat/>
    <w:uiPriority w:val="0"/>
    <w:rPr>
      <w:smallCaps/>
      <w:color w:val="5A5A5A"/>
      <w:w w:val="100"/>
      <w:sz w:val="21"/>
      <w:szCs w:val="21"/>
      <w:shd w:val="clear" w:color="000000" w:fill="auto"/>
    </w:rPr>
  </w:style>
  <w:style w:type="character" w:customStyle="1" w:styleId="44">
    <w:name w:val="明显参考111"/>
    <w:qFormat/>
    <w:uiPriority w:val="0"/>
    <w:rPr>
      <w:b/>
      <w:smallCaps/>
      <w:color w:val="5B9BD5"/>
      <w:w w:val="100"/>
      <w:sz w:val="21"/>
      <w:szCs w:val="21"/>
      <w:shd w:val="clear" w:color="000000" w:fill="auto"/>
    </w:rPr>
  </w:style>
  <w:style w:type="character" w:customStyle="1" w:styleId="45">
    <w:name w:val="书籍标题111"/>
    <w:qFormat/>
    <w:uiPriority w:val="0"/>
    <w:rPr>
      <w:b/>
      <w:i/>
      <w:w w:val="100"/>
      <w:sz w:val="21"/>
      <w:szCs w:val="21"/>
      <w:shd w:val="clear" w:color="000000" w:fill="auto"/>
    </w:rPr>
  </w:style>
  <w:style w:type="paragraph" w:customStyle="1" w:styleId="46">
    <w:name w:val="TOC 标题1"/>
    <w:unhideWhenUsed/>
    <w:qFormat/>
    <w:uiPriority w:val="0"/>
    <w:rPr>
      <w:rFonts w:ascii="Calibri" w:hAnsi="Calibri" w:eastAsia="Times New Roman" w:cstheme="minorBidi"/>
      <w:color w:val="2E74B5"/>
      <w:sz w:val="32"/>
      <w:szCs w:val="32"/>
      <w:lang w:val="en-US" w:eastAsia="zh-CN" w:bidi="ar-SA"/>
    </w:rPr>
  </w:style>
  <w:style w:type="character" w:customStyle="1" w:styleId="47">
    <w:name w:val="不明显强调11"/>
    <w:qFormat/>
    <w:uiPriority w:val="0"/>
    <w:rPr>
      <w:i/>
      <w:color w:val="404040"/>
      <w:w w:val="100"/>
      <w:sz w:val="21"/>
      <w:szCs w:val="21"/>
      <w:shd w:val="clear" w:color="000000" w:fill="auto"/>
    </w:rPr>
  </w:style>
  <w:style w:type="character" w:customStyle="1" w:styleId="48">
    <w:name w:val="明显强调11"/>
    <w:qFormat/>
    <w:uiPriority w:val="0"/>
    <w:rPr>
      <w:i/>
      <w:color w:val="5B9BD5"/>
      <w:w w:val="100"/>
      <w:sz w:val="21"/>
      <w:szCs w:val="21"/>
      <w:shd w:val="clear" w:color="000000" w:fill="auto"/>
    </w:rPr>
  </w:style>
  <w:style w:type="character" w:customStyle="1" w:styleId="49">
    <w:name w:val="不明显参考11"/>
    <w:qFormat/>
    <w:uiPriority w:val="0"/>
    <w:rPr>
      <w:smallCaps/>
      <w:color w:val="5A5A5A"/>
      <w:w w:val="100"/>
      <w:sz w:val="21"/>
      <w:szCs w:val="21"/>
      <w:shd w:val="clear" w:color="000000" w:fill="auto"/>
    </w:rPr>
  </w:style>
  <w:style w:type="character" w:customStyle="1" w:styleId="50">
    <w:name w:val="明显参考11"/>
    <w:qFormat/>
    <w:uiPriority w:val="0"/>
    <w:rPr>
      <w:b/>
      <w:smallCaps/>
      <w:color w:val="5B9BD5"/>
      <w:w w:val="100"/>
      <w:sz w:val="21"/>
      <w:szCs w:val="21"/>
      <w:shd w:val="clear" w:color="000000" w:fill="auto"/>
    </w:rPr>
  </w:style>
  <w:style w:type="character" w:customStyle="1" w:styleId="51">
    <w:name w:val="书籍标题11"/>
    <w:qFormat/>
    <w:uiPriority w:val="0"/>
    <w:rPr>
      <w:b/>
      <w:i/>
      <w:w w:val="100"/>
      <w:sz w:val="21"/>
      <w:szCs w:val="21"/>
      <w:shd w:val="clear" w:color="000000" w:fill="auto"/>
    </w:rPr>
  </w:style>
  <w:style w:type="paragraph" w:customStyle="1" w:styleId="52">
    <w:name w:val="TOC 标题11"/>
    <w:qFormat/>
    <w:uiPriority w:val="0"/>
    <w:rPr>
      <w:rFonts w:ascii="宋体" w:hAnsi="宋体" w:eastAsia="Times New Roman" w:cstheme="minorBidi"/>
      <w:color w:val="2E74B5"/>
      <w:sz w:val="32"/>
      <w:szCs w:val="32"/>
      <w:shd w:val="clear" w:color="000000" w:fill="auto"/>
      <w:lang w:val="en-US" w:eastAsia="zh-CN" w:bidi="ar-SA"/>
    </w:rPr>
  </w:style>
  <w:style w:type="character" w:customStyle="1" w:styleId="53">
    <w:name w:val="页眉字符"/>
    <w:basedOn w:val="27"/>
    <w:link w:val="17"/>
    <w:qFormat/>
    <w:uiPriority w:val="0"/>
    <w:rPr>
      <w:w w:val="100"/>
      <w:sz w:val="18"/>
      <w:szCs w:val="18"/>
      <w:shd w:val="clear" w:color="000000" w:fill="auto"/>
    </w:rPr>
  </w:style>
  <w:style w:type="character" w:customStyle="1" w:styleId="54">
    <w:name w:val="页脚字符"/>
    <w:basedOn w:val="27"/>
    <w:link w:val="16"/>
    <w:qFormat/>
    <w:uiPriority w:val="0"/>
    <w:rPr>
      <w:w w:val="100"/>
      <w:sz w:val="18"/>
      <w:szCs w:val="18"/>
      <w:shd w:val="clear" w:color="000000" w:fill="auto"/>
    </w:rPr>
  </w:style>
  <w:style w:type="character" w:customStyle="1" w:styleId="55">
    <w:name w:val="批注框文本字符"/>
    <w:basedOn w:val="27"/>
    <w:link w:val="15"/>
    <w:qFormat/>
    <w:uiPriority w:val="0"/>
    <w:rPr>
      <w:w w:val="100"/>
      <w:sz w:val="18"/>
      <w:szCs w:val="18"/>
      <w:shd w:val="clear" w:color="000000"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010-87670115</Company>
  <Pages>6</Pages>
  <Words>3644</Words>
  <Characters>3972</Characters>
  <Lines>31</Lines>
  <Paragraphs>8</Paragraphs>
  <TotalTime>6</TotalTime>
  <ScaleCrop>false</ScaleCrop>
  <LinksUpToDate>false</LinksUpToDate>
  <CharactersWithSpaces>4187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2023-07-04T01:30:00Z</dcterms:created>
  <dc:creator>王莉</dc:creator>
  <dc:description>公众号：安全生产管理知识</dc:description>
  <cp:keywords>010-87670115</cp:keywords>
  <cp:lastModifiedBy>WPS_1665626516</cp:lastModifiedBy>
  <dcterms:modified xsi:type="dcterms:W3CDTF">2023-07-11T03:32:13Z</dcterms:modified>
  <dc:subject>最新政策法规解读、应急预案修订等安全和应急管理相关知识</dc:subject>
  <dc:title>2021年上半年安全生产管理培训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A826F70A1DE642DB83C94D07B665D86A_13</vt:lpwstr>
  </property>
</Properties>
</file>