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-391795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4.45pt;margin-top:-30.85pt;height:31.2pt;width:65.7pt;z-index:251661312;mso-width-relative:page;mso-height-relative:page;" filled="f" stroked="f" coordsize="21600,21600" o:gfxdata="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G5Yu7YAAAABgEAAA8AAAAAAAAAAQAgAAAAIgAAAGRycy9kb3ducmV2LnhtbFBLAQIUABQA&#10;AAAIAIdO4kBd3k2vtwEAAFkDAAAOAAAAAAAAAAEAIAAAACc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8890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2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29.45pt;margin-top:0.7pt;height:25.15pt;width:196.6pt;z-index:251660288;mso-width-relative:page;mso-height-relative:page;" coordorigin="11905,2498" coordsize="3773,503" o:gfxdata="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kmXV/tkAAAAIAQAADwAAAAAAAAABACAAAAAiAAAAZHJzL2Rvd25yZXYueG1sUEsB&#10;AhQAFAAAAAgAh07iQKRYmZvYAgAAPgcAAA4AAAAAAAAAAQAgAAAAKAEAAGRycy9lMm9Eb2MueG1s&#10;UEsFBgAAAAAGAAYAWQEAAHIGAAAAAA=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jc w:val="left"/>
        <w:rPr>
          <w:rFonts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《财税战略：基于全程交易设计的财税模式》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宋守成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                              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</w:rPr>
        <w:t xml:space="preserve"> 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日9:30至17:00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日9:30至1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杭州市文一西路522号西溪科创园8幢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光华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学习</w:t>
      </w:r>
      <w:r>
        <w:rPr>
          <w:rFonts w:hint="eastAsia" w:ascii="黑体" w:hAnsi="黑体" w:eastAsia="黑体" w:cs="黑体"/>
          <w:sz w:val="28"/>
          <w:szCs w:val="28"/>
        </w:rPr>
        <w:t>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现金票4200元/人 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077" w:right="1746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sz w:val="28"/>
          <w:szCs w:val="28"/>
        </w:rPr>
        <w:t>50人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三电时代(电子支付、电子发票、电子货币)</w:t>
      </w:r>
      <w:r>
        <w:rPr>
          <w:rFonts w:hint="eastAsia" w:ascii="宋体" w:hAnsi="宋体" w:cs="宋体"/>
          <w:bCs/>
          <w:szCs w:val="22"/>
          <w:lang w:val="en-US" w:eastAsia="zh-CN"/>
        </w:rPr>
        <w:t>,</w:t>
      </w:r>
      <w:r>
        <w:rPr>
          <w:rFonts w:hint="eastAsia" w:ascii="宋体" w:hAnsi="宋体" w:cs="宋体"/>
          <w:bCs/>
          <w:szCs w:val="22"/>
        </w:rPr>
        <w:t>企业经营监管环境彻底革新。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国家在2025年前要实现以“数”控税，那么当下了解财税战略，是可以决定企业和老板命运的。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公司</w:t>
      </w:r>
      <w:r>
        <w:rPr>
          <w:rFonts w:hint="eastAsia" w:ascii="宋体" w:hAnsi="宋体" w:cs="宋体"/>
          <w:bCs/>
          <w:szCs w:val="22"/>
        </w:rPr>
        <w:t>积累了大量税务风险?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资金效率太低，成本高，利润薄，风险大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各行各业的企业老板，业务决策时觉得有税务风险却无从下手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有税务困惑，不知如何切入，周边没有专业可信赖的朋友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Cs w:val="22"/>
        </w:rPr>
        <w:t>企业</w:t>
      </w:r>
      <w:r>
        <w:rPr>
          <w:rFonts w:ascii="宋体" w:hAnsi="宋体" w:cs="宋体"/>
          <w:bCs/>
          <w:szCs w:val="22"/>
        </w:rPr>
        <w:t>财务高管</w:t>
      </w:r>
      <w:r>
        <w:rPr>
          <w:rFonts w:hint="eastAsia" w:ascii="宋体" w:hAnsi="宋体" w:cs="宋体"/>
          <w:bCs/>
          <w:szCs w:val="22"/>
        </w:rPr>
        <w:t>、</w:t>
      </w:r>
      <w:r>
        <w:rPr>
          <w:rFonts w:ascii="宋体" w:hAnsi="宋体" w:cs="宋体"/>
          <w:bCs/>
          <w:szCs w:val="22"/>
        </w:rPr>
        <w:t>经理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widowControl/>
        <w:jc w:val="left"/>
        <w:rPr>
          <w:rFonts w:ascii="宋体" w:hAnsi="宋体" w:cs="宋体"/>
          <w:bCs/>
          <w:szCs w:val="2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6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掌握顶尖企业财税战略的底层逻辑</w:t>
      </w:r>
    </w:p>
    <w:p>
      <w:pPr>
        <w:widowControl/>
        <w:numPr>
          <w:ilvl w:val="0"/>
          <w:numId w:val="6"/>
        </w:numPr>
        <w:jc w:val="left"/>
        <w:rPr>
          <w:rFonts w:ascii="宋体" w:hAnsi="宋体" w:cs="宋体"/>
          <w:bCs/>
          <w:szCs w:val="22"/>
        </w:rPr>
      </w:pPr>
      <w:r>
        <w:rPr>
          <w:rFonts w:ascii="宋体" w:hAnsi="宋体" w:cs="宋体"/>
          <w:bCs/>
          <w:szCs w:val="22"/>
        </w:rPr>
        <w:t>现场梳理企业的</w:t>
      </w:r>
      <w:r>
        <w:rPr>
          <w:rFonts w:hint="eastAsia" w:ascii="宋体" w:hAnsi="宋体" w:cs="宋体"/>
          <w:bCs/>
          <w:szCs w:val="22"/>
        </w:rPr>
        <w:t>财税战略落地手</w:t>
      </w:r>
      <w:r>
        <w:rPr>
          <w:rFonts w:ascii="宋体" w:hAnsi="宋体" w:cs="宋体"/>
          <w:bCs/>
          <w:szCs w:val="22"/>
        </w:rPr>
        <w:t>册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  <w:r>
        <w:drawing>
          <wp:inline distT="0" distB="0" distL="114300" distR="114300">
            <wp:extent cx="3965575" cy="2419350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7"/>
        </w:numPr>
        <w:rPr>
          <w:b/>
          <w:bCs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一、交易生税，所以节税就要全程交易设计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</w:rPr>
        <w:t>什么是税:交易生税</w:t>
      </w:r>
    </w:p>
    <w:p>
      <w:pPr>
        <w:numPr>
          <w:ilvl w:val="0"/>
          <w:numId w:val="8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因为交易产生流转税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如增值税、消费税、关税</w:t>
      </w:r>
    </w:p>
    <w:p>
      <w:pPr>
        <w:numPr>
          <w:ilvl w:val="0"/>
          <w:numId w:val="8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因为交易产生所得税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如企业所得税、个人所得税</w:t>
      </w:r>
    </w:p>
    <w:p>
      <w:pPr>
        <w:numPr>
          <w:ilvl w:val="0"/>
          <w:numId w:val="8"/>
        </w:numPr>
        <w:ind w:left="635" w:leftChars="0" w:hanging="425" w:firstLineChars="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因为交易产生其他税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</w:rPr>
        <w:t>交易生税意味着什么呢?</w:t>
      </w:r>
    </w:p>
    <w:p>
      <w:pPr>
        <w:numPr>
          <w:ilvl w:val="0"/>
          <w:numId w:val="9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交易生税意味着虚假交易就是偷税漏税</w:t>
      </w:r>
    </w:p>
    <w:p>
      <w:pPr>
        <w:numPr>
          <w:ilvl w:val="0"/>
          <w:numId w:val="9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交易生税意味着交易本身必须真实以及事前税筹</w:t>
      </w:r>
    </w:p>
    <w:p>
      <w:pPr>
        <w:numPr>
          <w:ilvl w:val="0"/>
          <w:numId w:val="9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交易生税意味着交易不同，税不同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如果你理解了税的本质，那你就能理解财税战略的底层逻辑，财税战略就是通过全程交易谋划才税得香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全程交易谋划有两大理念</w:t>
      </w:r>
    </w:p>
    <w:p>
      <w:pPr>
        <w:numPr>
          <w:ilvl w:val="0"/>
          <w:numId w:val="10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应缴尽缴</w:t>
      </w:r>
    </w:p>
    <w:p>
      <w:pPr>
        <w:numPr>
          <w:ilvl w:val="0"/>
          <w:numId w:val="10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应享尽享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财税战略对我们的企业家意味着什么呢?</w:t>
      </w:r>
    </w:p>
    <w:p>
      <w:pPr>
        <w:numPr>
          <w:ilvl w:val="0"/>
          <w:numId w:val="11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财税战略要站在经营的高度</w:t>
      </w:r>
    </w:p>
    <w:p>
      <w:pPr>
        <w:numPr>
          <w:ilvl w:val="0"/>
          <w:numId w:val="11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财税战略第一责任人是老板</w:t>
      </w:r>
    </w:p>
    <w:p>
      <w:pPr>
        <w:numPr>
          <w:ilvl w:val="0"/>
          <w:numId w:val="11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财税战略不止是财务部的事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二、基于全程交易设计的财税战略是老板的第一要务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财税战略刻不容缓有三大原因</w:t>
      </w:r>
    </w:p>
    <w:p>
      <w:pPr>
        <w:numPr>
          <w:ilvl w:val="0"/>
          <w:numId w:val="12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国家严监管，财税战略实施刻不容缓!</w:t>
      </w:r>
    </w:p>
    <w:p>
      <w:pPr>
        <w:numPr>
          <w:ilvl w:val="0"/>
          <w:numId w:val="12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企业有价值，财税战略实施刻不容缓!</w:t>
      </w:r>
    </w:p>
    <w:p>
      <w:pPr>
        <w:numPr>
          <w:ilvl w:val="0"/>
          <w:numId w:val="12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阳光聚资源，财税战略实施刻不容缓!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偷税漏税后果日益严重，有哪些后果?</w:t>
      </w:r>
    </w:p>
    <w:p>
      <w:pPr>
        <w:numPr>
          <w:ilvl w:val="0"/>
          <w:numId w:val="13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偷税漏税的民事处罚包括哪些?</w:t>
      </w:r>
    </w:p>
    <w:p>
      <w:pPr>
        <w:numPr>
          <w:ilvl w:val="0"/>
          <w:numId w:val="13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偷税漏税的刑事处罚包括哪些?</w:t>
      </w:r>
    </w:p>
    <w:p>
      <w:pPr>
        <w:numPr>
          <w:ilvl w:val="0"/>
          <w:numId w:val="13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企业被罚5000万，需要坐牢吗? 免死金牌有没有?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三、如何基于“全程交易设计”实施财税战略?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</w:rPr>
        <w:t>三板斧: 通过这三板斧，确定企业可以设计的突破口</w:t>
      </w:r>
    </w:p>
    <w:p>
      <w:pPr>
        <w:numPr>
          <w:ilvl w:val="0"/>
          <w:numId w:val="14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交易主体</w:t>
      </w:r>
    </w:p>
    <w:p>
      <w:pPr>
        <w:numPr>
          <w:ilvl w:val="0"/>
          <w:numId w:val="14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交易关系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5"/>
        </w:num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天龙八部:基于以上的突破口，按照以下八步骤形成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1"/>
          <w:szCs w:val="21"/>
        </w:rPr>
        <w:t>自己企业的全程交易设计财税战略合规手册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罗列风险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确定最坏情况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梳理交易结构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放大节税可能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寻找关键突破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确定合规要求</w:t>
      </w:r>
    </w:p>
    <w:p>
      <w:pPr>
        <w:numPr>
          <w:ilvl w:val="0"/>
          <w:numId w:val="16"/>
        </w:numPr>
        <w:ind w:left="635" w:leftChars="0" w:hanging="425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设计节税方案</w:t>
      </w:r>
    </w:p>
    <w:p>
      <w:pPr>
        <w:numPr>
          <w:ilvl w:val="0"/>
          <w:numId w:val="16"/>
        </w:numPr>
        <w:ind w:left="635" w:leftChars="0" w:hanging="425" w:firstLineChars="0"/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实施节税工程</w:t>
      </w:r>
    </w:p>
    <w:p/>
    <w:p/>
    <w:p/>
    <w:p/>
    <w:p/>
    <w:p/>
    <w:p>
      <w:pPr>
        <w:rPr>
          <w:rFonts w:ascii="宋体" w:hAnsi="宋体" w:cs="宋体"/>
          <w:b/>
          <w:szCs w:val="21"/>
        </w:rPr>
      </w:pPr>
    </w:p>
    <w:p>
      <w:pPr>
        <w:rPr>
          <w:rFonts w:ascii="宋体" w:hAnsi="宋体" w:cs="宋体"/>
          <w:b/>
          <w:szCs w:val="21"/>
        </w:rPr>
      </w:pPr>
      <w:r>
        <w:drawing>
          <wp:inline distT="0" distB="0" distL="114300" distR="114300">
            <wp:extent cx="2008505" cy="2282190"/>
            <wp:effectExtent l="0" t="0" r="10795" b="3810"/>
            <wp:docPr id="4" name="图片 4" descr="C:\Users\Administrator\Desktop\宋守成.jpg宋守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宋守成.jpg宋守成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251460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宋守成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前阿里巴巴中国区财务总监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 w:eastAsia="zh-TW"/>
                              </w:rPr>
                              <w:t>前英国石油公司亚太区LPG财务总监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1.3pt;margin-top:19.8pt;height:168.75pt;width:307pt;z-index:251663360;mso-width-relative:page;mso-height-relative:page;" fillcolor="#FFFFFF" filled="t" stroked="f" coordsize="21600,21600" o:gfxdata="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gcdmdkAAAAKAQAADwAAAAAA&#10;AAABACAAAAAiAAAAZHJzL2Rvd25yZXYueG1sUEsBAhQAFAAAAAgAh07iQL4o6lsSAgAAMwQAAA4A&#10;AAAAAAAAAQAgAAAAKA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宋守成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前阿里巴巴中国区财务总监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 w:eastAsia="zh-TW"/>
                        </w:rPr>
                        <w:t>前英国石油公司亚太区LPG财务总监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TW"/>
        </w:rPr>
        <w:t>中国注册会计师协会非执业会员（CICPA）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  <w:lang w:eastAsia="zh-TW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TW"/>
        </w:rPr>
        <w:t>英国皇家注册会计师协会资深会员（FCCA）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TW"/>
        </w:rPr>
        <w:t>芝加哥大学工商管理硕士（MBA）</w:t>
      </w: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ind w:firstLine="420" w:firstLineChars="200"/>
        <w:jc w:val="left"/>
        <w:rPr>
          <w:rFonts w:ascii="宋体" w:cs="Tahoma"/>
          <w:szCs w:val="21"/>
        </w:rPr>
      </w:pPr>
      <w:r>
        <w:rPr>
          <w:rFonts w:hint="eastAsia" w:ascii="宋体" w:cs="Tahoma"/>
          <w:szCs w:val="21"/>
        </w:rPr>
        <w:t>为数百家大中型企业提供财税顾问及咨询服务，帮助老板构建财务管理能力，驾驭财务经理，看懂财务报表、并利用财务手段，节税、控制成本、倍增利润、降低风险，从而达到保证财富安全，盈利能力不断增长</w:t>
      </w: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94615</wp:posOffset>
            </wp:positionV>
            <wp:extent cx="2972435" cy="3078480"/>
            <wp:effectExtent l="0" t="0" r="18415" b="762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27305</wp:posOffset>
            </wp:positionV>
            <wp:extent cx="3141345" cy="3176270"/>
            <wp:effectExtent l="0" t="0" r="1905" b="5080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2"/>
        <w:spacing w:before="0" w:beforeAutospacing="0" w:after="0" w:afterAutospacing="0" w:line="480" w:lineRule="auto"/>
        <w:ind w:firstLine="420" w:firstLineChars="200"/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5"/>
        <w:ind w:firstLine="0" w:firstLineChars="0"/>
        <w:jc w:val="lef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 w:cs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杭</w:t>
      </w:r>
    </w:p>
    <w:sectPr>
      <w:type w:val="continuous"/>
      <w:pgSz w:w="11906" w:h="16838"/>
      <w:pgMar w:top="1134" w:right="777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宋体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0F6D5"/>
    <w:multiLevelType w:val="singleLevel"/>
    <w:tmpl w:val="8DA0F6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DC1DE33"/>
    <w:multiLevelType w:val="singleLevel"/>
    <w:tmpl w:val="8DC1DE33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2">
    <w:nsid w:val="ADA256E5"/>
    <w:multiLevelType w:val="singleLevel"/>
    <w:tmpl w:val="ADA256E5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3">
    <w:nsid w:val="C1C494A2"/>
    <w:multiLevelType w:val="singleLevel"/>
    <w:tmpl w:val="C1C494A2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 w:ascii="宋体" w:hAnsi="宋体" w:eastAsia="宋体" w:cs="宋体"/>
        <w:b w:val="0"/>
        <w:bCs w:val="0"/>
        <w:sz w:val="21"/>
        <w:szCs w:val="21"/>
      </w:rPr>
    </w:lvl>
  </w:abstractNum>
  <w:abstractNum w:abstractNumId="4">
    <w:nsid w:val="D200C69C"/>
    <w:multiLevelType w:val="singleLevel"/>
    <w:tmpl w:val="D200C69C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5">
    <w:nsid w:val="D5A4F947"/>
    <w:multiLevelType w:val="singleLevel"/>
    <w:tmpl w:val="D5A4F9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D718D415"/>
    <w:multiLevelType w:val="singleLevel"/>
    <w:tmpl w:val="D718D415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7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9459EB8"/>
    <w:multiLevelType w:val="singleLevel"/>
    <w:tmpl w:val="29459EB8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 w:ascii="宋体" w:hAnsi="宋体" w:eastAsia="宋体" w:cs="宋体"/>
        <w:sz w:val="21"/>
        <w:szCs w:val="21"/>
      </w:rPr>
    </w:lvl>
  </w:abstractNum>
  <w:abstractNum w:abstractNumId="9">
    <w:nsid w:val="2AB85E16"/>
    <w:multiLevelType w:val="singleLevel"/>
    <w:tmpl w:val="2AB85E16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abstractNum w:abstractNumId="10">
    <w:nsid w:val="2D5A753C"/>
    <w:multiLevelType w:val="singleLevel"/>
    <w:tmpl w:val="2D5A75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2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6BD8A6BE"/>
    <w:multiLevelType w:val="singleLevel"/>
    <w:tmpl w:val="6BD8A6BE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abstractNum w:abstractNumId="1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5238EBD"/>
    <w:multiLevelType w:val="singleLevel"/>
    <w:tmpl w:val="75238EBD"/>
    <w:lvl w:ilvl="0" w:tentative="0">
      <w:start w:val="1"/>
      <w:numFmt w:val="decimal"/>
      <w:lvlText w:val="(%1)"/>
      <w:lvlJc w:val="left"/>
      <w:pPr>
        <w:ind w:left="635" w:hanging="425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4F5723"/>
    <w:rsid w:val="00502938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161C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57A1179"/>
    <w:rsid w:val="069A4AE7"/>
    <w:rsid w:val="06A72055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3410E"/>
    <w:rsid w:val="0BF73710"/>
    <w:rsid w:val="0C566035"/>
    <w:rsid w:val="0CD61AA1"/>
    <w:rsid w:val="0DA16C24"/>
    <w:rsid w:val="0DAC13D2"/>
    <w:rsid w:val="0DF11DA8"/>
    <w:rsid w:val="0E4862F5"/>
    <w:rsid w:val="0E9B3149"/>
    <w:rsid w:val="0ECA17E3"/>
    <w:rsid w:val="0F4C0B8F"/>
    <w:rsid w:val="0F8B3248"/>
    <w:rsid w:val="0FAF1276"/>
    <w:rsid w:val="0FFD2BFC"/>
    <w:rsid w:val="1009394F"/>
    <w:rsid w:val="10E31880"/>
    <w:rsid w:val="10F3565F"/>
    <w:rsid w:val="113E09A0"/>
    <w:rsid w:val="11865773"/>
    <w:rsid w:val="118C4A2C"/>
    <w:rsid w:val="119F3AAC"/>
    <w:rsid w:val="11D9465A"/>
    <w:rsid w:val="11E277C5"/>
    <w:rsid w:val="11E44583"/>
    <w:rsid w:val="11E52C93"/>
    <w:rsid w:val="11EB7E3E"/>
    <w:rsid w:val="12365ADE"/>
    <w:rsid w:val="123E28B5"/>
    <w:rsid w:val="12471FE1"/>
    <w:rsid w:val="125F09D7"/>
    <w:rsid w:val="12630297"/>
    <w:rsid w:val="12AB1779"/>
    <w:rsid w:val="12BC084A"/>
    <w:rsid w:val="12C6169E"/>
    <w:rsid w:val="12CF5606"/>
    <w:rsid w:val="12FD4222"/>
    <w:rsid w:val="12FD70B9"/>
    <w:rsid w:val="135A542E"/>
    <w:rsid w:val="135D40E6"/>
    <w:rsid w:val="1368730C"/>
    <w:rsid w:val="14164D9C"/>
    <w:rsid w:val="1445327A"/>
    <w:rsid w:val="14547BAE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45575A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EF30E67"/>
    <w:rsid w:val="1F44149E"/>
    <w:rsid w:val="1F6F2ADB"/>
    <w:rsid w:val="1F7E6DF7"/>
    <w:rsid w:val="1F951EE5"/>
    <w:rsid w:val="1F9B327A"/>
    <w:rsid w:val="1FC854A4"/>
    <w:rsid w:val="1FCB6E93"/>
    <w:rsid w:val="1FFF55E0"/>
    <w:rsid w:val="20217D7F"/>
    <w:rsid w:val="20447A3F"/>
    <w:rsid w:val="20654259"/>
    <w:rsid w:val="20E67100"/>
    <w:rsid w:val="215D0D9C"/>
    <w:rsid w:val="2189664A"/>
    <w:rsid w:val="21DB4B29"/>
    <w:rsid w:val="22003B30"/>
    <w:rsid w:val="225F17AB"/>
    <w:rsid w:val="22C43786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CC96416"/>
    <w:rsid w:val="2D24466E"/>
    <w:rsid w:val="2DB04FF7"/>
    <w:rsid w:val="2DD22C2D"/>
    <w:rsid w:val="2EAF1C06"/>
    <w:rsid w:val="2EE73107"/>
    <w:rsid w:val="2F3E7118"/>
    <w:rsid w:val="2F4E62CE"/>
    <w:rsid w:val="2F6D079D"/>
    <w:rsid w:val="2FE60DEF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533C0C"/>
    <w:rsid w:val="319B0FA4"/>
    <w:rsid w:val="31F2543F"/>
    <w:rsid w:val="320B49BC"/>
    <w:rsid w:val="32155F4C"/>
    <w:rsid w:val="327148E0"/>
    <w:rsid w:val="32916B36"/>
    <w:rsid w:val="330E69EE"/>
    <w:rsid w:val="332E2EA1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A704A3"/>
    <w:rsid w:val="35BE048C"/>
    <w:rsid w:val="35E73C08"/>
    <w:rsid w:val="360556FB"/>
    <w:rsid w:val="36307C8E"/>
    <w:rsid w:val="36553703"/>
    <w:rsid w:val="366F23BE"/>
    <w:rsid w:val="36E55F8B"/>
    <w:rsid w:val="36F910DF"/>
    <w:rsid w:val="3714749D"/>
    <w:rsid w:val="37261E9E"/>
    <w:rsid w:val="374D348A"/>
    <w:rsid w:val="377912DD"/>
    <w:rsid w:val="386D187C"/>
    <w:rsid w:val="38B317A6"/>
    <w:rsid w:val="38CF2F29"/>
    <w:rsid w:val="38F97B46"/>
    <w:rsid w:val="39082435"/>
    <w:rsid w:val="390F7DFA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01476C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276B1"/>
    <w:rsid w:val="406C6CD0"/>
    <w:rsid w:val="40FE112C"/>
    <w:rsid w:val="43022668"/>
    <w:rsid w:val="432405FD"/>
    <w:rsid w:val="435629B6"/>
    <w:rsid w:val="43C47D83"/>
    <w:rsid w:val="43D54DC2"/>
    <w:rsid w:val="44803E79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8AF6259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D45F8D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5E180D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6D75488"/>
    <w:rsid w:val="577047CD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913E76"/>
    <w:rsid w:val="5B35487F"/>
    <w:rsid w:val="5BCD5C55"/>
    <w:rsid w:val="5BF06088"/>
    <w:rsid w:val="5BFC0B78"/>
    <w:rsid w:val="5C0A7929"/>
    <w:rsid w:val="5C5E3805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ED075AC"/>
    <w:rsid w:val="5F5B3296"/>
    <w:rsid w:val="5F7408C2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A91AD3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582A6A"/>
    <w:rsid w:val="6E630553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8A60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111F88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D435D9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Light List Accent 3"/>
    <w:basedOn w:val="13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7">
    <w:name w:val="Strong"/>
    <w:qFormat/>
    <w:uiPriority w:val="0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10"/>
    <w:qFormat/>
    <w:uiPriority w:val="99"/>
    <w:rPr>
      <w:sz w:val="18"/>
      <w:szCs w:val="18"/>
    </w:rPr>
  </w:style>
  <w:style w:type="character" w:customStyle="1" w:styleId="22">
    <w:name w:val="批注框文本 字符"/>
    <w:basedOn w:val="16"/>
    <w:link w:val="9"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6"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6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6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6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6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列出段落6"/>
    <w:basedOn w:val="1"/>
    <w:qFormat/>
    <w:uiPriority w:val="34"/>
    <w:pPr>
      <w:ind w:firstLine="420" w:firstLineChars="200"/>
    </w:pPr>
  </w:style>
  <w:style w:type="paragraph" w:customStyle="1" w:styleId="36">
    <w:name w:val="正文楷体"/>
    <w:basedOn w:val="1"/>
    <w:qFormat/>
    <w:uiPriority w:val="0"/>
    <w:pPr>
      <w:spacing w:line="300" w:lineRule="auto"/>
    </w:pPr>
  </w:style>
  <w:style w:type="paragraph" w:customStyle="1" w:styleId="37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6"/>
    <w:qFormat/>
    <w:uiPriority w:val="0"/>
  </w:style>
  <w:style w:type="character" w:customStyle="1" w:styleId="40">
    <w:name w:val="apple-converted-space"/>
    <w:basedOn w:val="16"/>
    <w:qFormat/>
    <w:uiPriority w:val="0"/>
  </w:style>
  <w:style w:type="character" w:customStyle="1" w:styleId="41">
    <w:name w:val="a121"/>
    <w:qFormat/>
    <w:uiPriority w:val="0"/>
    <w:rPr>
      <w:sz w:val="18"/>
      <w:szCs w:val="18"/>
    </w:rPr>
  </w:style>
  <w:style w:type="paragraph" w:customStyle="1" w:styleId="42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3">
    <w:name w:val="小标题（红色）"/>
    <w:next w:val="42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4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6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4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p1"/>
    <w:basedOn w:val="1"/>
    <w:qFormat/>
    <w:uiPriority w:val="0"/>
    <w:pPr>
      <w:jc w:val="left"/>
    </w:pPr>
    <w:rPr>
      <w:rFonts w:ascii="Helvetica Neue" w:hAnsi="Helvetica Neue" w:eastAsia="Helvetica Neue"/>
      <w:kern w:val="0"/>
      <w:sz w:val="26"/>
      <w:szCs w:val="26"/>
    </w:rPr>
  </w:style>
  <w:style w:type="paragraph" w:customStyle="1" w:styleId="51">
    <w:name w:val="p2"/>
    <w:basedOn w:val="1"/>
    <w:qFormat/>
    <w:uiPriority w:val="0"/>
    <w:pPr>
      <w:jc w:val="left"/>
    </w:pPr>
    <w:rPr>
      <w:rFonts w:ascii="pingfang sc semibold" w:hAnsi="pingfang sc semibold" w:eastAsia="pingfang sc semibold"/>
      <w:kern w:val="0"/>
      <w:sz w:val="26"/>
      <w:szCs w:val="26"/>
    </w:rPr>
  </w:style>
  <w:style w:type="character" w:customStyle="1" w:styleId="52">
    <w:name w:val="s1"/>
    <w:basedOn w:val="16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3">
    <w:name w:val="s2"/>
    <w:basedOn w:val="16"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1977</Words>
  <Characters>2080</Characters>
  <Lines>23</Lines>
  <Paragraphs>6</Paragraphs>
  <TotalTime>1</TotalTime>
  <ScaleCrop>false</ScaleCrop>
  <LinksUpToDate>false</LinksUpToDate>
  <CharactersWithSpaces>2144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阿也.</cp:lastModifiedBy>
  <cp:lastPrinted>2015-07-07T09:25:00Z</cp:lastPrinted>
  <dcterms:modified xsi:type="dcterms:W3CDTF">2023-07-31T07:12:49Z</dcterms:modified>
  <dc:title>《压力与情绪管理》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