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微软雅黑" w:hAnsi="微软雅黑" w:eastAsia="微软雅黑"/>
          <w:color w:val="000000" w:themeColor="text1"/>
          <w14:textFill>
            <w14:solidFill>
              <w14:schemeClr w14:val="tx1"/>
            </w14:solidFill>
          </w14:textFill>
        </w:rPr>
      </w:pPr>
      <w:bookmarkStart w:id="1" w:name="_GoBack"/>
      <w:bookmarkStart w:id="0" w:name="_Toc68080403"/>
      <w:r>
        <w:rPr>
          <w:rFonts w:hint="eastAsia" w:ascii="微软雅黑" w:hAnsi="微软雅黑" w:eastAsia="微软雅黑"/>
          <w:color w:val="000000" w:themeColor="text1"/>
          <w14:textFill>
            <w14:solidFill>
              <w14:schemeClr w14:val="tx1"/>
            </w14:solidFill>
          </w14:textFill>
        </w:rPr>
        <w:t>从战略解码到年度经营计划</w:t>
      </w:r>
      <w:bookmarkEnd w:id="1"/>
      <w:bookmarkEnd w:id="0"/>
    </w:p>
    <w:p>
      <w:pPr>
        <w:ind w:firstLine="4080" w:firstLineChars="1700"/>
        <w:jc w:val="left"/>
        <w:rPr>
          <w:rFonts w:ascii="微软雅黑" w:hAnsi="微软雅黑" w:eastAsia="微软雅黑"/>
          <w:sz w:val="24"/>
          <w:szCs w:val="28"/>
        </w:rPr>
      </w:pPr>
      <w:r>
        <w:rPr>
          <w:rFonts w:hint="eastAsia" w:ascii="微软雅黑" w:hAnsi="微软雅黑" w:eastAsia="微软雅黑"/>
          <w:sz w:val="24"/>
          <w:szCs w:val="28"/>
        </w:rPr>
        <w:t>——向华为学习从清晰战略到卓越执行</w:t>
      </w:r>
    </w:p>
    <w:p>
      <w:pPr>
        <w:spacing w:line="440" w:lineRule="exact"/>
        <w:jc w:val="left"/>
        <w:rPr>
          <w:rFonts w:hint="default" w:ascii="微软雅黑" w:hAnsi="微软雅黑" w:eastAsia="微软雅黑"/>
          <w:b w:val="0"/>
          <w:bCs/>
          <w:lang w:val="en-US" w:eastAsia="zh-CN"/>
        </w:rPr>
      </w:pPr>
      <w:r>
        <w:rPr>
          <w:rFonts w:hint="eastAsia" w:ascii="微软雅黑" w:hAnsi="微软雅黑" w:eastAsia="微软雅黑"/>
          <w:b/>
        </w:rPr>
        <w:t>主讲老师：</w:t>
      </w:r>
      <w:r>
        <w:rPr>
          <w:rFonts w:hint="eastAsia" w:ascii="微软雅黑" w:hAnsi="微软雅黑" w:eastAsia="微软雅黑"/>
          <w:b w:val="0"/>
          <w:bCs/>
          <w:lang w:val="en-US" w:eastAsia="zh-CN"/>
        </w:rPr>
        <w:t>冯南石</w:t>
      </w:r>
    </w:p>
    <w:p>
      <w:pPr>
        <w:spacing w:line="440" w:lineRule="exact"/>
        <w:jc w:val="left"/>
        <w:rPr>
          <w:rFonts w:hint="eastAsia" w:ascii="微软雅黑" w:hAnsi="微软雅黑" w:eastAsia="微软雅黑"/>
          <w:b w:val="0"/>
          <w:bCs/>
        </w:rPr>
      </w:pPr>
      <w:r>
        <w:rPr>
          <w:rFonts w:hint="eastAsia" w:ascii="微软雅黑" w:hAnsi="微软雅黑" w:eastAsia="微软雅黑"/>
          <w:b/>
        </w:rPr>
        <w:t>企业类型：</w:t>
      </w:r>
      <w:r>
        <w:rPr>
          <w:rFonts w:hint="eastAsia" w:ascii="微软雅黑" w:hAnsi="微软雅黑" w:eastAsia="微软雅黑"/>
          <w:b w:val="0"/>
          <w:bCs/>
        </w:rPr>
        <w:t>不限</w:t>
      </w:r>
    </w:p>
    <w:p>
      <w:pPr>
        <w:spacing w:line="440" w:lineRule="exact"/>
        <w:jc w:val="left"/>
        <w:rPr>
          <w:rFonts w:hint="eastAsia" w:ascii="微软雅黑" w:hAnsi="微软雅黑" w:eastAsia="微软雅黑"/>
          <w:b w:val="0"/>
          <w:bCs/>
        </w:rPr>
      </w:pPr>
      <w:r>
        <w:rPr>
          <w:rFonts w:hint="eastAsia" w:ascii="微软雅黑" w:hAnsi="微软雅黑" w:eastAsia="微软雅黑"/>
          <w:b/>
        </w:rPr>
        <w:t>时间安排：</w:t>
      </w:r>
      <w:r>
        <w:rPr>
          <w:rFonts w:hint="eastAsia" w:ascii="微软雅黑" w:hAnsi="微软雅黑" w:eastAsia="微软雅黑"/>
          <w:b w:val="0"/>
          <w:bCs/>
        </w:rPr>
        <w:t>2023年</w:t>
      </w:r>
      <w:r>
        <w:rPr>
          <w:rFonts w:hint="eastAsia" w:ascii="微软雅黑" w:hAnsi="微软雅黑" w:eastAsia="微软雅黑"/>
          <w:b w:val="0"/>
          <w:bCs/>
          <w:lang w:val="en-US" w:eastAsia="zh-CN"/>
        </w:rPr>
        <w:t>11</w:t>
      </w:r>
      <w:r>
        <w:rPr>
          <w:rFonts w:hint="eastAsia" w:ascii="微软雅黑" w:hAnsi="微软雅黑" w:eastAsia="微软雅黑"/>
          <w:b w:val="0"/>
          <w:bCs/>
        </w:rPr>
        <w:t>月</w:t>
      </w:r>
      <w:r>
        <w:rPr>
          <w:rFonts w:hint="eastAsia" w:ascii="微软雅黑" w:hAnsi="微软雅黑" w:eastAsia="微软雅黑"/>
          <w:b w:val="0"/>
          <w:bCs/>
          <w:lang w:val="en-US" w:eastAsia="zh-CN"/>
        </w:rPr>
        <w:t>3</w:t>
      </w:r>
      <w:r>
        <w:rPr>
          <w:rFonts w:hint="eastAsia" w:ascii="微软雅黑" w:hAnsi="微软雅黑" w:eastAsia="微软雅黑"/>
          <w:b w:val="0"/>
          <w:bCs/>
        </w:rPr>
        <w:t>日9:30至17:00</w:t>
      </w:r>
    </w:p>
    <w:p>
      <w:pPr>
        <w:spacing w:line="440" w:lineRule="exact"/>
        <w:jc w:val="left"/>
        <w:rPr>
          <w:rFonts w:hint="eastAsia" w:ascii="微软雅黑" w:hAnsi="微软雅黑" w:eastAsia="微软雅黑"/>
          <w:b w:val="0"/>
          <w:bCs/>
        </w:rPr>
      </w:pPr>
      <w:r>
        <w:rPr>
          <w:rFonts w:hint="eastAsia" w:ascii="微软雅黑" w:hAnsi="微软雅黑" w:eastAsia="微软雅黑"/>
          <w:b w:val="0"/>
          <w:bCs/>
        </w:rPr>
        <w:t xml:space="preserve">          2023年</w:t>
      </w:r>
      <w:r>
        <w:rPr>
          <w:rFonts w:hint="eastAsia" w:ascii="微软雅黑" w:hAnsi="微软雅黑" w:eastAsia="微软雅黑"/>
          <w:b w:val="0"/>
          <w:bCs/>
          <w:lang w:val="en-US" w:eastAsia="zh-CN"/>
        </w:rPr>
        <w:t>11</w:t>
      </w:r>
      <w:r>
        <w:rPr>
          <w:rFonts w:hint="eastAsia" w:ascii="微软雅黑" w:hAnsi="微软雅黑" w:eastAsia="微软雅黑"/>
          <w:b w:val="0"/>
          <w:bCs/>
        </w:rPr>
        <w:t>月</w:t>
      </w:r>
      <w:r>
        <w:rPr>
          <w:rFonts w:hint="eastAsia" w:ascii="微软雅黑" w:hAnsi="微软雅黑" w:eastAsia="微软雅黑"/>
          <w:b w:val="0"/>
          <w:bCs/>
          <w:lang w:val="en-US" w:eastAsia="zh-CN"/>
        </w:rPr>
        <w:t>4</w:t>
      </w:r>
      <w:r>
        <w:rPr>
          <w:rFonts w:hint="eastAsia" w:ascii="微软雅黑" w:hAnsi="微软雅黑" w:eastAsia="微软雅黑"/>
          <w:b w:val="0"/>
          <w:bCs/>
        </w:rPr>
        <w:t>日9:30至16:30</w:t>
      </w:r>
    </w:p>
    <w:p>
      <w:pPr>
        <w:spacing w:line="440" w:lineRule="exact"/>
        <w:jc w:val="left"/>
        <w:rPr>
          <w:rFonts w:hint="eastAsia" w:ascii="微软雅黑" w:hAnsi="微软雅黑" w:eastAsia="微软雅黑"/>
          <w:b w:val="0"/>
          <w:bCs/>
        </w:rPr>
      </w:pPr>
      <w:r>
        <w:rPr>
          <w:rFonts w:hint="eastAsia" w:ascii="微软雅黑" w:hAnsi="微软雅黑" w:eastAsia="微软雅黑"/>
          <w:b/>
        </w:rPr>
        <w:t>地点安排：</w:t>
      </w:r>
      <w:r>
        <w:rPr>
          <w:rFonts w:hint="eastAsia" w:ascii="微软雅黑" w:hAnsi="微软雅黑" w:eastAsia="微软雅黑"/>
          <w:b w:val="0"/>
          <w:bCs/>
        </w:rPr>
        <w:t>杭州</w:t>
      </w:r>
    </w:p>
    <w:p>
      <w:pPr>
        <w:spacing w:line="440" w:lineRule="exact"/>
        <w:jc w:val="left"/>
        <w:rPr>
          <w:rFonts w:hint="eastAsia" w:ascii="微软雅黑" w:hAnsi="微软雅黑" w:eastAsia="微软雅黑"/>
          <w:b/>
        </w:rPr>
      </w:pPr>
      <w:r>
        <w:rPr>
          <w:rFonts w:hint="eastAsia" w:ascii="微软雅黑" w:hAnsi="微软雅黑" w:eastAsia="微软雅黑"/>
          <w:b/>
        </w:rPr>
        <w:t>参课费用：</w:t>
      </w:r>
      <w:r>
        <w:rPr>
          <w:rFonts w:hint="eastAsia" w:ascii="微软雅黑" w:hAnsi="微软雅黑" w:eastAsia="微软雅黑"/>
          <w:b w:val="0"/>
          <w:bCs/>
        </w:rPr>
        <w:t xml:space="preserve">光华卡门票10张/人  </w:t>
      </w:r>
      <w:r>
        <w:rPr>
          <w:rFonts w:hint="eastAsia" w:ascii="微软雅黑" w:hAnsi="微软雅黑" w:eastAsia="微软雅黑"/>
          <w:b/>
        </w:rPr>
        <w:t xml:space="preserve"> </w:t>
      </w:r>
    </w:p>
    <w:p>
      <w:pPr>
        <w:spacing w:line="440" w:lineRule="exact"/>
        <w:ind w:firstLine="1050" w:firstLineChars="500"/>
        <w:jc w:val="left"/>
        <w:rPr>
          <w:rFonts w:hint="eastAsia" w:ascii="微软雅黑" w:hAnsi="微软雅黑" w:eastAsia="微软雅黑"/>
          <w:b w:val="0"/>
          <w:bCs/>
        </w:rPr>
      </w:pPr>
      <w:r>
        <w:rPr>
          <w:rFonts w:hint="eastAsia" w:ascii="微软雅黑" w:hAnsi="微软雅黑" w:eastAsia="微软雅黑"/>
          <w:b w:val="0"/>
          <w:bCs/>
        </w:rPr>
        <w:t xml:space="preserve">现金票4200元/人 </w:t>
      </w:r>
    </w:p>
    <w:p>
      <w:pPr>
        <w:spacing w:line="440" w:lineRule="exact"/>
        <w:jc w:val="left"/>
        <w:rPr>
          <w:rFonts w:hint="eastAsia" w:ascii="微软雅黑" w:hAnsi="微软雅黑" w:eastAsia="微软雅黑"/>
          <w:b/>
        </w:rPr>
      </w:pPr>
      <w:r>
        <w:rPr>
          <w:rFonts w:hint="eastAsia" w:ascii="微软雅黑" w:hAnsi="微软雅黑" w:eastAsia="微软雅黑"/>
          <w:b/>
        </w:rPr>
        <w:t>人数限制：50人</w:t>
      </w:r>
    </w:p>
    <w:p>
      <w:pPr>
        <w:spacing w:line="440" w:lineRule="exact"/>
        <w:jc w:val="left"/>
        <w:rPr>
          <w:rFonts w:hint="eastAsia" w:ascii="微软雅黑" w:hAnsi="微软雅黑" w:eastAsia="微软雅黑"/>
          <w:b/>
        </w:rPr>
      </w:pPr>
    </w:p>
    <w:p>
      <w:pPr>
        <w:spacing w:line="440" w:lineRule="exact"/>
        <w:jc w:val="left"/>
        <w:rPr>
          <w:rFonts w:ascii="微软雅黑" w:hAnsi="微软雅黑" w:eastAsia="微软雅黑"/>
          <w:b/>
        </w:rPr>
      </w:pPr>
      <w:r>
        <w:rPr>
          <w:rFonts w:hint="eastAsia" w:ascii="微软雅黑" w:hAnsi="微软雅黑" w:eastAsia="微软雅黑"/>
          <w:b/>
        </w:rPr>
        <w:t>【课程背景】</w:t>
      </w:r>
    </w:p>
    <w:p>
      <w:pPr>
        <w:spacing w:line="440" w:lineRule="exact"/>
        <w:ind w:firstLine="420" w:firstLineChars="200"/>
        <w:jc w:val="left"/>
        <w:rPr>
          <w:rFonts w:ascii="微软雅黑" w:hAnsi="微软雅黑" w:eastAsia="微软雅黑"/>
        </w:rPr>
      </w:pPr>
      <w:r>
        <w:rPr>
          <w:rFonts w:hint="eastAsia" w:ascii="微软雅黑" w:hAnsi="微软雅黑" w:eastAsia="微软雅黑"/>
        </w:rPr>
        <w:t>企业在不同的发展阶段，如何确定符合自身实际的战略规划而不是写在墙上的标语口号？如何将企业的战略目标通过层层分解落实到各个岗位绩效计划和承诺中？</w:t>
      </w:r>
    </w:p>
    <w:p>
      <w:pPr>
        <w:spacing w:line="440" w:lineRule="exact"/>
        <w:ind w:firstLine="420" w:firstLineChars="200"/>
        <w:jc w:val="left"/>
        <w:rPr>
          <w:rFonts w:ascii="微软雅黑" w:hAnsi="微软雅黑" w:eastAsia="微软雅黑"/>
        </w:rPr>
      </w:pPr>
      <w:r>
        <w:rPr>
          <w:rFonts w:hint="eastAsia" w:ascii="微软雅黑" w:hAnsi="微软雅黑" w:eastAsia="微软雅黑"/>
        </w:rPr>
        <w:t>清晰、科学的战略规划，细致、可行的战略解码，是企业从战略到执行、建设核心竞争能力、实现可持续发展的重要保障。很多企业的各层级员工绩效计划往往是空中阁楼、流于形式，是因为忽略了战略解码工作。我们说“战略解码是绩效管理的前提，绩效管理是战略落地的闭合！”</w:t>
      </w:r>
    </w:p>
    <w:p>
      <w:pPr>
        <w:spacing w:line="440" w:lineRule="exact"/>
        <w:ind w:firstLine="420" w:firstLineChars="200"/>
        <w:jc w:val="left"/>
        <w:rPr>
          <w:rFonts w:ascii="微软雅黑" w:hAnsi="微软雅黑" w:eastAsia="微软雅黑"/>
        </w:rPr>
      </w:pPr>
      <w:r>
        <w:rPr>
          <w:rFonts w:hint="eastAsia" w:ascii="微软雅黑" w:hAnsi="微软雅黑" w:eastAsia="微软雅黑"/>
        </w:rPr>
        <w:t>本课程以华为DSTE（develop strategy to execution）“从战略到执行”模型为方法，通过案例剖析、学员研讨等多种形式，带领大家重新理解和审视战略，掌握战略解码的有效方法和工具，使企业在纷繁复杂的外部环境下找到一条符合自身特色的可持续发展之路。</w:t>
      </w:r>
    </w:p>
    <w:p>
      <w:pPr>
        <w:spacing w:line="440" w:lineRule="exact"/>
        <w:jc w:val="left"/>
        <w:rPr>
          <w:rFonts w:ascii="微软雅黑" w:hAnsi="微软雅黑" w:eastAsia="微软雅黑"/>
          <w:b/>
        </w:rPr>
      </w:pPr>
      <w:r>
        <w:rPr>
          <w:rFonts w:hint="eastAsia" w:ascii="微软雅黑" w:hAnsi="微软雅黑" w:eastAsia="微软雅黑"/>
          <w:b/>
        </w:rPr>
        <w:t>【培训课时】</w:t>
      </w:r>
      <w:r>
        <w:rPr>
          <w:rFonts w:ascii="微软雅黑" w:hAnsi="微软雅黑" w:eastAsia="微软雅黑"/>
        </w:rPr>
        <w:t>3</w:t>
      </w:r>
      <w:r>
        <w:rPr>
          <w:rFonts w:hint="eastAsia" w:ascii="微软雅黑" w:hAnsi="微软雅黑" w:eastAsia="微软雅黑"/>
        </w:rPr>
        <w:t>天，1</w:t>
      </w:r>
      <w:r>
        <w:rPr>
          <w:rFonts w:ascii="微软雅黑" w:hAnsi="微软雅黑" w:eastAsia="微软雅黑"/>
        </w:rPr>
        <w:t>8</w:t>
      </w:r>
      <w:r>
        <w:rPr>
          <w:rFonts w:hint="eastAsia" w:ascii="微软雅黑" w:hAnsi="微软雅黑" w:eastAsia="微软雅黑"/>
        </w:rPr>
        <w:t>小时</w:t>
      </w:r>
    </w:p>
    <w:p>
      <w:pPr>
        <w:spacing w:line="440" w:lineRule="exact"/>
        <w:jc w:val="left"/>
        <w:rPr>
          <w:rFonts w:ascii="微软雅黑" w:hAnsi="微软雅黑" w:eastAsia="微软雅黑"/>
          <w:b/>
        </w:rPr>
      </w:pPr>
      <w:r>
        <w:rPr>
          <w:rFonts w:ascii="微软雅黑" w:hAnsi="微软雅黑" w:eastAsia="微软雅黑"/>
          <w:b/>
        </w:rPr>
        <w:drawing>
          <wp:anchor distT="0" distB="0" distL="114300" distR="114300" simplePos="0" relativeHeight="251659264" behindDoc="0" locked="0" layoutInCell="1" allowOverlap="1">
            <wp:simplePos x="0" y="0"/>
            <wp:positionH relativeFrom="column">
              <wp:posOffset>235585</wp:posOffset>
            </wp:positionH>
            <wp:positionV relativeFrom="paragraph">
              <wp:posOffset>299720</wp:posOffset>
            </wp:positionV>
            <wp:extent cx="5231130" cy="2609850"/>
            <wp:effectExtent l="0" t="0" r="7620" b="0"/>
            <wp:wrapTopAndBottom/>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31130" cy="2609850"/>
                    </a:xfrm>
                    <a:prstGeom prst="rect">
                      <a:avLst/>
                    </a:prstGeom>
                    <a:noFill/>
                  </pic:spPr>
                </pic:pic>
              </a:graphicData>
            </a:graphic>
          </wp:anchor>
        </w:drawing>
      </w:r>
      <w:r>
        <w:rPr>
          <w:rFonts w:hint="eastAsia" w:ascii="微软雅黑" w:hAnsi="微软雅黑" w:eastAsia="微软雅黑"/>
          <w:b/>
        </w:rPr>
        <w:t>【知识框架】</w:t>
      </w:r>
    </w:p>
    <w:p>
      <w:pPr>
        <w:spacing w:line="440" w:lineRule="exact"/>
        <w:jc w:val="left"/>
        <w:rPr>
          <w:rFonts w:ascii="微软雅黑" w:hAnsi="微软雅黑" w:eastAsia="微软雅黑"/>
          <w:b/>
        </w:rPr>
      </w:pPr>
      <w:r>
        <w:rPr>
          <w:rFonts w:hint="eastAsia" w:ascii="微软雅黑" w:hAnsi="微软雅黑" w:eastAsia="微软雅黑"/>
          <w:b/>
        </w:rPr>
        <w:t>【课程收益】</w:t>
      </w:r>
    </w:p>
    <w:p>
      <w:pPr>
        <w:spacing w:line="440" w:lineRule="exact"/>
        <w:jc w:val="left"/>
        <w:rPr>
          <w:rFonts w:ascii="微软雅黑" w:hAnsi="微软雅黑" w:eastAsia="微软雅黑"/>
        </w:rPr>
      </w:pPr>
      <w:r>
        <w:rPr>
          <w:rFonts w:hint="eastAsia" w:ascii="微软雅黑" w:hAnsi="微软雅黑" w:eastAsia="微软雅黑"/>
        </w:rPr>
        <w:t>1、理解战略规划、经营计划的实质，将企业有限的自身资源</w:t>
      </w:r>
      <w:r>
        <w:rPr>
          <w:rFonts w:ascii="微软雅黑" w:hAnsi="微软雅黑" w:eastAsia="微软雅黑"/>
        </w:rPr>
        <w:t>/</w:t>
      </w:r>
      <w:r>
        <w:rPr>
          <w:rFonts w:hint="eastAsia" w:ascii="微软雅黑" w:hAnsi="微软雅黑" w:eastAsia="微软雅黑"/>
        </w:rPr>
        <w:t>能力和复杂多变的外部环境相匹配，确定企业战略目标；</w:t>
      </w:r>
    </w:p>
    <w:p>
      <w:pPr>
        <w:spacing w:line="440" w:lineRule="exact"/>
        <w:jc w:val="left"/>
        <w:rPr>
          <w:rFonts w:ascii="微软雅黑" w:hAnsi="微软雅黑" w:eastAsia="微软雅黑"/>
        </w:rPr>
      </w:pPr>
      <w:r>
        <w:rPr>
          <w:rFonts w:hint="eastAsia" w:ascii="微软雅黑" w:hAnsi="微软雅黑" w:eastAsia="微软雅黑"/>
        </w:rPr>
        <w:t>2、掌握从公司级战略到一级部门、二级部门乃至关键岗位的自上而下分解和自下而上的目标分解方法论；</w:t>
      </w:r>
    </w:p>
    <w:p>
      <w:pPr>
        <w:spacing w:line="440" w:lineRule="exact"/>
        <w:jc w:val="left"/>
        <w:rPr>
          <w:rFonts w:ascii="微软雅黑" w:hAnsi="微软雅黑" w:eastAsia="微软雅黑"/>
        </w:rPr>
      </w:pPr>
      <w:r>
        <w:rPr>
          <w:rFonts w:hint="eastAsia" w:ascii="微软雅黑" w:hAnsi="微软雅黑" w:eastAsia="微软雅黑"/>
        </w:rPr>
        <w:t>3、掌握战略解码的通用流程、工具、方法及模板；</w:t>
      </w:r>
    </w:p>
    <w:p>
      <w:pPr>
        <w:spacing w:line="440" w:lineRule="exact"/>
        <w:jc w:val="left"/>
        <w:rPr>
          <w:rFonts w:ascii="微软雅黑" w:hAnsi="微软雅黑" w:eastAsia="微软雅黑"/>
        </w:rPr>
      </w:pPr>
      <w:r>
        <w:rPr>
          <w:rFonts w:hint="eastAsia" w:ascii="微软雅黑" w:hAnsi="微软雅黑" w:eastAsia="微软雅黑"/>
        </w:rPr>
        <w:t>4、理解企业实践案例，导入到本企业中实践。</w:t>
      </w:r>
    </w:p>
    <w:p>
      <w:pPr>
        <w:spacing w:line="440" w:lineRule="exact"/>
        <w:jc w:val="left"/>
        <w:rPr>
          <w:rFonts w:ascii="微软雅黑" w:hAnsi="微软雅黑" w:eastAsia="微软雅黑"/>
          <w:b/>
        </w:rPr>
      </w:pPr>
      <w:r>
        <w:rPr>
          <w:rFonts w:hint="eastAsia" w:ascii="微软雅黑" w:hAnsi="微软雅黑" w:eastAsia="微软雅黑"/>
          <w:b/>
        </w:rPr>
        <w:t>【课程纲要】</w:t>
      </w:r>
    </w:p>
    <w:p>
      <w:pPr>
        <w:spacing w:line="440" w:lineRule="exact"/>
        <w:jc w:val="left"/>
        <w:rPr>
          <w:rFonts w:ascii="微软雅黑" w:hAnsi="微软雅黑" w:eastAsia="微软雅黑"/>
        </w:rPr>
      </w:pPr>
      <w:r>
        <w:rPr>
          <w:rFonts w:hint="eastAsia" w:ascii="微软雅黑" w:hAnsi="微软雅黑" w:eastAsia="微软雅黑"/>
        </w:rPr>
        <w:t>第一章、战略模型概述</w:t>
      </w:r>
    </w:p>
    <w:p>
      <w:pPr>
        <w:pStyle w:val="24"/>
        <w:numPr>
          <w:ilvl w:val="0"/>
          <w:numId w:val="1"/>
        </w:numPr>
        <w:spacing w:line="440" w:lineRule="exact"/>
        <w:ind w:firstLineChars="0"/>
        <w:jc w:val="left"/>
        <w:rPr>
          <w:rFonts w:ascii="微软雅黑" w:hAnsi="微软雅黑" w:eastAsia="微软雅黑"/>
        </w:rPr>
      </w:pPr>
      <w:r>
        <w:rPr>
          <w:rFonts w:hint="eastAsia" w:ascii="微软雅黑" w:hAnsi="微软雅黑" w:eastAsia="微软雅黑"/>
        </w:rPr>
        <w:t>战略落地存在的三大根本性障碍</w:t>
      </w:r>
    </w:p>
    <w:p>
      <w:pPr>
        <w:pStyle w:val="24"/>
        <w:numPr>
          <w:ilvl w:val="0"/>
          <w:numId w:val="1"/>
        </w:numPr>
        <w:spacing w:line="440" w:lineRule="exact"/>
        <w:ind w:firstLineChars="0"/>
        <w:jc w:val="left"/>
        <w:rPr>
          <w:rFonts w:ascii="微软雅黑" w:hAnsi="微软雅黑" w:eastAsia="微软雅黑"/>
        </w:rPr>
      </w:pPr>
      <w:r>
        <w:rPr>
          <w:rFonts w:hint="eastAsia" w:ascii="微软雅黑" w:hAnsi="微软雅黑" w:eastAsia="微软雅黑"/>
        </w:rPr>
        <w:t>什么是</w:t>
      </w:r>
      <w:r>
        <w:rPr>
          <w:rFonts w:ascii="微软雅黑" w:hAnsi="微软雅黑" w:eastAsia="微软雅黑"/>
        </w:rPr>
        <w:t>BLM</w:t>
      </w:r>
      <w:r>
        <w:rPr>
          <w:rFonts w:hint="eastAsia" w:ascii="微软雅黑" w:hAnsi="微软雅黑" w:eastAsia="微软雅黑"/>
        </w:rPr>
        <w:t>（业务领先模型）</w:t>
      </w:r>
    </w:p>
    <w:p>
      <w:pPr>
        <w:pStyle w:val="24"/>
        <w:numPr>
          <w:ilvl w:val="0"/>
          <w:numId w:val="1"/>
        </w:numPr>
        <w:spacing w:line="440" w:lineRule="exact"/>
        <w:ind w:firstLineChars="0"/>
        <w:jc w:val="left"/>
        <w:rPr>
          <w:rFonts w:ascii="微软雅黑" w:hAnsi="微软雅黑" w:eastAsia="微软雅黑"/>
        </w:rPr>
      </w:pPr>
      <w:r>
        <w:rPr>
          <w:rFonts w:hint="eastAsia" w:ascii="微软雅黑" w:hAnsi="微软雅黑" w:eastAsia="微软雅黑"/>
        </w:rPr>
        <w:t>DSTE（开发战略到执行）系统概述</w:t>
      </w:r>
    </w:p>
    <w:p>
      <w:pPr>
        <w:spacing w:line="440" w:lineRule="exact"/>
        <w:jc w:val="left"/>
        <w:rPr>
          <w:rFonts w:ascii="微软雅黑" w:hAnsi="微软雅黑" w:eastAsia="微软雅黑"/>
        </w:rPr>
      </w:pPr>
      <w:r>
        <w:rPr>
          <w:rFonts w:hint="eastAsia" w:ascii="微软雅黑" w:hAnsi="微软雅黑" w:eastAsia="微软雅黑"/>
        </w:rPr>
        <w:t>第二章：寻找增长路径是战略解码的前提</w:t>
      </w:r>
    </w:p>
    <w:p>
      <w:pPr>
        <w:pStyle w:val="24"/>
        <w:numPr>
          <w:ilvl w:val="0"/>
          <w:numId w:val="2"/>
        </w:numPr>
        <w:spacing w:line="440" w:lineRule="exact"/>
        <w:ind w:firstLineChars="0"/>
        <w:jc w:val="left"/>
        <w:rPr>
          <w:rFonts w:ascii="微软雅黑" w:hAnsi="微软雅黑" w:eastAsia="微软雅黑"/>
        </w:rPr>
      </w:pPr>
      <w:r>
        <w:rPr>
          <w:rFonts w:hint="eastAsia" w:ascii="微软雅黑" w:hAnsi="微软雅黑" w:eastAsia="微软雅黑"/>
        </w:rPr>
        <w:t>看宏观</w:t>
      </w:r>
    </w:p>
    <w:p>
      <w:pPr>
        <w:pStyle w:val="24"/>
        <w:numPr>
          <w:ilvl w:val="0"/>
          <w:numId w:val="2"/>
        </w:numPr>
        <w:spacing w:line="440" w:lineRule="exact"/>
        <w:ind w:firstLineChars="0"/>
        <w:jc w:val="left"/>
        <w:rPr>
          <w:rFonts w:ascii="微软雅黑" w:hAnsi="微软雅黑" w:eastAsia="微软雅黑"/>
        </w:rPr>
      </w:pPr>
      <w:r>
        <w:rPr>
          <w:rFonts w:hint="eastAsia" w:ascii="微软雅黑" w:hAnsi="微软雅黑" w:eastAsia="微软雅黑"/>
        </w:rPr>
        <w:t>看行业</w:t>
      </w:r>
    </w:p>
    <w:p>
      <w:pPr>
        <w:pStyle w:val="24"/>
        <w:numPr>
          <w:ilvl w:val="0"/>
          <w:numId w:val="2"/>
        </w:numPr>
        <w:spacing w:line="440" w:lineRule="exact"/>
        <w:ind w:firstLineChars="0"/>
        <w:jc w:val="left"/>
        <w:rPr>
          <w:rFonts w:ascii="微软雅黑" w:hAnsi="微软雅黑" w:eastAsia="微软雅黑"/>
        </w:rPr>
      </w:pPr>
      <w:r>
        <w:rPr>
          <w:rFonts w:hint="eastAsia" w:ascii="微软雅黑" w:hAnsi="微软雅黑" w:eastAsia="微软雅黑"/>
        </w:rPr>
        <w:t>看客户</w:t>
      </w:r>
    </w:p>
    <w:p>
      <w:pPr>
        <w:pStyle w:val="24"/>
        <w:numPr>
          <w:ilvl w:val="0"/>
          <w:numId w:val="2"/>
        </w:numPr>
        <w:spacing w:line="440" w:lineRule="exact"/>
        <w:ind w:firstLineChars="0"/>
        <w:jc w:val="left"/>
        <w:rPr>
          <w:rFonts w:ascii="微软雅黑" w:hAnsi="微软雅黑" w:eastAsia="微软雅黑"/>
        </w:rPr>
      </w:pPr>
      <w:r>
        <w:rPr>
          <w:rFonts w:hint="eastAsia" w:ascii="微软雅黑" w:hAnsi="微软雅黑" w:eastAsia="微软雅黑"/>
        </w:rPr>
        <w:t>看竞争</w:t>
      </w:r>
    </w:p>
    <w:p>
      <w:pPr>
        <w:pStyle w:val="24"/>
        <w:numPr>
          <w:ilvl w:val="0"/>
          <w:numId w:val="2"/>
        </w:numPr>
        <w:spacing w:line="440" w:lineRule="exact"/>
        <w:ind w:firstLineChars="0"/>
        <w:jc w:val="left"/>
        <w:rPr>
          <w:rFonts w:ascii="微软雅黑" w:hAnsi="微软雅黑" w:eastAsia="微软雅黑"/>
        </w:rPr>
      </w:pPr>
      <w:r>
        <w:rPr>
          <w:rFonts w:hint="eastAsia" w:ascii="微软雅黑" w:hAnsi="微软雅黑" w:eastAsia="微软雅黑"/>
        </w:rPr>
        <w:t>看自己</w:t>
      </w:r>
    </w:p>
    <w:p>
      <w:pPr>
        <w:pStyle w:val="24"/>
        <w:numPr>
          <w:ilvl w:val="0"/>
          <w:numId w:val="2"/>
        </w:numPr>
        <w:spacing w:line="440" w:lineRule="exact"/>
        <w:ind w:firstLineChars="0"/>
        <w:jc w:val="left"/>
        <w:rPr>
          <w:rFonts w:ascii="微软雅黑" w:hAnsi="微软雅黑" w:eastAsia="微软雅黑"/>
        </w:rPr>
      </w:pPr>
      <w:r>
        <w:rPr>
          <w:rFonts w:hint="eastAsia" w:ascii="微软雅黑" w:hAnsi="微软雅黑" w:eastAsia="微软雅黑"/>
        </w:rPr>
        <w:t>定机会点、定目标、定增长路径</w:t>
      </w:r>
    </w:p>
    <w:p>
      <w:pPr>
        <w:spacing w:line="440" w:lineRule="exact"/>
        <w:jc w:val="left"/>
        <w:rPr>
          <w:rFonts w:ascii="微软雅黑" w:hAnsi="微软雅黑" w:eastAsia="微软雅黑"/>
        </w:rPr>
      </w:pPr>
      <w:r>
        <w:rPr>
          <w:rFonts w:hint="eastAsia" w:ascii="微软雅黑" w:hAnsi="微软雅黑" w:eastAsia="微软雅黑"/>
        </w:rPr>
        <w:t>第三章、战略解码概述</w:t>
      </w:r>
    </w:p>
    <w:p>
      <w:pPr>
        <w:pStyle w:val="24"/>
        <w:numPr>
          <w:ilvl w:val="0"/>
          <w:numId w:val="3"/>
        </w:numPr>
        <w:spacing w:line="440" w:lineRule="exact"/>
        <w:ind w:firstLineChars="0"/>
        <w:jc w:val="left"/>
        <w:rPr>
          <w:rFonts w:ascii="微软雅黑" w:hAnsi="微软雅黑" w:eastAsia="微软雅黑"/>
        </w:rPr>
      </w:pPr>
      <w:r>
        <w:rPr>
          <w:rFonts w:hint="eastAsia" w:ascii="微软雅黑" w:hAnsi="微软雅黑" w:eastAsia="微软雅黑"/>
        </w:rPr>
        <w:t>案例导入：如何将五个亿的销售收入目标分解到研发工程师岗位上？</w:t>
      </w:r>
    </w:p>
    <w:p>
      <w:pPr>
        <w:pStyle w:val="24"/>
        <w:numPr>
          <w:ilvl w:val="0"/>
          <w:numId w:val="3"/>
        </w:numPr>
        <w:spacing w:line="440" w:lineRule="exact"/>
        <w:ind w:firstLineChars="0"/>
        <w:jc w:val="left"/>
        <w:rPr>
          <w:rFonts w:ascii="微软雅黑" w:hAnsi="微软雅黑" w:eastAsia="微软雅黑"/>
        </w:rPr>
      </w:pPr>
      <w:r>
        <w:rPr>
          <w:rFonts w:hint="eastAsia" w:ascii="微软雅黑" w:hAnsi="微软雅黑" w:eastAsia="微软雅黑"/>
        </w:rPr>
        <w:t>为什么大部分公司的绩效计划无法落地？</w:t>
      </w:r>
    </w:p>
    <w:p>
      <w:pPr>
        <w:pStyle w:val="24"/>
        <w:numPr>
          <w:ilvl w:val="0"/>
          <w:numId w:val="3"/>
        </w:numPr>
        <w:spacing w:line="440" w:lineRule="exact"/>
        <w:ind w:firstLineChars="0"/>
        <w:jc w:val="left"/>
        <w:rPr>
          <w:rFonts w:ascii="微软雅黑" w:hAnsi="微软雅黑" w:eastAsia="微软雅黑"/>
        </w:rPr>
      </w:pPr>
      <w:r>
        <w:rPr>
          <w:rFonts w:hint="eastAsia" w:ascii="微软雅黑" w:hAnsi="微软雅黑" w:eastAsia="微软雅黑"/>
        </w:rPr>
        <w:t>为什么要做战略解码和</w:t>
      </w:r>
      <w:r>
        <w:rPr>
          <w:rFonts w:ascii="微软雅黑" w:hAnsi="微软雅黑" w:eastAsia="微软雅黑"/>
        </w:rPr>
        <w:t>PBC</w:t>
      </w:r>
    </w:p>
    <w:p>
      <w:pPr>
        <w:pStyle w:val="24"/>
        <w:numPr>
          <w:ilvl w:val="0"/>
          <w:numId w:val="3"/>
        </w:numPr>
        <w:spacing w:line="440" w:lineRule="exact"/>
        <w:ind w:firstLineChars="0"/>
        <w:jc w:val="left"/>
        <w:rPr>
          <w:rFonts w:ascii="微软雅黑" w:hAnsi="微软雅黑" w:eastAsia="微软雅黑"/>
        </w:rPr>
      </w:pPr>
      <w:r>
        <w:rPr>
          <w:rFonts w:hint="eastAsia" w:ascii="微软雅黑" w:hAnsi="微软雅黑" w:eastAsia="微软雅黑"/>
        </w:rPr>
        <w:t>什么是战略解码？</w:t>
      </w:r>
    </w:p>
    <w:p>
      <w:pPr>
        <w:pStyle w:val="24"/>
        <w:numPr>
          <w:ilvl w:val="0"/>
          <w:numId w:val="3"/>
        </w:numPr>
        <w:spacing w:line="440" w:lineRule="exact"/>
        <w:ind w:firstLineChars="0"/>
        <w:jc w:val="left"/>
        <w:rPr>
          <w:rFonts w:ascii="微软雅黑" w:hAnsi="微软雅黑" w:eastAsia="微软雅黑"/>
        </w:rPr>
      </w:pPr>
      <w:r>
        <w:rPr>
          <w:rFonts w:hint="eastAsia" w:ascii="微软雅黑" w:hAnsi="微软雅黑" w:eastAsia="微软雅黑"/>
        </w:rPr>
        <w:t>公司战略解码与设计原则</w:t>
      </w:r>
    </w:p>
    <w:p>
      <w:pPr>
        <w:pStyle w:val="24"/>
        <w:numPr>
          <w:ilvl w:val="0"/>
          <w:numId w:val="3"/>
        </w:numPr>
        <w:spacing w:line="440" w:lineRule="exact"/>
        <w:ind w:firstLineChars="0"/>
        <w:jc w:val="left"/>
        <w:rPr>
          <w:rFonts w:ascii="微软雅黑" w:hAnsi="微软雅黑" w:eastAsia="微软雅黑"/>
        </w:rPr>
      </w:pPr>
      <w:r>
        <w:rPr>
          <w:rFonts w:hint="eastAsia" w:ascii="微软雅黑" w:hAnsi="微软雅黑" w:eastAsia="微软雅黑"/>
        </w:rPr>
        <w:t>战略解码和年度经营计划框架解析</w:t>
      </w:r>
    </w:p>
    <w:p>
      <w:pPr>
        <w:spacing w:line="440" w:lineRule="exact"/>
        <w:jc w:val="left"/>
        <w:rPr>
          <w:rFonts w:ascii="微软雅黑" w:hAnsi="微软雅黑" w:eastAsia="微软雅黑"/>
        </w:rPr>
      </w:pPr>
      <w:r>
        <w:rPr>
          <w:rFonts w:hint="eastAsia" w:ascii="微软雅黑" w:hAnsi="微软雅黑" w:eastAsia="微软雅黑"/>
        </w:rPr>
        <w:t>第四章、公司战略解码</w:t>
      </w:r>
    </w:p>
    <w:p>
      <w:pPr>
        <w:pStyle w:val="24"/>
        <w:numPr>
          <w:ilvl w:val="0"/>
          <w:numId w:val="4"/>
        </w:numPr>
        <w:spacing w:line="440" w:lineRule="exact"/>
        <w:ind w:firstLineChars="0"/>
        <w:jc w:val="left"/>
        <w:rPr>
          <w:rFonts w:ascii="微软雅黑" w:hAnsi="微软雅黑" w:eastAsia="微软雅黑"/>
        </w:rPr>
      </w:pPr>
      <w:r>
        <w:rPr>
          <w:rFonts w:hint="eastAsia" w:ascii="微软雅黑" w:hAnsi="微软雅黑" w:eastAsia="微软雅黑"/>
        </w:rPr>
        <w:t>使命、愿景、目标、战略</w:t>
      </w:r>
    </w:p>
    <w:p>
      <w:pPr>
        <w:pStyle w:val="24"/>
        <w:numPr>
          <w:ilvl w:val="0"/>
          <w:numId w:val="4"/>
        </w:numPr>
        <w:spacing w:line="440" w:lineRule="exact"/>
        <w:ind w:firstLineChars="0"/>
        <w:jc w:val="left"/>
        <w:rPr>
          <w:rFonts w:ascii="微软雅黑" w:hAnsi="微软雅黑" w:eastAsia="微软雅黑"/>
        </w:rPr>
      </w:pPr>
      <w:r>
        <w:rPr>
          <w:rFonts w:hint="eastAsia" w:ascii="微软雅黑" w:hAnsi="微软雅黑" w:eastAsia="微软雅黑"/>
        </w:rPr>
        <w:t>公司战略澄清图</w:t>
      </w:r>
    </w:p>
    <w:p>
      <w:pPr>
        <w:pStyle w:val="24"/>
        <w:numPr>
          <w:ilvl w:val="0"/>
          <w:numId w:val="4"/>
        </w:numPr>
        <w:spacing w:line="440" w:lineRule="exact"/>
        <w:ind w:firstLineChars="0"/>
        <w:jc w:val="left"/>
        <w:rPr>
          <w:rFonts w:ascii="微软雅黑" w:hAnsi="微软雅黑" w:eastAsia="微软雅黑"/>
        </w:rPr>
      </w:pPr>
      <w:r>
        <w:rPr>
          <w:rFonts w:hint="eastAsia" w:ascii="微软雅黑" w:hAnsi="微软雅黑" w:eastAsia="微软雅黑"/>
        </w:rPr>
        <w:t>公司平衡计分卡</w:t>
      </w:r>
    </w:p>
    <w:p>
      <w:pPr>
        <w:pStyle w:val="24"/>
        <w:numPr>
          <w:ilvl w:val="0"/>
          <w:numId w:val="4"/>
        </w:numPr>
        <w:spacing w:line="440" w:lineRule="exact"/>
        <w:ind w:firstLineChars="0"/>
        <w:jc w:val="left"/>
        <w:rPr>
          <w:rFonts w:ascii="微软雅黑" w:hAnsi="微软雅黑" w:eastAsia="微软雅黑"/>
        </w:rPr>
      </w:pPr>
      <w:r>
        <w:rPr>
          <w:rFonts w:hint="eastAsia" w:ascii="微软雅黑" w:hAnsi="微软雅黑" w:eastAsia="微软雅黑"/>
        </w:rPr>
        <w:t>公司年度重点工作</w:t>
      </w:r>
    </w:p>
    <w:p>
      <w:pPr>
        <w:pStyle w:val="24"/>
        <w:numPr>
          <w:ilvl w:val="0"/>
          <w:numId w:val="4"/>
        </w:numPr>
        <w:spacing w:line="440" w:lineRule="exact"/>
        <w:ind w:firstLineChars="0"/>
        <w:jc w:val="left"/>
        <w:rPr>
          <w:rFonts w:ascii="微软雅黑" w:hAnsi="微软雅黑" w:eastAsia="微软雅黑"/>
        </w:rPr>
      </w:pPr>
      <w:r>
        <w:rPr>
          <w:rFonts w:hint="eastAsia" w:ascii="微软雅黑" w:hAnsi="微软雅黑" w:eastAsia="微软雅黑"/>
        </w:rPr>
        <w:t>案例讲解：某企业公司级战略解码</w:t>
      </w:r>
    </w:p>
    <w:p>
      <w:pPr>
        <w:spacing w:line="440" w:lineRule="exact"/>
        <w:jc w:val="left"/>
        <w:rPr>
          <w:rFonts w:ascii="微软雅黑" w:hAnsi="微软雅黑" w:eastAsia="微软雅黑"/>
        </w:rPr>
      </w:pPr>
      <w:r>
        <w:rPr>
          <w:rFonts w:hint="eastAsia" w:ascii="微软雅黑" w:hAnsi="微软雅黑" w:eastAsia="微软雅黑"/>
        </w:rPr>
        <w:t>第五章、一级部门战略解码及PBC制定</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部门战略解码流程</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一级部门战略解码逻辑框架</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战略解码学习</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第一步：明确理解公司战略的要点和原则</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第二步：明确部门使命、愿景、定位</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第三步：公司战略、竞争战略、战略目标的理解</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第四步：识别部门相关战略主题</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第五步：相关战略主题的行动分析</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第六步：汇总部门行动并进行优先级排序</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撰写述职报告</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第一步：理解公司战略（战略澄清图、</w:t>
      </w:r>
      <w:r>
        <w:rPr>
          <w:rFonts w:ascii="微软雅黑" w:hAnsi="微软雅黑" w:eastAsia="微软雅黑"/>
        </w:rPr>
        <w:t>KPI</w:t>
      </w:r>
      <w:r>
        <w:rPr>
          <w:rFonts w:hint="eastAsia" w:ascii="微软雅黑" w:hAnsi="微软雅黑" w:eastAsia="微软雅黑"/>
        </w:rPr>
        <w:t>、年度重点工作）</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第二步：经验教训总结以及外部环境和机会点分析</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第三步：制定部门三年路标（业务目标、能力提升路标）</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第四步：输出部门年度</w:t>
      </w:r>
      <w:r>
        <w:rPr>
          <w:rFonts w:ascii="微软雅黑" w:hAnsi="微软雅黑" w:eastAsia="微软雅黑"/>
        </w:rPr>
        <w:t>KPI</w:t>
      </w:r>
      <w:r>
        <w:rPr>
          <w:rFonts w:hint="eastAsia" w:ascii="微软雅黑" w:hAnsi="微软雅黑" w:eastAsia="微软雅黑"/>
        </w:rPr>
        <w:t>指标</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第五步：输出本年度部门重点工作</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第六步：制定本年度部门关键措施及行动计划</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第七步：部门年度</w:t>
      </w:r>
      <w:r>
        <w:rPr>
          <w:rFonts w:ascii="微软雅黑" w:hAnsi="微软雅黑" w:eastAsia="微软雅黑"/>
        </w:rPr>
        <w:t>PBC</w:t>
      </w:r>
      <w:r>
        <w:rPr>
          <w:rFonts w:hint="eastAsia" w:ascii="微软雅黑" w:hAnsi="微软雅黑" w:eastAsia="微软雅黑"/>
        </w:rPr>
        <w:t>承诺</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第八步：困难与求助</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目标制定的技巧</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绩效指标</w:t>
      </w:r>
      <w:r>
        <w:rPr>
          <w:rFonts w:ascii="微软雅黑" w:hAnsi="微软雅黑" w:eastAsia="微软雅黑"/>
        </w:rPr>
        <w:t>/KPI</w:t>
      </w:r>
      <w:r>
        <w:rPr>
          <w:rFonts w:hint="eastAsia" w:ascii="微软雅黑" w:hAnsi="微软雅黑" w:eastAsia="微软雅黑"/>
        </w:rPr>
        <w:t>分解和制定的技巧</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撰写一级部门</w:t>
      </w:r>
      <w:r>
        <w:rPr>
          <w:rFonts w:ascii="微软雅黑" w:hAnsi="微软雅黑" w:eastAsia="微软雅黑"/>
        </w:rPr>
        <w:t>PBC</w:t>
      </w:r>
    </w:p>
    <w:p>
      <w:pPr>
        <w:pStyle w:val="24"/>
        <w:numPr>
          <w:ilvl w:val="0"/>
          <w:numId w:val="5"/>
        </w:numPr>
        <w:spacing w:line="440" w:lineRule="exact"/>
        <w:ind w:firstLineChars="0"/>
        <w:jc w:val="left"/>
        <w:rPr>
          <w:rFonts w:ascii="微软雅黑" w:hAnsi="微软雅黑" w:eastAsia="微软雅黑"/>
        </w:rPr>
      </w:pPr>
      <w:r>
        <w:rPr>
          <w:rFonts w:ascii="微软雅黑" w:hAnsi="微软雅黑" w:eastAsia="微软雅黑"/>
        </w:rPr>
        <w:t>Win</w:t>
      </w:r>
      <w:r>
        <w:rPr>
          <w:rFonts w:hint="eastAsia" w:ascii="微软雅黑" w:hAnsi="微软雅黑" w:eastAsia="微软雅黑"/>
        </w:rPr>
        <w:t>的撰写技巧</w:t>
      </w:r>
    </w:p>
    <w:p>
      <w:pPr>
        <w:pStyle w:val="24"/>
        <w:numPr>
          <w:ilvl w:val="0"/>
          <w:numId w:val="5"/>
        </w:numPr>
        <w:spacing w:line="440" w:lineRule="exact"/>
        <w:ind w:firstLineChars="0"/>
        <w:jc w:val="left"/>
        <w:rPr>
          <w:rFonts w:ascii="微软雅黑" w:hAnsi="微软雅黑" w:eastAsia="微软雅黑"/>
        </w:rPr>
      </w:pPr>
      <w:r>
        <w:rPr>
          <w:rFonts w:ascii="微软雅黑" w:hAnsi="微软雅黑" w:eastAsia="微软雅黑"/>
        </w:rPr>
        <w:t>Execute</w:t>
      </w:r>
      <w:r>
        <w:rPr>
          <w:rFonts w:hint="eastAsia" w:ascii="微软雅黑" w:hAnsi="微软雅黑" w:eastAsia="微软雅黑"/>
        </w:rPr>
        <w:t>的撰写技巧</w:t>
      </w:r>
    </w:p>
    <w:p>
      <w:pPr>
        <w:pStyle w:val="24"/>
        <w:numPr>
          <w:ilvl w:val="0"/>
          <w:numId w:val="5"/>
        </w:numPr>
        <w:spacing w:line="440" w:lineRule="exact"/>
        <w:ind w:firstLineChars="0"/>
        <w:jc w:val="left"/>
        <w:rPr>
          <w:rFonts w:ascii="微软雅黑" w:hAnsi="微软雅黑" w:eastAsia="微软雅黑"/>
        </w:rPr>
      </w:pPr>
      <w:r>
        <w:rPr>
          <w:rFonts w:ascii="微软雅黑" w:hAnsi="微软雅黑" w:eastAsia="微软雅黑"/>
        </w:rPr>
        <w:t>Team</w:t>
      </w:r>
      <w:r>
        <w:rPr>
          <w:rFonts w:hint="eastAsia" w:ascii="微软雅黑" w:hAnsi="微软雅黑" w:eastAsia="微软雅黑"/>
        </w:rPr>
        <w:t>撰写的六个维度</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制定部门</w:t>
      </w:r>
      <w:r>
        <w:rPr>
          <w:rFonts w:ascii="微软雅黑" w:hAnsi="微软雅黑" w:eastAsia="微软雅黑"/>
        </w:rPr>
        <w:t>WBS</w:t>
      </w:r>
      <w:r>
        <w:rPr>
          <w:rFonts w:hint="eastAsia" w:ascii="微软雅黑" w:hAnsi="微软雅黑" w:eastAsia="微软雅黑"/>
        </w:rPr>
        <w:t>计划以及指标责任分解矩阵</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输出部门指标定义及报表</w:t>
      </w:r>
    </w:p>
    <w:p>
      <w:pPr>
        <w:pStyle w:val="24"/>
        <w:numPr>
          <w:ilvl w:val="0"/>
          <w:numId w:val="5"/>
        </w:numPr>
        <w:spacing w:line="440" w:lineRule="exact"/>
        <w:ind w:firstLineChars="0"/>
        <w:jc w:val="left"/>
        <w:rPr>
          <w:rFonts w:ascii="微软雅黑" w:hAnsi="微软雅黑" w:eastAsia="微软雅黑"/>
        </w:rPr>
      </w:pPr>
      <w:r>
        <w:rPr>
          <w:rFonts w:hint="eastAsia" w:ascii="微软雅黑" w:hAnsi="微软雅黑" w:eastAsia="微软雅黑"/>
        </w:rPr>
        <w:t>案例讲解：某事业部的战略解码（战略学习、述职报告及部门</w:t>
      </w:r>
      <w:r>
        <w:rPr>
          <w:rFonts w:ascii="微软雅黑" w:hAnsi="微软雅黑" w:eastAsia="微软雅黑"/>
        </w:rPr>
        <w:t>PBC</w:t>
      </w:r>
      <w:r>
        <w:rPr>
          <w:rFonts w:hint="eastAsia" w:ascii="微软雅黑" w:hAnsi="微软雅黑" w:eastAsia="微软雅黑"/>
        </w:rPr>
        <w:t>）</w:t>
      </w:r>
    </w:p>
    <w:p>
      <w:pPr>
        <w:spacing w:line="440" w:lineRule="exact"/>
        <w:jc w:val="left"/>
        <w:rPr>
          <w:rFonts w:ascii="微软雅黑" w:hAnsi="微软雅黑" w:eastAsia="微软雅黑"/>
        </w:rPr>
      </w:pPr>
      <w:r>
        <w:rPr>
          <w:rFonts w:hint="eastAsia" w:ascii="微软雅黑" w:hAnsi="微软雅黑" w:eastAsia="微软雅黑"/>
        </w:rPr>
        <w:t>第六章、部门KPI到岗位PBC制定</w:t>
      </w:r>
    </w:p>
    <w:p>
      <w:pPr>
        <w:pStyle w:val="24"/>
        <w:numPr>
          <w:ilvl w:val="0"/>
          <w:numId w:val="6"/>
        </w:numPr>
        <w:spacing w:line="440" w:lineRule="exact"/>
        <w:ind w:firstLineChars="0"/>
        <w:jc w:val="left"/>
        <w:rPr>
          <w:rFonts w:ascii="微软雅黑" w:hAnsi="微软雅黑" w:eastAsia="微软雅黑"/>
        </w:rPr>
      </w:pPr>
      <w:r>
        <w:rPr>
          <w:rFonts w:hint="eastAsia" w:ascii="微软雅黑" w:hAnsi="微软雅黑" w:eastAsia="微软雅黑"/>
        </w:rPr>
        <w:t>部门KPI到岗位</w:t>
      </w:r>
      <w:r>
        <w:rPr>
          <w:rFonts w:ascii="微软雅黑" w:hAnsi="微软雅黑" w:eastAsia="微软雅黑"/>
        </w:rPr>
        <w:t>PBC</w:t>
      </w:r>
      <w:r>
        <w:rPr>
          <w:rFonts w:hint="eastAsia" w:ascii="微软雅黑" w:hAnsi="微软雅黑" w:eastAsia="微软雅黑"/>
        </w:rPr>
        <w:t>制定要点</w:t>
      </w:r>
    </w:p>
    <w:p>
      <w:pPr>
        <w:pStyle w:val="24"/>
        <w:numPr>
          <w:ilvl w:val="0"/>
          <w:numId w:val="6"/>
        </w:numPr>
        <w:spacing w:line="440" w:lineRule="exact"/>
        <w:ind w:firstLineChars="0"/>
        <w:jc w:val="left"/>
        <w:rPr>
          <w:rFonts w:ascii="微软雅黑" w:hAnsi="微软雅黑" w:eastAsia="微软雅黑"/>
        </w:rPr>
      </w:pPr>
      <w:r>
        <w:rPr>
          <w:rFonts w:hint="eastAsia" w:ascii="微软雅黑" w:hAnsi="微软雅黑" w:eastAsia="微软雅黑"/>
        </w:rPr>
        <w:t>岗位</w:t>
      </w:r>
      <w:r>
        <w:rPr>
          <w:rFonts w:ascii="微软雅黑" w:hAnsi="微软雅黑" w:eastAsia="微软雅黑"/>
        </w:rPr>
        <w:t>PBC</w:t>
      </w:r>
      <w:r>
        <w:rPr>
          <w:rFonts w:hint="eastAsia" w:ascii="微软雅黑" w:hAnsi="微软雅黑" w:eastAsia="微软雅黑"/>
        </w:rPr>
        <w:t>模板</w:t>
      </w:r>
    </w:p>
    <w:p>
      <w:pPr>
        <w:pStyle w:val="24"/>
        <w:numPr>
          <w:ilvl w:val="0"/>
          <w:numId w:val="6"/>
        </w:numPr>
        <w:spacing w:line="440" w:lineRule="exact"/>
        <w:ind w:firstLineChars="0"/>
        <w:jc w:val="left"/>
        <w:rPr>
          <w:rFonts w:ascii="微软雅黑" w:hAnsi="微软雅黑" w:eastAsia="微软雅黑"/>
        </w:rPr>
      </w:pPr>
      <w:r>
        <w:rPr>
          <w:rFonts w:hint="eastAsia" w:ascii="微软雅黑" w:hAnsi="微软雅黑" w:eastAsia="微软雅黑"/>
        </w:rPr>
        <w:t>岗位</w:t>
      </w:r>
      <w:r>
        <w:rPr>
          <w:rFonts w:ascii="微软雅黑" w:hAnsi="微软雅黑" w:eastAsia="微软雅黑"/>
        </w:rPr>
        <w:t>PBC</w:t>
      </w:r>
      <w:r>
        <w:rPr>
          <w:rFonts w:hint="eastAsia" w:ascii="微软雅黑" w:hAnsi="微软雅黑" w:eastAsia="微软雅黑"/>
        </w:rPr>
        <w:t>中</w:t>
      </w:r>
      <w:r>
        <w:rPr>
          <w:rFonts w:ascii="微软雅黑" w:hAnsi="微软雅黑" w:eastAsia="微软雅黑"/>
        </w:rPr>
        <w:t>win</w:t>
      </w:r>
      <w:r>
        <w:rPr>
          <w:rFonts w:hint="eastAsia" w:ascii="微软雅黑" w:hAnsi="微软雅黑" w:eastAsia="微软雅黑"/>
        </w:rPr>
        <w:t>部分编写要点</w:t>
      </w:r>
    </w:p>
    <w:p>
      <w:pPr>
        <w:pStyle w:val="24"/>
        <w:numPr>
          <w:ilvl w:val="0"/>
          <w:numId w:val="6"/>
        </w:numPr>
        <w:spacing w:line="440" w:lineRule="exact"/>
        <w:ind w:firstLineChars="0"/>
        <w:jc w:val="left"/>
        <w:rPr>
          <w:rFonts w:ascii="微软雅黑" w:hAnsi="微软雅黑" w:eastAsia="微软雅黑"/>
        </w:rPr>
      </w:pPr>
      <w:r>
        <w:rPr>
          <w:rFonts w:hint="eastAsia" w:ascii="微软雅黑" w:hAnsi="微软雅黑" w:eastAsia="微软雅黑"/>
        </w:rPr>
        <w:t>岗位</w:t>
      </w:r>
      <w:r>
        <w:rPr>
          <w:rFonts w:ascii="微软雅黑" w:hAnsi="微软雅黑" w:eastAsia="微软雅黑"/>
        </w:rPr>
        <w:t>PBC execute</w:t>
      </w:r>
      <w:r>
        <w:rPr>
          <w:rFonts w:hint="eastAsia" w:ascii="微软雅黑" w:hAnsi="微软雅黑" w:eastAsia="微软雅黑"/>
        </w:rPr>
        <w:t>部分编写要点</w:t>
      </w:r>
    </w:p>
    <w:p>
      <w:pPr>
        <w:pStyle w:val="24"/>
        <w:numPr>
          <w:ilvl w:val="0"/>
          <w:numId w:val="6"/>
        </w:numPr>
        <w:spacing w:line="440" w:lineRule="exact"/>
        <w:ind w:firstLineChars="0"/>
        <w:jc w:val="left"/>
        <w:rPr>
          <w:rFonts w:ascii="微软雅黑" w:hAnsi="微软雅黑" w:eastAsia="微软雅黑"/>
        </w:rPr>
      </w:pPr>
      <w:r>
        <w:rPr>
          <w:rFonts w:hint="eastAsia" w:ascii="微软雅黑" w:hAnsi="微软雅黑" w:eastAsia="微软雅黑"/>
        </w:rPr>
        <w:t>岗位</w:t>
      </w:r>
      <w:r>
        <w:rPr>
          <w:rFonts w:ascii="微软雅黑" w:hAnsi="微软雅黑" w:eastAsia="微软雅黑"/>
        </w:rPr>
        <w:t>PBC team</w:t>
      </w:r>
      <w:r>
        <w:rPr>
          <w:rFonts w:hint="eastAsia" w:ascii="微软雅黑" w:hAnsi="微软雅黑" w:eastAsia="微软雅黑"/>
        </w:rPr>
        <w:t>部分编写要点</w:t>
      </w:r>
    </w:p>
    <w:p>
      <w:pPr>
        <w:pStyle w:val="24"/>
        <w:numPr>
          <w:ilvl w:val="0"/>
          <w:numId w:val="6"/>
        </w:numPr>
        <w:spacing w:line="440" w:lineRule="exact"/>
        <w:ind w:firstLineChars="0"/>
        <w:jc w:val="left"/>
        <w:rPr>
          <w:rFonts w:ascii="微软雅黑" w:hAnsi="微软雅黑" w:eastAsia="微软雅黑"/>
        </w:rPr>
      </w:pPr>
      <w:r>
        <w:rPr>
          <w:rFonts w:hint="eastAsia" w:ascii="微软雅黑" w:hAnsi="微软雅黑" w:eastAsia="微软雅黑"/>
        </w:rPr>
        <w:t>案例讲解：某岗位</w:t>
      </w:r>
      <w:r>
        <w:rPr>
          <w:rFonts w:ascii="微软雅黑" w:hAnsi="微软雅黑" w:eastAsia="微软雅黑"/>
        </w:rPr>
        <w:t>PBC</w:t>
      </w:r>
      <w:r>
        <w:rPr>
          <w:rFonts w:hint="eastAsia" w:ascii="微软雅黑" w:hAnsi="微软雅黑" w:eastAsia="微软雅黑"/>
        </w:rPr>
        <w:t>的制定</w:t>
      </w:r>
    </w:p>
    <w:p>
      <w:pPr>
        <w:spacing w:line="440" w:lineRule="exact"/>
        <w:jc w:val="left"/>
        <w:rPr>
          <w:rFonts w:ascii="微软雅黑" w:hAnsi="微软雅黑" w:eastAsia="微软雅黑"/>
        </w:rPr>
      </w:pPr>
      <w:r>
        <w:rPr>
          <w:rFonts w:hint="eastAsia" w:ascii="微软雅黑" w:hAnsi="微软雅黑" w:eastAsia="微软雅黑"/>
        </w:rPr>
        <w:t>行动计划：签订目标责任书和绩效承诺</w:t>
      </w:r>
    </w:p>
    <w:p>
      <w:pPr>
        <w:spacing w:line="440" w:lineRule="exact"/>
        <w:jc w:val="left"/>
        <w:rPr>
          <w:rFonts w:hint="eastAsia" w:ascii="微软雅黑" w:hAnsi="微软雅黑" w:eastAsia="微软雅黑"/>
        </w:rPr>
      </w:pPr>
      <w:r>
        <w:rPr>
          <w:rFonts w:hint="eastAsia" w:ascii="微软雅黑" w:hAnsi="微软雅黑" w:eastAsia="微软雅黑"/>
        </w:rPr>
        <w:t>课程总结：成果展示</w:t>
      </w:r>
    </w:p>
    <w:p>
      <w:pPr>
        <w:spacing w:line="440" w:lineRule="exact"/>
        <w:jc w:val="left"/>
        <w:rPr>
          <w:rFonts w:hint="eastAsia" w:ascii="微软雅黑" w:hAnsi="微软雅黑" w:eastAsia="微软雅黑"/>
        </w:rPr>
      </w:pPr>
    </w:p>
    <w:p>
      <w:pPr>
        <w:spacing w:after="0" w:line="360" w:lineRule="auto"/>
        <w:ind w:firstLine="3357" w:firstLineChars="1045"/>
        <w:rPr>
          <w:rFonts w:hint="eastAsia" w:ascii="宋体" w:hAnsi="宋体" w:eastAsia="宋体"/>
          <w:b/>
          <w:bCs/>
          <w:color w:val="000000"/>
          <w:sz w:val="32"/>
          <w:szCs w:val="32"/>
        </w:rPr>
      </w:pPr>
      <w:r>
        <w:rPr>
          <w:rFonts w:hint="eastAsia" w:ascii="宋体" w:hAnsi="宋体" w:eastAsia="宋体"/>
          <w:b/>
          <w:bCs/>
          <w:color w:val="000000"/>
          <w:sz w:val="32"/>
          <w:szCs w:val="32"/>
        </w:rPr>
        <w:t>冯南石老师</w:t>
      </w:r>
    </w:p>
    <w:p>
      <w:pPr>
        <w:spacing w:after="0" w:line="360" w:lineRule="auto"/>
        <w:jc w:val="center"/>
        <w:rPr>
          <w:rFonts w:hint="eastAsia" w:ascii="宋体" w:hAnsi="宋体" w:eastAsia="宋体"/>
          <w:b/>
          <w:bCs/>
          <w:color w:val="000000"/>
          <w:sz w:val="32"/>
          <w:szCs w:val="32"/>
        </w:rPr>
      </w:pPr>
      <w:r>
        <w:rPr>
          <w:rFonts w:hint="eastAsia" w:ascii="宋体" w:hAnsi="宋体" w:eastAsia="宋体"/>
          <w:b/>
          <w:bCs/>
          <w:color w:val="000000"/>
          <w:sz w:val="32"/>
          <w:szCs w:val="32"/>
        </w:rPr>
        <w:t xml:space="preserve">                  ——互联网时代管理实战专家</w:t>
      </w:r>
    </w:p>
    <w:p>
      <w:pPr>
        <w:spacing w:after="180" w:afterLines="50" w:line="240" w:lineRule="exact"/>
        <w:rPr>
          <w:rFonts w:hint="eastAsia" w:ascii="宋体" w:hAnsi="宋体" w:eastAsia="宋体"/>
          <w:b/>
          <w:bCs/>
          <w:color w:val="0000FF"/>
          <w:sz w:val="21"/>
          <w:szCs w:val="21"/>
        </w:rPr>
      </w:pPr>
      <w:r>
        <w:rPr>
          <w:rFonts w:ascii="宋体" w:hAnsi="宋体" w:eastAsia="宋体"/>
          <w:b/>
          <w:bCs/>
          <w:color w:val="0000FF"/>
          <w:sz w:val="21"/>
          <w:szCs w:val="21"/>
        </w:rPr>
        <w:drawing>
          <wp:anchor distT="0" distB="0" distL="114300" distR="114300" simplePos="0" relativeHeight="251660288" behindDoc="1" locked="0" layoutInCell="1" allowOverlap="1">
            <wp:simplePos x="0" y="0"/>
            <wp:positionH relativeFrom="column">
              <wp:posOffset>4277360</wp:posOffset>
            </wp:positionH>
            <wp:positionV relativeFrom="paragraph">
              <wp:posOffset>29210</wp:posOffset>
            </wp:positionV>
            <wp:extent cx="1912620" cy="2175510"/>
            <wp:effectExtent l="0" t="0" r="5080" b="8890"/>
            <wp:wrapTight wrapText="bothSides">
              <wp:wrapPolygon>
                <wp:start x="0" y="0"/>
                <wp:lineTo x="0" y="21436"/>
                <wp:lineTo x="21514" y="21436"/>
                <wp:lineTo x="21514" y="0"/>
                <wp:lineTo x="0" y="0"/>
              </wp:wrapPolygon>
            </wp:wrapTight>
            <wp:docPr id="1" name="图片 2" descr="冯南石宣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冯南石宣传"/>
                    <pic:cNvPicPr>
                      <a:picLocks noChangeAspect="1"/>
                    </pic:cNvPicPr>
                  </pic:nvPicPr>
                  <pic:blipFill>
                    <a:blip r:embed="rId5"/>
                    <a:srcRect b="12846"/>
                    <a:stretch>
                      <a:fillRect/>
                    </a:stretch>
                  </pic:blipFill>
                  <pic:spPr>
                    <a:xfrm>
                      <a:off x="0" y="0"/>
                      <a:ext cx="1912620" cy="2175510"/>
                    </a:xfrm>
                    <a:prstGeom prst="rect">
                      <a:avLst/>
                    </a:prstGeom>
                    <a:noFill/>
                    <a:ln>
                      <a:noFill/>
                    </a:ln>
                  </pic:spPr>
                </pic:pic>
              </a:graphicData>
            </a:graphic>
          </wp:anchor>
        </w:drawing>
      </w:r>
      <w:r>
        <w:rPr>
          <w:rFonts w:hint="eastAsia" w:ascii="宋体" w:hAnsi="宋体" w:eastAsia="宋体"/>
          <w:b/>
          <w:bCs/>
          <w:color w:val="0000FF"/>
          <w:sz w:val="21"/>
          <w:szCs w:val="21"/>
        </w:rPr>
        <w:t xml:space="preserve">【讲师简介】 </w:t>
      </w:r>
    </w:p>
    <w:p>
      <w:pPr>
        <w:numPr>
          <w:ilvl w:val="0"/>
          <w:numId w:val="7"/>
        </w:numPr>
        <w:spacing w:after="180" w:afterLines="50" w:line="360" w:lineRule="auto"/>
        <w:rPr>
          <w:rFonts w:hint="eastAsia" w:ascii="宋体" w:hAnsi="宋体" w:eastAsia="宋体" w:cs="宋体"/>
          <w:sz w:val="21"/>
          <w:szCs w:val="21"/>
        </w:rPr>
      </w:pPr>
      <w:r>
        <w:rPr>
          <w:rFonts w:hint="eastAsia" w:ascii="宋体" w:hAnsi="宋体" w:eastAsia="宋体" w:cs="宋体"/>
          <w:sz w:val="21"/>
          <w:szCs w:val="21"/>
        </w:rPr>
        <w:t>中英文双语授课讲师</w:t>
      </w:r>
    </w:p>
    <w:p>
      <w:pPr>
        <w:numPr>
          <w:ilvl w:val="0"/>
          <w:numId w:val="7"/>
        </w:numPr>
        <w:spacing w:after="180" w:afterLines="50" w:line="360" w:lineRule="auto"/>
        <w:rPr>
          <w:rFonts w:hint="eastAsia" w:ascii="宋体" w:hAnsi="宋体" w:eastAsia="宋体" w:cs="宋体"/>
          <w:sz w:val="21"/>
          <w:szCs w:val="21"/>
        </w:rPr>
      </w:pPr>
      <w:r>
        <w:rPr>
          <w:rFonts w:hint="eastAsia" w:ascii="宋体" w:hAnsi="宋体" w:eastAsia="宋体" w:cs="宋体"/>
          <w:bCs/>
          <w:sz w:val="21"/>
          <w:szCs w:val="21"/>
        </w:rPr>
        <w:t>获</w:t>
      </w:r>
      <w:r>
        <w:rPr>
          <w:rFonts w:hint="eastAsia" w:ascii="宋体" w:hAnsi="宋体" w:eastAsia="宋体"/>
          <w:sz w:val="21"/>
          <w:szCs w:val="21"/>
        </w:rPr>
        <w:t>北京师范大学管理学博士、武汉大学硕士学位</w:t>
      </w:r>
    </w:p>
    <w:p>
      <w:pPr>
        <w:numPr>
          <w:ilvl w:val="0"/>
          <w:numId w:val="7"/>
        </w:numPr>
        <w:spacing w:after="180" w:afterLines="50" w:line="360" w:lineRule="auto"/>
        <w:rPr>
          <w:rFonts w:hint="eastAsia" w:ascii="宋体" w:hAnsi="宋体" w:eastAsia="宋体" w:cs="宋体"/>
          <w:sz w:val="21"/>
          <w:szCs w:val="21"/>
        </w:rPr>
      </w:pPr>
      <w:r>
        <w:rPr>
          <w:rFonts w:hint="eastAsia" w:ascii="宋体" w:hAnsi="宋体" w:eastAsia="宋体" w:cs="宋体"/>
          <w:sz w:val="21"/>
          <w:szCs w:val="21"/>
        </w:rPr>
        <w:t>清华大学总裁班、中山大学管理学院、华南理工大学EDP及EMBA班客座讲师</w:t>
      </w:r>
    </w:p>
    <w:p>
      <w:pPr>
        <w:numPr>
          <w:ilvl w:val="0"/>
          <w:numId w:val="7"/>
        </w:numPr>
        <w:spacing w:after="180" w:afterLines="50" w:line="360" w:lineRule="auto"/>
        <w:rPr>
          <w:rFonts w:hint="eastAsia" w:ascii="宋体" w:hAnsi="宋体" w:eastAsia="宋体" w:cs="宋体"/>
          <w:sz w:val="21"/>
          <w:szCs w:val="21"/>
        </w:rPr>
      </w:pPr>
      <w:r>
        <w:rPr>
          <w:rFonts w:hint="eastAsia" w:ascii="宋体" w:hAnsi="宋体" w:eastAsia="宋体" w:cs="宋体"/>
          <w:sz w:val="21"/>
          <w:szCs w:val="21"/>
        </w:rPr>
        <w:t>AACTP国际认证行动学习教练</w:t>
      </w:r>
    </w:p>
    <w:p>
      <w:pPr>
        <w:numPr>
          <w:ilvl w:val="0"/>
          <w:numId w:val="7"/>
        </w:numPr>
        <w:spacing w:after="180" w:afterLines="50" w:line="360" w:lineRule="auto"/>
        <w:rPr>
          <w:rFonts w:hint="eastAsia" w:ascii="宋体" w:hAnsi="宋体" w:eastAsia="宋体" w:cs="宋体"/>
          <w:sz w:val="21"/>
          <w:szCs w:val="21"/>
        </w:rPr>
      </w:pPr>
      <w:r>
        <w:rPr>
          <w:rFonts w:hint="eastAsia" w:ascii="宋体" w:hAnsi="宋体" w:eastAsia="宋体" w:cs="宋体"/>
          <w:sz w:val="21"/>
          <w:szCs w:val="21"/>
        </w:rPr>
        <w:t>深圳华为高级项目经理、产品总监、内训讲师</w:t>
      </w:r>
    </w:p>
    <w:p>
      <w:pPr>
        <w:numPr>
          <w:ilvl w:val="0"/>
          <w:numId w:val="7"/>
        </w:numPr>
        <w:spacing w:after="180" w:afterLines="50" w:line="360" w:lineRule="auto"/>
        <w:rPr>
          <w:rFonts w:hint="eastAsia" w:ascii="宋体" w:hAnsi="宋体" w:eastAsia="宋体" w:cs="宋体"/>
          <w:sz w:val="21"/>
          <w:szCs w:val="21"/>
        </w:rPr>
      </w:pPr>
      <w:r>
        <w:rPr>
          <w:rFonts w:hint="eastAsia" w:ascii="宋体" w:hAnsi="宋体" w:eastAsia="宋体" w:cs="宋体"/>
          <w:sz w:val="21"/>
          <w:szCs w:val="21"/>
        </w:rPr>
        <w:t>中兴通讯资深项目总监、管理咨询师、高级讲师</w:t>
      </w:r>
    </w:p>
    <w:p>
      <w:pPr>
        <w:numPr>
          <w:ilvl w:val="0"/>
          <w:numId w:val="7"/>
        </w:numPr>
        <w:spacing w:after="180" w:afterLines="50" w:line="360" w:lineRule="auto"/>
        <w:rPr>
          <w:rFonts w:hint="eastAsia" w:ascii="宋体" w:hAnsi="宋体" w:eastAsia="宋体" w:cs="宋体"/>
          <w:sz w:val="21"/>
          <w:szCs w:val="21"/>
        </w:rPr>
      </w:pPr>
      <w:r>
        <w:rPr>
          <w:rFonts w:hint="eastAsia" w:ascii="宋体" w:hAnsi="宋体" w:eastAsia="宋体" w:cs="宋体"/>
          <w:sz w:val="21"/>
          <w:szCs w:val="21"/>
        </w:rPr>
        <w:t>走访30多个国家实施市场化运作，对跨国运营和管理有丰富的经验</w:t>
      </w:r>
    </w:p>
    <w:p>
      <w:pPr>
        <w:numPr>
          <w:ilvl w:val="0"/>
          <w:numId w:val="7"/>
        </w:numPr>
        <w:spacing w:after="180" w:afterLines="50" w:line="360" w:lineRule="auto"/>
        <w:rPr>
          <w:rFonts w:ascii="宋体" w:hAnsi="宋体" w:eastAsia="宋体" w:cs="宋体"/>
          <w:sz w:val="21"/>
          <w:szCs w:val="21"/>
        </w:rPr>
      </w:pPr>
      <w:r>
        <w:rPr>
          <w:rFonts w:hint="eastAsia" w:ascii="宋体" w:hAnsi="宋体" w:eastAsia="宋体" w:cs="宋体"/>
          <w:sz w:val="21"/>
          <w:szCs w:val="21"/>
        </w:rPr>
        <w:t>2</w:t>
      </w:r>
      <w:r>
        <w:rPr>
          <w:rFonts w:ascii="宋体" w:hAnsi="宋体" w:eastAsia="宋体" w:cs="宋体"/>
          <w:sz w:val="21"/>
          <w:szCs w:val="21"/>
        </w:rPr>
        <w:t>017</w:t>
      </w:r>
      <w:r>
        <w:rPr>
          <w:rFonts w:hint="eastAsia" w:ascii="宋体" w:hAnsi="宋体" w:eastAsia="宋体" w:cs="宋体"/>
          <w:sz w:val="21"/>
          <w:szCs w:val="21"/>
        </w:rPr>
        <w:t>年出版畅销书《华为高效工作法》</w:t>
      </w:r>
    </w:p>
    <w:p>
      <w:pPr>
        <w:numPr>
          <w:ilvl w:val="0"/>
          <w:numId w:val="7"/>
        </w:numPr>
        <w:spacing w:after="180" w:afterLines="50" w:line="360" w:lineRule="auto"/>
        <w:rPr>
          <w:rFonts w:hint="eastAsia" w:ascii="宋体" w:hAnsi="宋体" w:eastAsia="宋体"/>
          <w:bCs/>
          <w:sz w:val="21"/>
          <w:szCs w:val="21"/>
        </w:rPr>
      </w:pPr>
      <w:r>
        <w:rPr>
          <w:rFonts w:hint="eastAsia" w:ascii="宋体" w:hAnsi="宋体" w:eastAsia="宋体" w:cs="宋体"/>
          <w:sz w:val="21"/>
          <w:szCs w:val="21"/>
        </w:rPr>
        <w:t>对互联网时代技术变革下的人员管理有深刻的洞察，2014年高等教育出版社出版的教科书《物联网技术导论》第二作者，主编《智慧城市》和《智能交通》两个模块</w:t>
      </w:r>
    </w:p>
    <w:p>
      <w:pPr>
        <w:spacing w:after="180" w:afterLines="50" w:line="360" w:lineRule="auto"/>
        <w:rPr>
          <w:rFonts w:hint="eastAsia" w:ascii="宋体" w:hAnsi="宋体" w:eastAsia="宋体"/>
          <w:bCs/>
          <w:sz w:val="21"/>
          <w:szCs w:val="21"/>
        </w:rPr>
      </w:pPr>
      <w:r>
        <w:rPr>
          <w:rFonts w:hint="eastAsia" w:ascii="宋体" w:hAnsi="宋体" w:eastAsia="宋体"/>
          <w:b/>
          <w:bCs/>
          <w:color w:val="0000FF"/>
          <w:sz w:val="21"/>
          <w:szCs w:val="21"/>
        </w:rPr>
        <w:t>【实践经历】</w:t>
      </w:r>
      <w:r>
        <w:rPr>
          <w:rFonts w:hint="eastAsia" w:ascii="宋体" w:hAnsi="宋体" w:eastAsia="宋体"/>
          <w:bCs/>
          <w:sz w:val="21"/>
          <w:szCs w:val="21"/>
        </w:rPr>
        <w:t xml:space="preserve">                     </w:t>
      </w:r>
    </w:p>
    <w:p>
      <w:pPr>
        <w:tabs>
          <w:tab w:val="left" w:pos="227"/>
        </w:tabs>
        <w:autoSpaceDE w:val="0"/>
        <w:autoSpaceDN w:val="0"/>
        <w:spacing w:after="180" w:afterLines="50" w:line="360" w:lineRule="auto"/>
        <w:ind w:firstLine="420" w:firstLineChars="200"/>
        <w:rPr>
          <w:rFonts w:hint="eastAsia" w:ascii="宋体" w:hAnsi="宋体" w:eastAsia="宋体"/>
          <w:bCs/>
          <w:sz w:val="21"/>
          <w:szCs w:val="21"/>
          <w:shd w:val="clear" w:color="auto" w:fill="auto"/>
        </w:rPr>
      </w:pPr>
      <w:r>
        <w:rPr>
          <w:rFonts w:hint="eastAsia" w:ascii="宋体" w:hAnsi="宋体" w:eastAsia="宋体"/>
          <w:bCs/>
          <w:sz w:val="21"/>
          <w:szCs w:val="21"/>
          <w:shd w:val="clear" w:color="auto" w:fill="auto"/>
        </w:rPr>
        <w:t>2014-2015年作为核心咨询师为香港得利钟表，东莞水投集团交付为期一年的新任管理干部培养咨询项目。</w:t>
      </w:r>
    </w:p>
    <w:p>
      <w:pPr>
        <w:tabs>
          <w:tab w:val="left" w:pos="227"/>
        </w:tabs>
        <w:autoSpaceDE w:val="0"/>
        <w:autoSpaceDN w:val="0"/>
        <w:spacing w:after="180" w:afterLines="50" w:line="360" w:lineRule="auto"/>
        <w:ind w:firstLine="420" w:firstLineChars="200"/>
        <w:rPr>
          <w:rFonts w:hint="eastAsia" w:ascii="宋体" w:hAnsi="宋体" w:eastAsia="宋体"/>
          <w:bCs/>
          <w:sz w:val="21"/>
          <w:szCs w:val="21"/>
          <w:shd w:val="clear" w:color="auto" w:fill="auto"/>
        </w:rPr>
      </w:pPr>
      <w:r>
        <w:rPr>
          <w:rFonts w:hint="eastAsia" w:ascii="宋体" w:hAnsi="宋体" w:eastAsia="宋体"/>
          <w:bCs/>
          <w:sz w:val="21"/>
          <w:szCs w:val="21"/>
          <w:shd w:val="clear" w:color="auto" w:fill="auto"/>
        </w:rPr>
        <w:t>2006-2013年任中兴通讯服务产品团队科长、总工、部长、总监等，带领100人的技术团队负责产品推广以及服务销售等工作 ，带领团队成员成功推动了广东移动、湖北电信、河南联通等多个省公司服务集采项目的中标和后期交付；同时任中兴通讯管理服务部资深管理咨询师、高级讲师，负责中兴通讯内外部领导力、职业力提升项目的策划和实施，为中兴通讯管理研究室汲取并总结了30多家著名企业的成功管理经验。</w:t>
      </w:r>
    </w:p>
    <w:p>
      <w:pPr>
        <w:tabs>
          <w:tab w:val="left" w:pos="227"/>
        </w:tabs>
        <w:autoSpaceDE w:val="0"/>
        <w:autoSpaceDN w:val="0"/>
        <w:spacing w:after="180" w:afterLines="50" w:line="360" w:lineRule="auto"/>
        <w:ind w:firstLine="420" w:firstLineChars="200"/>
        <w:rPr>
          <w:rFonts w:hint="eastAsia" w:ascii="宋体" w:hAnsi="宋体" w:eastAsia="宋体"/>
          <w:bCs/>
          <w:sz w:val="21"/>
          <w:szCs w:val="21"/>
          <w:shd w:val="clear" w:color="auto" w:fill="auto"/>
        </w:rPr>
      </w:pPr>
      <w:r>
        <w:rPr>
          <w:rFonts w:hint="eastAsia" w:ascii="宋体" w:hAnsi="宋体" w:eastAsia="宋体"/>
          <w:bCs/>
          <w:sz w:val="21"/>
          <w:szCs w:val="21"/>
          <w:shd w:val="clear" w:color="auto" w:fill="auto"/>
        </w:rPr>
        <w:t>2004-2006年任华为区域产品总监，带领30人的技术团队负责产品推广及销售等工作；成功推动了无线产品在欧洲市场和国内沿海发达地区的全面突破；同时，兼任华为培训中心（华为大学）讲师，为华为成功培养了近200名优秀的中层管理者。</w:t>
      </w:r>
    </w:p>
    <w:p>
      <w:pPr>
        <w:tabs>
          <w:tab w:val="left" w:pos="227"/>
        </w:tabs>
        <w:autoSpaceDE w:val="0"/>
        <w:autoSpaceDN w:val="0"/>
        <w:spacing w:after="180" w:afterLines="50" w:line="360" w:lineRule="auto"/>
        <w:ind w:firstLine="420" w:firstLineChars="200"/>
        <w:rPr>
          <w:rFonts w:hint="eastAsia" w:ascii="宋体" w:hAnsi="宋体" w:eastAsia="宋体"/>
          <w:bCs/>
          <w:sz w:val="21"/>
          <w:szCs w:val="21"/>
          <w:shd w:val="clear" w:color="auto" w:fill="auto"/>
        </w:rPr>
      </w:pPr>
      <w:r>
        <w:rPr>
          <w:rFonts w:hint="eastAsia" w:ascii="宋体" w:hAnsi="宋体" w:eastAsia="宋体"/>
          <w:bCs/>
          <w:sz w:val="21"/>
          <w:szCs w:val="21"/>
          <w:shd w:val="clear" w:color="auto" w:fill="auto"/>
        </w:rPr>
        <w:t>2000-2004年任华为研发部和海外事业部售前技术经理、大项目经理，带领20人的项目团队负责通信产品研发、技术应标支持、产品方案宣讲等工作。带领团队成员完成德国电信、意大利电信全国网项目策划及交付，广东移动全省网项目策划及交付，推动了北非三国埃及</w:t>
      </w:r>
      <w:r>
        <w:rPr>
          <w:rFonts w:ascii="宋体" w:hAnsi="宋体" w:eastAsia="宋体"/>
          <w:bCs/>
          <w:sz w:val="21"/>
          <w:szCs w:val="21"/>
          <w:shd w:val="clear" w:color="auto" w:fill="auto"/>
        </w:rPr>
        <w:t>、</w:t>
      </w:r>
      <w:r>
        <w:rPr>
          <w:rFonts w:hint="eastAsia" w:ascii="宋体" w:hAnsi="宋体" w:eastAsia="宋体"/>
          <w:bCs/>
          <w:sz w:val="21"/>
          <w:szCs w:val="21"/>
          <w:shd w:val="clear" w:color="auto" w:fill="auto"/>
        </w:rPr>
        <w:t>突尼斯</w:t>
      </w:r>
      <w:r>
        <w:rPr>
          <w:rFonts w:ascii="宋体" w:hAnsi="宋体" w:eastAsia="宋体"/>
          <w:bCs/>
          <w:sz w:val="21"/>
          <w:szCs w:val="21"/>
          <w:shd w:val="clear" w:color="auto" w:fill="auto"/>
        </w:rPr>
        <w:t>、阿尔及利亚</w:t>
      </w:r>
      <w:r>
        <w:rPr>
          <w:rFonts w:hint="eastAsia" w:ascii="宋体" w:hAnsi="宋体" w:eastAsia="宋体"/>
          <w:bCs/>
          <w:sz w:val="21"/>
          <w:szCs w:val="21"/>
          <w:shd w:val="clear" w:color="auto" w:fill="auto"/>
        </w:rPr>
        <w:t>无线产品的整体突破。</w:t>
      </w:r>
    </w:p>
    <w:p>
      <w:pPr>
        <w:tabs>
          <w:tab w:val="left" w:pos="227"/>
        </w:tabs>
        <w:autoSpaceDE w:val="0"/>
        <w:autoSpaceDN w:val="0"/>
        <w:spacing w:after="180" w:afterLines="50" w:line="360" w:lineRule="auto"/>
        <w:ind w:firstLine="420" w:firstLineChars="200"/>
        <w:rPr>
          <w:rFonts w:hint="eastAsia" w:ascii="宋体" w:hAnsi="宋体" w:eastAsia="宋体"/>
          <w:bCs/>
          <w:sz w:val="21"/>
          <w:szCs w:val="21"/>
          <w:shd w:val="clear" w:color="FFFFFF" w:fill="D9D9D9"/>
        </w:rPr>
      </w:pPr>
      <w:r>
        <w:rPr>
          <w:rFonts w:hint="eastAsia" w:ascii="宋体" w:hAnsi="宋体" w:eastAsia="宋体"/>
          <w:bCs/>
          <w:sz w:val="21"/>
          <w:szCs w:val="21"/>
          <w:shd w:val="clear" w:color="auto" w:fill="auto"/>
        </w:rPr>
        <w:t>在华为和中兴通讯任职期间，还曾走访了美国、法国、土耳其、印度、伊朗、阿尔及利亚、尼日利亚等30多个国家和地区，实施服务产品的市场推广、应标及交付等工作，成功推动了德国E-plus全国网培训项目、埃塞俄比亚和中国政府联合实施的“千人培训计划”项目、南非CellC服务采购项目、香港CSL培训集采等项目的市场成功运作。</w:t>
      </w:r>
    </w:p>
    <w:p>
      <w:pPr>
        <w:spacing w:after="180" w:afterLines="50" w:line="360" w:lineRule="auto"/>
        <w:rPr>
          <w:rFonts w:ascii="宋体" w:hAnsi="宋体" w:eastAsia="宋体"/>
          <w:b/>
          <w:bCs/>
          <w:color w:val="0000FF"/>
          <w:sz w:val="21"/>
          <w:szCs w:val="21"/>
        </w:rPr>
      </w:pPr>
      <w:r>
        <w:rPr>
          <w:rFonts w:hint="eastAsia" w:ascii="宋体" w:hAnsi="宋体" w:eastAsia="宋体"/>
          <w:b/>
          <w:bCs/>
          <w:color w:val="0000FF"/>
          <w:sz w:val="21"/>
          <w:szCs w:val="21"/>
        </w:rPr>
        <w:t>【授课风格】</w:t>
      </w:r>
    </w:p>
    <w:p>
      <w:pPr>
        <w:tabs>
          <w:tab w:val="left" w:pos="227"/>
        </w:tabs>
        <w:autoSpaceDE w:val="0"/>
        <w:autoSpaceDN w:val="0"/>
        <w:spacing w:after="180" w:afterLines="50" w:line="360" w:lineRule="auto"/>
        <w:ind w:firstLine="420" w:firstLineChars="200"/>
        <w:rPr>
          <w:rFonts w:hint="eastAsia" w:ascii="宋体" w:hAnsi="宋体" w:eastAsia="宋体"/>
          <w:b/>
          <w:bCs/>
          <w:sz w:val="21"/>
          <w:szCs w:val="21"/>
        </w:rPr>
      </w:pPr>
      <w:r>
        <w:rPr>
          <w:rFonts w:hint="eastAsia" w:ascii="宋体" w:hAnsi="宋体" w:eastAsia="宋体"/>
          <w:bCs/>
          <w:sz w:val="21"/>
          <w:szCs w:val="21"/>
        </w:rPr>
        <w:t>冯老师坚持认为管理就是实践，坚持从理论到具体执行方法、步骤和工具；课程融理念、技巧、案例为一体，授课深入浅出、案例丰富、以互动性强见长、以内容互动而非形式互动，被学员誉为</w:t>
      </w:r>
      <w:r>
        <w:rPr>
          <w:rFonts w:hint="eastAsia" w:ascii="宋体" w:hAnsi="宋体" w:eastAsia="宋体"/>
          <w:b/>
          <w:bCs/>
          <w:sz w:val="21"/>
          <w:szCs w:val="21"/>
        </w:rPr>
        <w:t>“最能形象生动演绎干货的老师！”</w:t>
      </w:r>
    </w:p>
    <w:p>
      <w:pPr>
        <w:tabs>
          <w:tab w:val="left" w:pos="227"/>
        </w:tabs>
        <w:autoSpaceDE w:val="0"/>
        <w:autoSpaceDN w:val="0"/>
        <w:spacing w:after="180" w:afterLines="50" w:line="360" w:lineRule="auto"/>
        <w:ind w:firstLine="420" w:firstLineChars="200"/>
        <w:rPr>
          <w:rFonts w:ascii="宋体" w:hAnsi="宋体" w:eastAsia="宋体"/>
          <w:bCs/>
          <w:sz w:val="21"/>
          <w:szCs w:val="21"/>
        </w:rPr>
      </w:pPr>
      <w:r>
        <w:rPr>
          <w:rFonts w:ascii="宋体" w:hAnsi="宋体" w:eastAsia="宋体"/>
          <w:bCs/>
          <w:szCs w:val="21"/>
        </w:rPr>
        <w:drawing>
          <wp:anchor distT="0" distB="0" distL="114300" distR="114300" simplePos="0" relativeHeight="251661312" behindDoc="1" locked="0" layoutInCell="1" allowOverlap="1">
            <wp:simplePos x="0" y="0"/>
            <wp:positionH relativeFrom="column">
              <wp:posOffset>635</wp:posOffset>
            </wp:positionH>
            <wp:positionV relativeFrom="paragraph">
              <wp:posOffset>0</wp:posOffset>
            </wp:positionV>
            <wp:extent cx="5715000" cy="1104900"/>
            <wp:effectExtent l="0" t="0" r="0" b="0"/>
            <wp:wrapTight wrapText="bothSides">
              <wp:wrapPolygon>
                <wp:start x="0" y="0"/>
                <wp:lineTo x="0" y="21352"/>
                <wp:lineTo x="21552" y="21352"/>
                <wp:lineTo x="21552" y="0"/>
                <wp:lineTo x="0" y="0"/>
              </wp:wrapPolygon>
            </wp:wrapTight>
            <wp:docPr id="3" name="图片 17" descr="导师引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descr="导师引导"/>
                    <pic:cNvPicPr>
                      <a:picLocks noChangeAspect="1"/>
                    </pic:cNvPicPr>
                  </pic:nvPicPr>
                  <pic:blipFill>
                    <a:blip r:embed="rId6"/>
                    <a:stretch>
                      <a:fillRect/>
                    </a:stretch>
                  </pic:blipFill>
                  <pic:spPr>
                    <a:xfrm>
                      <a:off x="0" y="0"/>
                      <a:ext cx="5715000" cy="1104900"/>
                    </a:xfrm>
                    <a:prstGeom prst="rect">
                      <a:avLst/>
                    </a:prstGeom>
                    <a:noFill/>
                    <a:ln>
                      <a:noFill/>
                    </a:ln>
                  </pic:spPr>
                </pic:pic>
              </a:graphicData>
            </a:graphic>
          </wp:anchor>
        </w:drawing>
      </w:r>
    </w:p>
    <w:p>
      <w:pPr>
        <w:spacing w:after="180" w:afterLines="50" w:line="360" w:lineRule="auto"/>
        <w:rPr>
          <w:rFonts w:hint="eastAsia" w:ascii="宋体" w:hAnsi="宋体" w:eastAsia="宋体"/>
          <w:b/>
          <w:bCs/>
          <w:color w:val="0000FF"/>
          <w:sz w:val="21"/>
          <w:szCs w:val="21"/>
        </w:rPr>
      </w:pPr>
    </w:p>
    <w:p>
      <w:pPr>
        <w:spacing w:after="180" w:afterLines="50" w:line="360" w:lineRule="auto"/>
        <w:rPr>
          <w:rFonts w:hint="eastAsia" w:ascii="宋体" w:hAnsi="宋体" w:eastAsia="宋体"/>
          <w:b/>
          <w:bCs/>
          <w:color w:val="0000FF"/>
          <w:sz w:val="21"/>
          <w:szCs w:val="21"/>
        </w:rPr>
      </w:pPr>
    </w:p>
    <w:p>
      <w:pPr>
        <w:spacing w:after="180" w:afterLines="50" w:line="360" w:lineRule="auto"/>
        <w:rPr>
          <w:rFonts w:ascii="宋体" w:hAnsi="宋体" w:eastAsia="宋体"/>
          <w:b/>
          <w:bCs/>
          <w:color w:val="0000FF"/>
          <w:sz w:val="21"/>
          <w:szCs w:val="21"/>
        </w:rPr>
      </w:pPr>
      <w:r>
        <w:rPr>
          <w:rFonts w:hint="eastAsia" w:ascii="宋体" w:hAnsi="宋体" w:eastAsia="宋体"/>
          <w:b/>
          <w:bCs/>
          <w:color w:val="0000FF"/>
          <w:sz w:val="21"/>
          <w:szCs w:val="21"/>
        </w:rPr>
        <w:t>【部分客户名单】（可验证）</w:t>
      </w:r>
    </w:p>
    <w:p>
      <w:pPr>
        <w:tabs>
          <w:tab w:val="left" w:pos="227"/>
        </w:tabs>
        <w:autoSpaceDE w:val="0"/>
        <w:autoSpaceDN w:val="0"/>
        <w:spacing w:after="180" w:afterLines="50" w:line="288" w:lineRule="auto"/>
        <w:rPr>
          <w:rFonts w:hint="eastAsia" w:ascii="宋体" w:hAnsi="宋体" w:eastAsia="宋体"/>
          <w:bCs/>
          <w:sz w:val="21"/>
          <w:szCs w:val="21"/>
        </w:rPr>
      </w:pPr>
      <w:r>
        <w:rPr>
          <w:rFonts w:hint="eastAsia" w:ascii="宋体" w:hAnsi="宋体" w:eastAsia="宋体"/>
          <w:bCs/>
          <w:sz w:val="21"/>
          <w:szCs w:val="21"/>
        </w:rPr>
        <w:t>ICT：沃达丰、法国电信、香港CSL、中国移动、广东移动南方基地、中国电信、美的集团、深圳赛意科技、广州承兴国际、广州申迪、酷狗音乐、天翼支付、易建科技、东莞中图、东莞凯格精密、珠海理想、华为技术、中兴通讯等</w:t>
      </w:r>
    </w:p>
    <w:p>
      <w:pPr>
        <w:tabs>
          <w:tab w:val="left" w:pos="227"/>
        </w:tabs>
        <w:autoSpaceDE w:val="0"/>
        <w:autoSpaceDN w:val="0"/>
        <w:spacing w:after="180" w:afterLines="50" w:line="288" w:lineRule="auto"/>
        <w:rPr>
          <w:rFonts w:hint="eastAsia" w:ascii="宋体" w:hAnsi="宋体" w:eastAsia="宋体"/>
          <w:bCs/>
          <w:sz w:val="21"/>
          <w:szCs w:val="21"/>
        </w:rPr>
      </w:pPr>
      <w:r>
        <w:rPr>
          <w:rFonts w:hint="eastAsia" w:ascii="宋体" w:hAnsi="宋体" w:eastAsia="宋体"/>
          <w:bCs/>
          <w:sz w:val="21"/>
          <w:szCs w:val="21"/>
        </w:rPr>
        <w:t>金融保险：福建建设银行、河北建设银行、江苏建设银行、洛阳建设银行、广东农业银行、湖南农业银行、福建招商银行、深圳中信银行、兰州中信银行、惠州农商行、重庆农商业行、徽商银行、平安保险、吉林太平洋保险、安联保险等</w:t>
      </w:r>
    </w:p>
    <w:p>
      <w:pPr>
        <w:tabs>
          <w:tab w:val="left" w:pos="227"/>
        </w:tabs>
        <w:autoSpaceDE w:val="0"/>
        <w:autoSpaceDN w:val="0"/>
        <w:spacing w:after="180" w:afterLines="50" w:line="288" w:lineRule="auto"/>
        <w:rPr>
          <w:rFonts w:hint="eastAsia" w:ascii="宋体" w:hAnsi="宋体" w:eastAsia="宋体"/>
          <w:bCs/>
          <w:sz w:val="21"/>
          <w:szCs w:val="21"/>
        </w:rPr>
      </w:pPr>
      <w:r>
        <w:rPr>
          <w:rFonts w:hint="eastAsia" w:ascii="宋体" w:hAnsi="宋体" w:eastAsia="宋体"/>
          <w:bCs/>
          <w:sz w:val="21"/>
          <w:szCs w:val="21"/>
        </w:rPr>
        <w:t>电力能源：云南电网、广州发展集团、深圳燃气集团、广东柯达洁净能、东莞能源投资、佛山燃气集团、中国石油青海油田、国家核能科技集团、江门供电局、三门峡电网等</w:t>
      </w:r>
    </w:p>
    <w:p>
      <w:pPr>
        <w:tabs>
          <w:tab w:val="left" w:pos="227"/>
        </w:tabs>
        <w:autoSpaceDE w:val="0"/>
        <w:autoSpaceDN w:val="0"/>
        <w:spacing w:after="180" w:afterLines="50" w:line="288" w:lineRule="auto"/>
        <w:rPr>
          <w:rFonts w:hint="eastAsia" w:ascii="宋体" w:hAnsi="宋体" w:eastAsia="宋体"/>
          <w:bCs/>
          <w:sz w:val="21"/>
          <w:szCs w:val="21"/>
        </w:rPr>
      </w:pPr>
      <w:r>
        <w:rPr>
          <w:rFonts w:hint="eastAsia" w:ascii="宋体" w:hAnsi="宋体" w:eastAsia="宋体"/>
          <w:bCs/>
          <w:sz w:val="21"/>
          <w:szCs w:val="21"/>
        </w:rPr>
        <w:t>医药生物：华润三九福建分公司、扬子江药业、江中药业、万和农牧等</w:t>
      </w:r>
    </w:p>
    <w:p>
      <w:pPr>
        <w:tabs>
          <w:tab w:val="left" w:pos="227"/>
        </w:tabs>
        <w:autoSpaceDE w:val="0"/>
        <w:autoSpaceDN w:val="0"/>
        <w:spacing w:after="180" w:afterLines="50" w:line="288" w:lineRule="auto"/>
        <w:rPr>
          <w:rFonts w:hint="eastAsia" w:ascii="宋体" w:hAnsi="宋体" w:eastAsia="宋体"/>
          <w:bCs/>
          <w:sz w:val="21"/>
          <w:szCs w:val="21"/>
        </w:rPr>
      </w:pPr>
      <w:r>
        <w:rPr>
          <w:rFonts w:hint="eastAsia" w:ascii="宋体" w:hAnsi="宋体" w:eastAsia="宋体"/>
          <w:bCs/>
          <w:sz w:val="21"/>
          <w:szCs w:val="21"/>
        </w:rPr>
        <w:t>汽车：广汽本田、广汽丰田、上海通用、一汽大众、一汽海外事业部、一汽轿车、一汽重卡销售公司、一汽本田、深业（深港）集团</w:t>
      </w:r>
    </w:p>
    <w:p>
      <w:pPr>
        <w:tabs>
          <w:tab w:val="left" w:pos="227"/>
        </w:tabs>
        <w:autoSpaceDE w:val="0"/>
        <w:autoSpaceDN w:val="0"/>
        <w:spacing w:after="180" w:afterLines="50" w:line="288" w:lineRule="auto"/>
        <w:rPr>
          <w:rFonts w:hint="eastAsia" w:ascii="宋体" w:hAnsi="宋体" w:eastAsia="宋体"/>
          <w:bCs/>
          <w:sz w:val="21"/>
          <w:szCs w:val="21"/>
        </w:rPr>
      </w:pPr>
      <w:r>
        <w:rPr>
          <w:rFonts w:hint="eastAsia" w:ascii="宋体" w:hAnsi="宋体" w:eastAsia="宋体"/>
          <w:bCs/>
          <w:sz w:val="21"/>
          <w:szCs w:val="21"/>
        </w:rPr>
        <w:t>高校：中山大学管理学院、华南理工大学研究生院、中国矿业大学EMBA、暨南大学等</w:t>
      </w:r>
    </w:p>
    <w:p>
      <w:pPr>
        <w:tabs>
          <w:tab w:val="left" w:pos="227"/>
        </w:tabs>
        <w:autoSpaceDE w:val="0"/>
        <w:autoSpaceDN w:val="0"/>
        <w:spacing w:after="180" w:afterLines="50" w:line="288" w:lineRule="auto"/>
        <w:rPr>
          <w:rFonts w:hint="eastAsia" w:ascii="宋体" w:hAnsi="宋体" w:eastAsia="宋体"/>
          <w:b/>
          <w:bCs/>
          <w:color w:val="0000FF"/>
          <w:sz w:val="21"/>
          <w:szCs w:val="21"/>
        </w:rPr>
      </w:pPr>
      <w:r>
        <w:rPr>
          <w:rFonts w:hint="eastAsia" w:ascii="宋体" w:hAnsi="宋体" w:eastAsia="宋体"/>
          <w:bCs/>
          <w:sz w:val="21"/>
          <w:szCs w:val="21"/>
        </w:rPr>
        <w:t>其它：雪松控股、南方航空、海南航空、深圳创维、万和集团、佛山红牛、光大集团、国家专利局、广州质量技术检验局、广州安全局、中建三局、中建钢构、东莞水务集团、得利钟表集团等</w:t>
      </w:r>
    </w:p>
    <w:p>
      <w:pPr>
        <w:spacing w:after="180" w:afterLines="50" w:line="360" w:lineRule="auto"/>
        <w:rPr>
          <w:rFonts w:hint="eastAsia" w:ascii="宋体" w:hAnsi="宋体" w:eastAsia="宋体"/>
          <w:b/>
          <w:bCs/>
          <w:color w:val="0000FF"/>
          <w:sz w:val="21"/>
          <w:szCs w:val="21"/>
        </w:rPr>
      </w:pPr>
      <w:r>
        <w:rPr>
          <w:rFonts w:hint="eastAsia" w:ascii="宋体" w:hAnsi="宋体" w:eastAsia="宋体"/>
          <w:b/>
          <w:bCs/>
          <w:color w:val="0000FF"/>
          <w:sz w:val="21"/>
          <w:szCs w:val="21"/>
        </w:rPr>
        <w:t>【主讲课程】</w:t>
      </w:r>
    </w:p>
    <w:p>
      <w:pPr>
        <w:spacing w:after="180" w:afterLines="50" w:line="360" w:lineRule="auto"/>
        <w:rPr>
          <w:rFonts w:hint="eastAsia" w:ascii="宋体" w:hAnsi="宋体" w:eastAsia="宋体"/>
          <w:b/>
          <w:bCs/>
          <w:color w:val="0000FF"/>
          <w:sz w:val="21"/>
          <w:szCs w:val="21"/>
        </w:rPr>
      </w:pPr>
      <w:r>
        <w:rPr>
          <w:rFonts w:ascii="宋体" w:hAnsi="宋体" w:eastAsia="宋体"/>
          <w:b/>
          <w:bCs/>
          <w:color w:val="0000FF"/>
          <w:sz w:val="21"/>
          <w:szCs w:val="21"/>
        </w:rPr>
        <w:drawing>
          <wp:inline distT="0" distB="0" distL="114300" distR="114300">
            <wp:extent cx="6172200" cy="3933825"/>
            <wp:effectExtent l="0" t="0" r="0" b="3175"/>
            <wp:docPr id="2" name="图片 1" descr="QQ图片201709041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图片20170904110112"/>
                    <pic:cNvPicPr>
                      <a:picLocks noChangeAspect="1"/>
                    </pic:cNvPicPr>
                  </pic:nvPicPr>
                  <pic:blipFill>
                    <a:blip r:embed="rId7"/>
                    <a:stretch>
                      <a:fillRect/>
                    </a:stretch>
                  </pic:blipFill>
                  <pic:spPr>
                    <a:xfrm>
                      <a:off x="0" y="0"/>
                      <a:ext cx="6172200" cy="3933825"/>
                    </a:xfrm>
                    <a:prstGeom prst="rect">
                      <a:avLst/>
                    </a:prstGeom>
                    <a:noFill/>
                    <a:ln>
                      <a:noFill/>
                    </a:ln>
                  </pic:spPr>
                </pic:pic>
              </a:graphicData>
            </a:graphic>
          </wp:inline>
        </w:drawing>
      </w:r>
    </w:p>
    <w:p>
      <w:pPr>
        <w:spacing w:line="440" w:lineRule="exact"/>
        <w:jc w:val="left"/>
        <w:rPr>
          <w:rFonts w:hint="eastAsia" w:ascii="微软雅黑" w:hAnsi="微软雅黑" w:eastAsia="微软雅黑"/>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12D33"/>
    <w:multiLevelType w:val="multilevel"/>
    <w:tmpl w:val="06312D3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18B27B2"/>
    <w:multiLevelType w:val="multilevel"/>
    <w:tmpl w:val="118B27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6014F47"/>
    <w:multiLevelType w:val="multilevel"/>
    <w:tmpl w:val="16014F4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B0303F5"/>
    <w:multiLevelType w:val="multilevel"/>
    <w:tmpl w:val="4B0303F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5F40379"/>
    <w:multiLevelType w:val="multilevel"/>
    <w:tmpl w:val="65F4037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7FC7963"/>
    <w:multiLevelType w:val="multilevel"/>
    <w:tmpl w:val="67FC796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3E3277A"/>
    <w:multiLevelType w:val="multilevel"/>
    <w:tmpl w:val="73E32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B4A90"/>
    <w:rsid w:val="0000289C"/>
    <w:rsid w:val="000728D4"/>
    <w:rsid w:val="00087523"/>
    <w:rsid w:val="00087CD9"/>
    <w:rsid w:val="000B4A90"/>
    <w:rsid w:val="00133F9D"/>
    <w:rsid w:val="00143F93"/>
    <w:rsid w:val="0018596C"/>
    <w:rsid w:val="00186747"/>
    <w:rsid w:val="001A49C4"/>
    <w:rsid w:val="001B0DA9"/>
    <w:rsid w:val="001D2054"/>
    <w:rsid w:val="00231255"/>
    <w:rsid w:val="002704F2"/>
    <w:rsid w:val="002730D9"/>
    <w:rsid w:val="00284B98"/>
    <w:rsid w:val="002911A5"/>
    <w:rsid w:val="002A7415"/>
    <w:rsid w:val="002B6A0A"/>
    <w:rsid w:val="002B7472"/>
    <w:rsid w:val="002D27BA"/>
    <w:rsid w:val="002E1D37"/>
    <w:rsid w:val="002E451E"/>
    <w:rsid w:val="002F555F"/>
    <w:rsid w:val="00304735"/>
    <w:rsid w:val="00316930"/>
    <w:rsid w:val="00330933"/>
    <w:rsid w:val="003519BA"/>
    <w:rsid w:val="00365F51"/>
    <w:rsid w:val="00386EAE"/>
    <w:rsid w:val="003A011B"/>
    <w:rsid w:val="003B72F5"/>
    <w:rsid w:val="00432644"/>
    <w:rsid w:val="00440F39"/>
    <w:rsid w:val="00455A3F"/>
    <w:rsid w:val="00456738"/>
    <w:rsid w:val="0046235F"/>
    <w:rsid w:val="0046722E"/>
    <w:rsid w:val="00476FFB"/>
    <w:rsid w:val="00480BAA"/>
    <w:rsid w:val="00484BFB"/>
    <w:rsid w:val="00492324"/>
    <w:rsid w:val="004C43AB"/>
    <w:rsid w:val="004D3733"/>
    <w:rsid w:val="004E1F30"/>
    <w:rsid w:val="004F017D"/>
    <w:rsid w:val="00503E6F"/>
    <w:rsid w:val="00515228"/>
    <w:rsid w:val="00547F52"/>
    <w:rsid w:val="00550874"/>
    <w:rsid w:val="0056370E"/>
    <w:rsid w:val="00567A49"/>
    <w:rsid w:val="00590A15"/>
    <w:rsid w:val="005A38E7"/>
    <w:rsid w:val="005A511A"/>
    <w:rsid w:val="005B2D29"/>
    <w:rsid w:val="005B6C34"/>
    <w:rsid w:val="005F405C"/>
    <w:rsid w:val="006173FB"/>
    <w:rsid w:val="00620780"/>
    <w:rsid w:val="0062275D"/>
    <w:rsid w:val="006321B9"/>
    <w:rsid w:val="00632252"/>
    <w:rsid w:val="0069413C"/>
    <w:rsid w:val="006B3F8B"/>
    <w:rsid w:val="006C61A6"/>
    <w:rsid w:val="006E4C05"/>
    <w:rsid w:val="006F6EAC"/>
    <w:rsid w:val="00702F21"/>
    <w:rsid w:val="00720384"/>
    <w:rsid w:val="0072150E"/>
    <w:rsid w:val="007668A7"/>
    <w:rsid w:val="0077305A"/>
    <w:rsid w:val="00775395"/>
    <w:rsid w:val="007829E5"/>
    <w:rsid w:val="00784590"/>
    <w:rsid w:val="00793F1D"/>
    <w:rsid w:val="007A0117"/>
    <w:rsid w:val="007A3956"/>
    <w:rsid w:val="00804541"/>
    <w:rsid w:val="0083132C"/>
    <w:rsid w:val="00834EE5"/>
    <w:rsid w:val="008355C5"/>
    <w:rsid w:val="00836991"/>
    <w:rsid w:val="008579E0"/>
    <w:rsid w:val="00861AE8"/>
    <w:rsid w:val="00883B97"/>
    <w:rsid w:val="008963F7"/>
    <w:rsid w:val="008C4306"/>
    <w:rsid w:val="008D240A"/>
    <w:rsid w:val="008D66A3"/>
    <w:rsid w:val="00902CBE"/>
    <w:rsid w:val="00903939"/>
    <w:rsid w:val="009072CE"/>
    <w:rsid w:val="00956F49"/>
    <w:rsid w:val="00961D5B"/>
    <w:rsid w:val="009709A6"/>
    <w:rsid w:val="00977179"/>
    <w:rsid w:val="00980091"/>
    <w:rsid w:val="009A7A82"/>
    <w:rsid w:val="009C1C82"/>
    <w:rsid w:val="009E4419"/>
    <w:rsid w:val="009F41D9"/>
    <w:rsid w:val="00A22450"/>
    <w:rsid w:val="00A36EAB"/>
    <w:rsid w:val="00A44B5A"/>
    <w:rsid w:val="00A45269"/>
    <w:rsid w:val="00A47B0A"/>
    <w:rsid w:val="00A60A98"/>
    <w:rsid w:val="00A61877"/>
    <w:rsid w:val="00A97B81"/>
    <w:rsid w:val="00AA20C9"/>
    <w:rsid w:val="00AB71FE"/>
    <w:rsid w:val="00B02820"/>
    <w:rsid w:val="00B16DD6"/>
    <w:rsid w:val="00B3472C"/>
    <w:rsid w:val="00B616EA"/>
    <w:rsid w:val="00B65E1D"/>
    <w:rsid w:val="00B670F1"/>
    <w:rsid w:val="00B76D5D"/>
    <w:rsid w:val="00B8273C"/>
    <w:rsid w:val="00BB3A32"/>
    <w:rsid w:val="00BD5A42"/>
    <w:rsid w:val="00BE7142"/>
    <w:rsid w:val="00C00910"/>
    <w:rsid w:val="00C13828"/>
    <w:rsid w:val="00C16B06"/>
    <w:rsid w:val="00C23C21"/>
    <w:rsid w:val="00C37E99"/>
    <w:rsid w:val="00C47747"/>
    <w:rsid w:val="00C57BD0"/>
    <w:rsid w:val="00C6175C"/>
    <w:rsid w:val="00C82D97"/>
    <w:rsid w:val="00C91214"/>
    <w:rsid w:val="00C95961"/>
    <w:rsid w:val="00CA5800"/>
    <w:rsid w:val="00CE17C0"/>
    <w:rsid w:val="00CE1CE0"/>
    <w:rsid w:val="00D06A93"/>
    <w:rsid w:val="00D92FCB"/>
    <w:rsid w:val="00DA1B9A"/>
    <w:rsid w:val="00DA50E9"/>
    <w:rsid w:val="00DB4704"/>
    <w:rsid w:val="00DE110D"/>
    <w:rsid w:val="00DE2690"/>
    <w:rsid w:val="00E053E2"/>
    <w:rsid w:val="00E063A0"/>
    <w:rsid w:val="00E63353"/>
    <w:rsid w:val="00E729F6"/>
    <w:rsid w:val="00EA2D29"/>
    <w:rsid w:val="00EA3FC8"/>
    <w:rsid w:val="00EA580C"/>
    <w:rsid w:val="00EA5C26"/>
    <w:rsid w:val="00EB4FC6"/>
    <w:rsid w:val="00EE21D9"/>
    <w:rsid w:val="00F01F36"/>
    <w:rsid w:val="00F02F9E"/>
    <w:rsid w:val="00F05343"/>
    <w:rsid w:val="00F0660A"/>
    <w:rsid w:val="00F21876"/>
    <w:rsid w:val="00F27053"/>
    <w:rsid w:val="00F41536"/>
    <w:rsid w:val="00FA0A1B"/>
    <w:rsid w:val="00FD0A9B"/>
    <w:rsid w:val="00FE045B"/>
    <w:rsid w:val="182B746D"/>
    <w:rsid w:val="670A1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semiHidden/>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Subtitle"/>
    <w:basedOn w:val="1"/>
    <w:next w:val="1"/>
    <w:link w:val="22"/>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9">
    <w:name w:val="toc 2"/>
    <w:basedOn w:val="1"/>
    <w:next w:val="1"/>
    <w:unhideWhenUsed/>
    <w:uiPriority w:val="39"/>
    <w:pPr>
      <w:ind w:left="420" w:leftChars="200"/>
    </w:pPr>
  </w:style>
  <w:style w:type="paragraph" w:styleId="10">
    <w:name w:val="Title"/>
    <w:basedOn w:val="1"/>
    <w:next w:val="1"/>
    <w:link w:val="23"/>
    <w:qFormat/>
    <w:uiPriority w:val="10"/>
    <w:pPr>
      <w:spacing w:before="240" w:after="60"/>
      <w:jc w:val="center"/>
      <w:outlineLvl w:val="0"/>
    </w:pPr>
    <w:rPr>
      <w:rFonts w:eastAsia="宋体" w:asciiTheme="majorHAnsi" w:hAnsiTheme="majorHAnsi" w:cstheme="majorBidi"/>
      <w:b/>
      <w:bCs/>
      <w:sz w:val="32"/>
      <w:szCs w:val="32"/>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Light Grid Accent 1"/>
    <w:basedOn w:val="11"/>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字符"/>
    <w:basedOn w:val="14"/>
    <w:link w:val="6"/>
    <w:uiPriority w:val="99"/>
    <w:rPr>
      <w:sz w:val="18"/>
      <w:szCs w:val="18"/>
    </w:rPr>
  </w:style>
  <w:style w:type="character" w:customStyle="1" w:styleId="17">
    <w:name w:val="页脚 字符"/>
    <w:basedOn w:val="14"/>
    <w:link w:val="5"/>
    <w:uiPriority w:val="99"/>
    <w:rPr>
      <w:sz w:val="18"/>
      <w:szCs w:val="18"/>
    </w:rPr>
  </w:style>
  <w:style w:type="character" w:customStyle="1" w:styleId="18">
    <w:name w:val="标题 2 字符"/>
    <w:basedOn w:val="14"/>
    <w:link w:val="3"/>
    <w:uiPriority w:val="9"/>
    <w:rPr>
      <w:rFonts w:asciiTheme="majorHAnsi" w:hAnsiTheme="majorHAnsi" w:eastAsiaTheme="majorEastAsia" w:cstheme="majorBidi"/>
      <w:b/>
      <w:bCs/>
      <w:sz w:val="32"/>
      <w:szCs w:val="32"/>
    </w:rPr>
  </w:style>
  <w:style w:type="character" w:customStyle="1" w:styleId="19">
    <w:name w:val="批注框文本 字符"/>
    <w:basedOn w:val="14"/>
    <w:link w:val="4"/>
    <w:semiHidden/>
    <w:uiPriority w:val="99"/>
    <w:rPr>
      <w:sz w:val="18"/>
      <w:szCs w:val="18"/>
    </w:rPr>
  </w:style>
  <w:style w:type="character" w:customStyle="1" w:styleId="20">
    <w:name w:val="标题 1 字符"/>
    <w:basedOn w:val="14"/>
    <w:link w:val="2"/>
    <w:uiPriority w:val="9"/>
    <w:rPr>
      <w:b/>
      <w:bCs/>
      <w:kern w:val="44"/>
      <w:sz w:val="44"/>
      <w:szCs w:val="44"/>
    </w:rPr>
  </w:style>
  <w:style w:type="paragraph" w:customStyle="1" w:styleId="2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2">
    <w:name w:val="副标题 字符"/>
    <w:basedOn w:val="14"/>
    <w:link w:val="8"/>
    <w:uiPriority w:val="11"/>
    <w:rPr>
      <w:rFonts w:eastAsia="宋体" w:asciiTheme="majorHAnsi" w:hAnsiTheme="majorHAnsi" w:cstheme="majorBidi"/>
      <w:b/>
      <w:bCs/>
      <w:kern w:val="28"/>
      <w:sz w:val="32"/>
      <w:szCs w:val="32"/>
    </w:rPr>
  </w:style>
  <w:style w:type="character" w:customStyle="1" w:styleId="23">
    <w:name w:val="标题 字符"/>
    <w:basedOn w:val="14"/>
    <w:link w:val="10"/>
    <w:uiPriority w:val="10"/>
    <w:rPr>
      <w:rFonts w:eastAsia="宋体" w:asciiTheme="majorHAnsi" w:hAnsiTheme="majorHAnsi" w:cstheme="majorBidi"/>
      <w:b/>
      <w:bCs/>
      <w:sz w:val="32"/>
      <w:szCs w:val="32"/>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4D1D-F771-4E20-9AB6-C414620CD011}">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3</Pages>
  <Words>213</Words>
  <Characters>1220</Characters>
  <Lines>10</Lines>
  <Paragraphs>2</Paragraphs>
  <TotalTime>2</TotalTime>
  <ScaleCrop>false</ScaleCrop>
  <LinksUpToDate>false</LinksUpToDate>
  <CharactersWithSpaces>1431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2021-03-11T06:54:00Z</dcterms:created>
  <dc:creator>Windows 用户</dc:creator>
  <cp:lastModifiedBy>阿也</cp:lastModifiedBy>
  <cp:lastPrinted>2021-03-31T02:52:00Z</cp:lastPrinted>
  <dcterms:modified xsi:type="dcterms:W3CDTF">2023-04-19T09:06:31Z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8D5D05B4518F49909B330C54688D8E59_13</vt:lpwstr>
  </property>
</Properties>
</file>