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snapToGrid w:val="0"/>
        <w:rPr>
          <w:rFonts w:ascii="微软雅黑" w:eastAsia="微软雅黑" w:hAnsi="微软雅黑"/>
          <w:sz w:val="20"/>
          <w:szCs w:val="20"/>
        </w:rPr>
      </w:pPr>
      <w:bookmarkStart w:id="0" w:name="_Hlk91793999"/>
      <w:bookmarkEnd w:id="0"/>
    </w:p>
    <w:p>
      <w:pPr>
        <w:snapToGrid w:val="0"/>
        <w:jc w:val="center"/>
        <w:rPr>
          <w:rFonts w:ascii="微软雅黑" w:eastAsia="微软雅黑" w:hAnsi="微软雅黑" w:cs="Times New Roman"/>
          <w:color w:val="404040" w:themeColor="text1" w:themeTint="BF"/>
          <w:sz w:val="44"/>
          <w:szCs w:val="44"/>
        </w:rPr>
      </w:pPr>
      <w:r>
        <w:rPr>
          <w:rFonts w:ascii="微软雅黑" w:eastAsia="微软雅黑" w:hAnsi="微软雅黑" w:cs="Times New Roman" w:hint="eastAsia"/>
          <w:color w:val="404040" w:themeColor="text1" w:themeTint="BF"/>
          <w:sz w:val="44"/>
          <w:szCs w:val="44"/>
        </w:rPr>
        <w:t xml:space="preserve">人力成本管控与组织人效提升</w:t>
      </w:r>
      <w:r>
        <w:rPr>
          <w:rFonts w:ascii="微软雅黑" w:eastAsia="微软雅黑" w:hAnsi="微软雅黑" w:cs="Times New Roman" w:hint="eastAsia"/>
          <w:color w:val="404040" w:themeColor="text1" w:themeTint="BF"/>
          <w:sz w:val="44"/>
          <w:szCs w:val="44"/>
        </w:rPr>
        <w:tab/>
      </w:r>
    </w:p>
    <w:p>
      <w:pPr>
        <w:snapToGrid w:val="0"/>
        <w:jc w:val="center"/>
        <w:rPr>
          <w:rFonts w:ascii="Arial" w:hAnsi="Arial" w:cs="Arial"/>
          <w:color w:val="D6D6D6"/>
          <w:sz w:val="24"/>
          <w:szCs w:val="24"/>
        </w:rPr>
      </w:pPr>
      <w:r>
        <w:rPr>
          <w:rFonts w:ascii="Arial" w:hAnsi="Arial" w:cs="Arial" w:hint="eastAsia"/>
          <w:color w:val="D6D6D6"/>
          <w:sz w:val="24"/>
          <w:szCs w:val="24"/>
        </w:rPr>
        <w:t xml:space="preserve">Human Cost Control and Organization Human Efficiency Improvement</w:t>
      </w:r>
    </w:p>
    <w:p>
      <w:pPr>
        <w:snapToGrid w:val="0"/>
        <w:rPr>
          <w:rFonts w:ascii="微软雅黑" w:eastAsia="微软雅黑" w:hAnsi="微软雅黑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3"/>
        <w:gridCol w:w="3402"/>
      </w:tblGrid>
      <w:tr>
        <w:trPr>
          <w:trHeight w:val="593"/>
          <w:jc w:val="center"/>
        </w:trPr>
        <w:tc>
          <w:tcPr>
            <w:tcW w:w="4253" w:type="dxa"/>
            <w:vAlign w:val="center"/>
          </w:tcPr>
          <w:p>
            <w:pPr>
              <w:snapToGrid w:val="0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69697E">
              <w:rPr>
                <w:rFonts w:ascii="微软雅黑" w:eastAsia="微软雅黑" w:hAnsi="微软雅黑" w:cs="宋体" w:hint="eastAsia"/>
                <w:b/>
                <w:bCs/>
                <w:color w:val="2E74B5"/>
                <w:kern w:val="0"/>
                <w:sz w:val="24"/>
                <w:szCs w:val="24"/>
              </w:rPr>
              <w:t xml:space="preserve">讲师</w:t>
            </w:r>
            <w:r w:rsidRPr="0069697E">
              <w:rPr>
                <w:rFonts w:ascii="微软雅黑" w:eastAsia="微软雅黑" w:hAnsi="微软雅黑" w:cs="宋体"/>
                <w:b/>
                <w:bCs/>
                <w:color w:val="2E74B5"/>
                <w:kern w:val="0"/>
                <w:sz w:val="24"/>
                <w:szCs w:val="24"/>
              </w:rPr>
              <w:t xml:space="preserve">/Lecturer</w:t>
            </w:r>
            <w:r w:rsidRPr="0069697E">
              <w:rPr>
                <w:rFonts w:ascii="微软雅黑" w:eastAsia="微软雅黑" w:hAnsi="微软雅黑" w:cs="宋体" w:hint="eastAsia"/>
                <w:b/>
                <w:bCs/>
                <w:color w:val="2E74B5"/>
                <w:kern w:val="0"/>
                <w:sz w:val="24"/>
                <w:szCs w:val="24"/>
              </w:rPr>
              <w:t xml:space="preserve">：</w:t>
            </w:r>
            <w:r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周老师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69697E">
              <w:rPr>
                <w:rFonts w:ascii="微软雅黑" w:eastAsia="微软雅黑" w:hAnsi="微软雅黑" w:cs="宋体" w:hint="eastAsia"/>
                <w:b/>
                <w:bCs/>
                <w:color w:val="2E74B5"/>
                <w:kern w:val="0"/>
                <w:sz w:val="24"/>
                <w:szCs w:val="24"/>
              </w:rPr>
              <w:t xml:space="preserve">费用</w:t>
            </w:r>
            <w:r w:rsidRPr="0069697E">
              <w:rPr>
                <w:rFonts w:ascii="微软雅黑" w:eastAsia="微软雅黑" w:hAnsi="微软雅黑" w:cs="宋体"/>
                <w:b/>
                <w:bCs/>
                <w:color w:val="2E74B5"/>
                <w:kern w:val="0"/>
                <w:sz w:val="24"/>
                <w:szCs w:val="24"/>
              </w:rPr>
              <w:t xml:space="preserve">/Price</w:t>
            </w:r>
            <w:r w:rsidRPr="0069697E">
              <w:rPr>
                <w:rFonts w:ascii="微软雅黑" w:eastAsia="微软雅黑" w:hAnsi="微软雅黑" w:cs="宋体" w:hint="eastAsia"/>
                <w:b/>
                <w:bCs/>
                <w:color w:val="2E74B5"/>
                <w:kern w:val="0"/>
                <w:sz w:val="24"/>
                <w:szCs w:val="24"/>
              </w:rPr>
              <w:t xml:space="preserve">：</w:t>
            </w:r>
            <w:r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¥3280元</w:t>
            </w:r>
            <w:r>
              <w:rPr>
                <w:rFonts w:ascii="微软雅黑" w:eastAsia="微软雅黑" w:hAnsi="微软雅黑" w:cs="宋体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/</w:t>
            </w:r>
            <w:r>
              <w:rPr>
                <w:rFonts w:ascii="微软雅黑" w:eastAsia="微软雅黑" w:hAnsi="微软雅黑" w:cs="宋体" w:hint="eastAsia"/>
                <w:bCs/>
                <w:color w:val="404040" w:themeColor="text1" w:themeTint="BF"/>
                <w:kern w:val="0"/>
                <w:sz w:val="24"/>
                <w:szCs w:val="24"/>
              </w:rPr>
              <w:t xml:space="preserve">人</w:t>
            </w:r>
          </w:p>
        </w:tc>
      </w:tr>
    </w:tbl>
    <w:p>
      <w:pPr>
        <w:snapToGrid w:val="0"/>
        <w:spacing w:line="288" w:lineRule="auto"/>
        <w:rPr>
          <w:rFonts w:ascii="微软雅黑" w:eastAsia="微软雅黑" w:hAnsi="微软雅黑" w:cs="微软雅黑"/>
          <w:color w:val="404040" w:themeColor="text1" w:themeTint="BF"/>
          <w:kern w:val="0"/>
          <w:sz w:val="20"/>
          <w:szCs w:val="20"/>
        </w:rPr>
      </w:pPr>
    </w:p>
    <w:p>
      <w:pPr>
        <w:snapToGrid w:val="0"/>
        <w:spacing w:line="288" w:lineRule="auto"/>
        <w:rPr>
          <w:rFonts w:ascii="微软雅黑" w:eastAsia="微软雅黑" w:hAnsi="微软雅黑" w:cs="微软雅黑"/>
          <w:color w:val="404040" w:themeColor="text1" w:themeTint="BF"/>
          <w:kern w:val="0"/>
          <w:sz w:val="20"/>
          <w:szCs w:val="20"/>
        </w:rPr>
      </w:pPr>
    </w:p>
    <w:p>
      <w:pPr>
        <w:snapToGrid w:val="0"/>
        <w:rPr>
          <w:rFonts w:ascii="微软雅黑" w:eastAsia="微软雅黑" w:hAnsi="微软雅黑" w:cs="微软雅黑"/>
          <w:color w:val="2E74B5"/>
          <w:kern w:val="0"/>
          <w:sz w:val="20"/>
          <w:szCs w:val="20"/>
        </w:rPr>
      </w:pPr>
      <w:r w:rsidRPr="0069697E">
        <w:rPr>
          <w:rFonts w:ascii="微软雅黑" w:eastAsia="微软雅黑" w:hAnsi="微软雅黑" w:cs="宋体" w:hint="eastAsia"/>
          <w:b/>
          <w:bCs/>
          <w:color w:val="2E74B5"/>
          <w:kern w:val="0"/>
          <w:sz w:val="26"/>
          <w:szCs w:val="26"/>
        </w:rPr>
        <w:t xml:space="preserve">课程排期/</w:t>
      </w:r>
      <w:r w:rsidRPr="0069697E">
        <w:rPr>
          <w:rFonts w:ascii="微软雅黑" w:eastAsia="微软雅黑" w:hAnsi="微软雅黑" w:cs="宋体"/>
          <w:b/>
          <w:bCs/>
          <w:color w:val="2E74B5"/>
          <w:kern w:val="0"/>
          <w:sz w:val="26"/>
          <w:szCs w:val="26"/>
        </w:rPr>
        <w:t xml:space="preserve">Scheduling</w:t>
      </w:r>
    </w:p>
    <w:p>
      <w:pPr>
        <w:pStyle w:val="ListParagraph"/>
        <w:ind w:firstLine="0" w:firstLineChars="0"/>
        <w:rPr>
          <w:rFonts w:ascii="微软雅黑" w:eastAsia="微软雅黑" w:hAnsi="微软雅黑"/>
          <w:color w:val="595959"/>
          <w:sz w:val="16"/>
          <w:szCs w:val="16"/>
        </w:rPr>
      </w:pPr>
    </w:p>
    <w:p>
      <w:pPr/>
      <w:r>
        <w:rPr>
          <w:rFonts w:ascii="微软雅黑" w:eastAsia="微软雅黑" w:hAnsi="微软雅黑" w:cs="微软雅黑"/>
          <w:b/>
          <w:color w:val="000000"/>
          <w:sz w:val="20"/>
        </w:rPr>
        <w:t xml:space="preserve">上海：2023年 11 月 23 日</w:t>
      </w:r>
    </w:p>
    <w:p>
      <w:pPr>
        <w:rPr/>
      </w:pPr>
    </w:p>
    <w:p>
      <w:pPr/>
      <w:r>
        <w:rPr>
          <w:rFonts w:ascii="微软雅黑" w:eastAsia="微软雅黑" w:hAnsi="微软雅黑" w:cs="微软雅黑"/>
          <w:b/>
          <w:color w:val="2E74B5"/>
          <w:sz w:val="26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2E74B5"/>
          <w:sz w:val="26"/>
        </w:rPr>
        <w:t xml:space="preserve">课程概述/Overview</w:t>
      </w:r>
    </w:p>
    <w:p>
      <w:pPr/>
      <w:r>
        <w:rPr>
          <w:rFonts w:ascii="微软雅黑" w:eastAsia="微软雅黑" w:hAnsi="微软雅黑" w:cs="微软雅黑"/>
          <w:b/>
          <w:color w:val="000000"/>
          <w:sz w:val="22"/>
        </w:rPr>
        <w:t xml:space="preserve">参训对象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有关企业主管部门领导、企业董事长、总经理，分管人力资源、财务工作的总经理(副总经理)，薪资福利经理（主管、专员)、工会负责人、企业法律顾问。 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课程目标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1.重塑和强化人力资源管理意识和人力资本价值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2.了解人力成本各项目在人力资源管理中的应用及筹措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3.领会人力成本调整与控制的策略和方法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4.掌握人效管理背后的逻辑，合理制定适合业务单元的人效解决方案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5.在实例思考和参与中，获得改善人力成本的工作业态！</w:t>
      </w:r>
    </w:p>
    <w:p>
      <w:pPr>
        <w:rPr/>
      </w:pPr>
    </w:p>
    <w:p>
      <w:pPr/>
      <w:r>
        <w:rPr>
          <w:rFonts w:ascii="微软雅黑" w:eastAsia="微软雅黑" w:hAnsi="微软雅黑" w:cs="微软雅黑"/>
          <w:b/>
          <w:color w:val="2E74B5"/>
          <w:sz w:val="26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2E74B5"/>
          <w:sz w:val="26"/>
        </w:rPr>
        <w:t xml:space="preserve">课程大纲/Outline</w:t>
      </w:r>
      <w:r/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开篇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当前环境下提升人效是今天中国企业的共同课题。组织人力资源管理面临的巨大挑战。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第一部分： 如何进行人力成本预算和控制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1.人力成本构成分析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案例分享：通过某一岗位的投入产出比，导出人力成本的核算方法及正确思维模式。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标准分类法：获得成本、开发成本、使用成本、保障成本、离职成本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按预算内容法：工资性的支出、福利性的支出、人事费用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按管控要求分：固定成本VS变动成本；有效成本VS无效成本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人力成本分析指标介绍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          头脑风暴：如何将固定成本变成变动成本？如何降低无效成本？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2.人力成本总额预算及控制方法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管控基础：年度人力成本预算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基于业务目标-战略解码-人才盘点-人才精准画像-人才地图-人才策略-学习地图做人力资源年度计划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案例分享：如何围绕组织目标做好人力成本预算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人力成本总额测算-历史数据+定岗定编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         案例演练：1）、通过某企业的具体数据，计算人力成本总额标准。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                   2）、通过同行几家企业的一些人力成本数据分析，小组讨论人力资源解决方案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000000"/>
          <w:sz w:val="22"/>
        </w:rPr>
        <w:t xml:space="preserve">第二部分： 如何有效降低人力成本，提高人效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问题：我们公司的人效是多少？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1.人力成本偏高时调整的策略和方法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正向降低法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反向降低法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比较降低法 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2.人效管理体系建设方案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数据盘点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战略选择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人数规划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队伍规划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职能规划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人效管控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3.人效提升思路（人+事）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标准化建设：行为业绩能力标准化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优化人才结构 ，抓业绩促人才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网状用工模式，加强人才复用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搭建组织平台，实现组织赋能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加强数字化技术应用，提高效率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为客户提供综合一体化解决方案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5、人力资源管理在人效提升中的具体实施路径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(1)人效分析-高人效公司的核心表现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(2)人效提升第一步-优化价值链设计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(3)明确岗位职责和任职要求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(4)工作量分析-控制部门编制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(5)设计评价方案-业绩评估方案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(6)人员盘点-能力+业绩+价值观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(7)人员引进/调整/淘汰计划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(8)人员能力提升计划</w:t>
      </w:r>
    </w:p>
    <w:p>
      <w:pPr>
        <w:rPr/>
      </w:pPr>
    </w:p>
    <w:p>
      <w:pPr/>
      <w:r>
        <w:rPr>
          <w:rFonts w:ascii="微软雅黑" w:eastAsia="微软雅黑" w:hAnsi="微软雅黑" w:cs="微软雅黑"/>
          <w:b/>
          <w:color w:val="2E74B5"/>
          <w:sz w:val="26"/>
        </w:rPr>
      </w:r>
    </w:p>
    <w:p>
      <w:pPr>
        <w:rPr/>
      </w:pPr>
      <w:r>
        <w:rPr>
          <w:rFonts w:ascii="微软雅黑" w:eastAsia="微软雅黑" w:hAnsi="微软雅黑" w:cs="微软雅黑"/>
          <w:b/>
          <w:color w:val="2E74B5"/>
          <w:sz w:val="26"/>
        </w:rPr>
        <w:t xml:space="preserve">讲师介绍/Lecturer</w:t>
      </w:r>
      <w:r/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周老师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实战派资深人力资源管理专家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上海社科院劳动关系中心特约讲师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清华大学中旭管理学院特聘讲师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阿里巴巴百家讲坛特聘讲师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国家电网高培中心特聘讲师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浙江大学继续教育学院特聘讲师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上海交大安泰管理学院特聘讲师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上海陆家嘴人才港特聘讲师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周老师具有18年中外资大型企业人力资源管理经理，曾在大型外企、民企、及上市集团公司等历任过人力资源经理、培训经理、人力资源总监、人事行政副总裁、高级管理顾问等职务。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18年职场实战经验，从操作层到执行层再到决策层，能够站在老板角度看中层，站在经理位置看员工，站在员工角度看管理层，课程里跟公司各层级人员能快速达成一致的认知，直接解决职场工作中的各种困惑与疑难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课程特点：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结合成年人心理特质，糅合新颖的活动与游戏、深刻警醒的寓言故事、小组讨论、角色扮演、案例分析、脑力激荡等多种先进训练手法，激情幽默、互动体验,从内心自我启发，让学员通过切身体验和领悟主动学习，从而牢固掌握训练知识与技能点。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主讲课程：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人力资源管理六大模块课程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企业用工风险防范及应对策略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绩效管理体系构建与落地辅导（公开课 辅导）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人力成本管控与薪酬体系设计（公开课 辅导）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企业人力资源管理体系建设解决方案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新任HR经理人训练营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HR从业人员的职业素养及职业生涯规划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人力资源管理体系构建咨询案（咨询项目）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sz w:val="20"/>
        </w:rPr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服务客户：（客户名单未详尽，随机排列，无先后顺序）</w:t>
      </w:r>
    </w:p>
    <w:p>
      <w:pPr>
        <w:rPr/>
      </w:pPr>
      <w:r>
        <w:rPr>
          <w:rFonts w:ascii="微软雅黑" w:eastAsia="微软雅黑" w:hAnsi="微软雅黑" w:cs="微软雅黑"/>
          <w:sz w:val="20"/>
        </w:rPr>
        <w:t xml:space="preserve">奇正藏药、爱普生、广汽集团、中远川崎、上汽集团、上海电气、德国大陆汽车、中国南车、云南白药、江钻股份、中脉科技、特变电工、东方通信、哈药集团、LG电子、盾安控股、新安股份、中国电信、康师傅、海隆石油、五洲国际、长甲地产、包商银行、中国银行、浙商银行、宁波商行、三花控股、振华港机、村田电子、国药控股、北京国网、中国北车、上海住金、江南造船、德州银行、精工股份、仪电控股、三一重工、万家乐、住友化学、科伦药业、中电科技、启明药业、陆家嘴人才港、中粮集团、湖南烟草、东风悦达起亚、中核五建、阿里巴巴、上海大众联合、东风汽车集团、马钢集团、皇氏来思尔、金星啤酒、莱茵生物、双铁实业、联创化工、洛阳石化、隆基宁光、青龙管业、亚泰陶瓷、轴研科技、大庆华科、安琪酵母、安徽西门子、东风汽车、杭州银行、河南信用总社、无锡前程木业、天福烟烤、昆明积大、大亚科技、上汽集团、武商集团、神华乌海能源、大土河矿业、丛林集团、中煤电缆、中国铁通、中牧股份、蓝星化工、三泰化工、庄园乳业、连云港港口集团、徐工机械、台玻集团、南通港口集团、中国船舶重工集团、仪征化纤、法尔胜光通、苏拉（金坛）、兰州伊犁、西北矿业、洛阳一拖、西北设计院、宗申集团、大中矿业、内蒙神舟硅业、金宇保灵生药、盖天力药业、南宁供电局、中核北方铀业、上海电力、伐斯米泵业、丰原生化、中天科技、中航工业南京机电、中船公司、浦东进出口公司、茗龙茶业、快乐集团、长江实业、美的股份、中天科技、久荣协同仓储（上海）、绿地集团、环球造船、井神盐业、华夏集成光电、中化（南京）、绿城集团、寰岛集团……</w:t>
      </w:r>
    </w:p>
    <w:p>
      <w:pPr>
        <w:rPr/>
      </w:pPr>
    </w:p>
    <w:p>
      <w:pPr/>
    </w:p>
    <w:sectPr>
      <w:headerReference w:type="default" r:id="rId5"/>
      <w:headerReference w:type="first" r:id="rId6"/>
      <w:type w:val="continuous"/>
      <w:pgSz w:w="11906" w:h="16838" w:orient="portrait"/>
      <w:pgMar w:top="1440" w:right="1080" w:bottom="1440" w:left="1080" w:header="851" w:footer="992" w:gutter="0"/>
      <w:pgNumType w:start="0"/>
      <w:cols w:num="1" w:space="425">
        <w:col w:w="9746" w:space="425"/>
      </w:cols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pBdr>
        <w:bottom w:val="single" w:sz="6" w:space="8" w:color="D9D9D9" w:themeColor="background1" w:themeShade="D9"/>
      </w:pBdr>
      <w:rPr/>
    </w:pPr>
  </w:p>
</w:hd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Header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zoom w:percent="100"/>
  <w:bordersDoNotSurroundFooter/>
  <w:bordersDoNotSurroundHead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w:docVars>
    <w:docVar w:name="commondata" w:val="eyJoZGlkIjoiYzhmYjcxMDVjNTU5Y2FhZTRlYjE1Y2IxMzE4ZWZiMmMifQ=="/>
  </w:docVars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等线" w:eastAsia="等线" w:hAnsi="等线" w:asciiTheme="minorHAnsi" w:eastAsiaTheme="minorEastAsia" w:hAnsiTheme="minorHAnsi" w:cs="Arial" w:cstheme="minorBidi"/>
      <w:kern w:val="2"/>
      <w:sz w:val="21"/>
      <w:szCs w:val="22"/>
    </w:rPr>
  </w:style>
  <w:style w:type="paragraph" w:styleId="Heading3">
    <w:name w:val="Heading 3"/>
    <w:basedOn w:val="Normal"/>
    <w:next w:val="Normal"/>
    <w:qFormat/>
    <w:pPr>
      <w:keepNext/>
      <w:widowControl/>
      <w:spacing w:before="240" w:after="60"/>
      <w:jc w:val="left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页眉字符">
    <w:name w:val="页眉 字符"/>
    <w:basedOn w:val="DefaultParagraphFont"/>
    <w:uiPriority w:val="99"/>
    <w:qFormat/>
    <w:rPr>
      <w:sz w:val="18"/>
      <w:szCs w:val="18"/>
    </w:rPr>
  </w:style>
  <w:style w:type="character" w:customStyle="1" w:styleId="页脚字符">
    <w:name w:val="页脚 字符"/>
    <w:basedOn w:val="DefaultParagraphFont"/>
    <w:uiPriority w:val="99"/>
    <w:qFormat/>
    <w:rPr>
      <w:sz w:val="18"/>
      <w:szCs w:val="18"/>
    </w:rPr>
  </w:style>
  <w:style w:type="table" w:customStyle="1" w:styleId="无格式表格11">
    <w:name w:val="无格式表格 11"/>
    <w:basedOn w:val="TableNormal"/>
    <w:uiPriority w:val="41"/>
    <w:qFormat/>
    <w:rPr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/>
      <w:tcPr>
        <w:shd w:val="clear" w:color="auto" w:fill="F2F2F2"/>
      </w:tcPr>
    </w:tblStylePr>
    <w:tblStylePr w:type="band1Horz">
      <w:r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pPr>
      <w:ind w:firstLine="420" w:firstLineChars="200"/>
    </w:pPr>
    <w:rPr/>
  </w:style>
  <w:style w:type="paragraph" w:customStyle="1" w:styleId="列出段落1">
    <w:name w:val="列出段落1"/>
    <w:basedOn w:val="Normal"/>
    <w:uiPriority w:val="99"/>
    <w:qFormat/>
    <w:pPr>
      <w:ind w:firstLine="420" w:firstLineChars="200"/>
    </w:pPr>
    <w:rPr/>
  </w:style>
  <w:style w:type="paragraph" w:customStyle="1" w:styleId="p0">
    <w:name w:val="p0"/>
    <w:basedOn w:val="Normal"/>
    <w:uiPriority w:val="99"/>
    <w:qFormat/>
    <w:pPr>
      <w:widowControl/>
    </w:pPr>
    <w:rPr>
      <w:rFonts w:ascii="Times New Roman" w:hAnsi="Times New Roman"/>
      <w:kern w:val="0"/>
      <w:szCs w:val="21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customXml" Target="../customXml/item4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Penny</dc:creator>
  <cp:lastModifiedBy>Shen Penny</cp:lastModifiedBy>
  <cp:revision>229</cp:revision>
  <dcterms:created xsi:type="dcterms:W3CDTF">2021-12-30T11:55:00Z</dcterms:created>
  <dcterms:modified xsi:type="dcterms:W3CDTF">2023-01-13T01:40:00Z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E1FDD09F4F6D45E0A9385DA46B82129B</vt:lpwstr>
  </property>
</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customXml/itemProps4.xml><?xml version="1.0" encoding="utf-8"?>
<ds:datastoreItem xmlns:ds="http://schemas.openxmlformats.org/officeDocument/2006/customXml" ds:itemID="{4943E5E0-F2EA-4BA1-BC14-B3A66A82A148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1</Pages>
  <Words>12</Words>
  <Characters>69</Characters>
  <Application>Microsoft Office Word</Application>
  <DocSecurity>0</DocSecurity>
  <Lines>1</Lines>
  <Paragraphs>1</Paragraphs>
  <CharactersWithSpaces>80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Penny</dc:creator>
  <cp:lastModifiedBy>Shen Penny</cp:lastModifiedBy>
  <cp:revision>229</cp:revision>
  <dcterms:created xsi:type="dcterms:W3CDTF">2021-12-30T11:55:00Z</dcterms:created>
  <dcterms:modified xsi:type="dcterms:W3CDTF">2013-09-13T16:06:45Z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2052-11.1.0.12358</vt:lpstr>
  </property>
  <property fmtid="{D5CDD505-2E9C-101B-9397-08002B2CF9AE}" pid="3" name="ICV">
    <vt:lpstr>E1FDD09F4F6D45E0A9385DA46B82129B</vt:lpstr>
  </property>
</Properties>
</file>