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1"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75pt;margin-top:5.65pt;height:0.45pt;width:436.05pt;z-index:251661312;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BeQGcU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F5AZxQ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关于举办危大工程安全管控、重大事故隐患排查整治与建筑施工安全双重预防体系建设专题培训班的通知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084</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600" w:firstLineChars="200"/>
        <w:jc w:val="both"/>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当前我国安全生产形势异常严峻复杂，特别是近期齐齐哈尔市</w:t>
      </w:r>
      <w:r>
        <w:rPr>
          <w:rFonts w:hint="default" w:ascii="仿宋" w:hAnsi="仿宋" w:eastAsia="仿宋" w:cs="仿宋"/>
          <w:color w:val="000000"/>
          <w:spacing w:val="10"/>
          <w:kern w:val="2"/>
          <w:sz w:val="28"/>
          <w:szCs w:val="28"/>
          <w:shd w:val="clear" w:color="auto" w:fill="auto"/>
          <w:lang w:val="en-US" w:eastAsia="zh-CN" w:bidi="ar-SA"/>
        </w:rPr>
        <w:t>第三十四中学体育馆坍塌事件</w:t>
      </w:r>
      <w:r>
        <w:rPr>
          <w:rFonts w:hint="eastAsia" w:ascii="仿宋" w:hAnsi="仿宋" w:eastAsia="仿宋" w:cs="仿宋"/>
          <w:color w:val="000000"/>
          <w:spacing w:val="10"/>
          <w:kern w:val="2"/>
          <w:sz w:val="28"/>
          <w:szCs w:val="28"/>
          <w:shd w:val="clear" w:color="auto" w:fill="auto"/>
          <w:lang w:val="en-US" w:eastAsia="zh-CN" w:bidi="ar-SA"/>
        </w:rPr>
        <w:t>，造成重大人员伤亡，国务院安委会对此次事故查处实行挂牌督办。事故主要原因是部分单位安全生产红线意识不牢，存在侥幸心理，现场管理混乱，安全技术交底和培训教育流于形式，不按专项方案施工，施工现场违规违章行为普遍，直接导致事故发生；建设、监理等单位未严格对工程项目进行监督管理，对施工现场安全隐患督促整改不力。做好安全生产工作责任重大、任务艰巨。住房和城乡建设部印发的《“十四五”建筑业发展规划》提出开展对危险性较大的分部分项工程专项治理，要求到2025年重大安全风险管控和隐患排查治理机制更加健全，安全生产责任体系更加完善，安全科技支撑能力显著增强，施工安全事故得到有效遏制。</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为帮助相关单位深入学习建设领域最新安全政策、标准规范，进一步加强“危大”工程安全风险管控能力，提高工程项目建设中的安全意识、责任意识、法律意识和防范意识，我会决定举办“危大工程安全管控、重大事故隐患排查整治与建筑施工安全双重预防体系建设专题培训班”。本次培训班由中国国际工程咨询协会主办，</w:t>
      </w:r>
      <w:r>
        <w:rPr>
          <w:rFonts w:hint="eastAsia" w:ascii="仿宋" w:hAnsi="仿宋" w:eastAsia="仿宋" w:cs="仿宋"/>
          <w:color w:val="000000"/>
          <w:spacing w:val="10"/>
          <w:kern w:val="2"/>
          <w:sz w:val="28"/>
          <w:szCs w:val="28"/>
          <w:shd w:val="clear" w:color="auto" w:fill="auto"/>
          <w:lang w:val="zh-CN" w:eastAsia="zh-CN" w:bidi="ar-SA"/>
        </w:rPr>
        <w:t>北京中科领航教育咨询有限公司</w:t>
      </w:r>
      <w:r>
        <w:rPr>
          <w:rFonts w:hint="eastAsia" w:ascii="仿宋" w:hAnsi="仿宋" w:eastAsia="仿宋" w:cs="仿宋"/>
          <w:color w:val="000000"/>
          <w:spacing w:val="10"/>
          <w:kern w:val="2"/>
          <w:sz w:val="28"/>
          <w:szCs w:val="28"/>
          <w:shd w:val="clear" w:color="auto" w:fill="auto"/>
          <w:lang w:val="en-US" w:eastAsia="zh-CN" w:bidi="ar-SA"/>
        </w:rPr>
        <w:t>承办。</w:t>
      </w:r>
      <w:r>
        <w:rPr>
          <w:rFonts w:hint="eastAsia" w:ascii="仿宋" w:hAnsi="仿宋" w:eastAsia="仿宋" w:cs="仿宋"/>
          <w:b/>
          <w:bCs/>
          <w:color w:val="000000"/>
          <w:spacing w:val="10"/>
          <w:kern w:val="2"/>
          <w:sz w:val="28"/>
          <w:szCs w:val="28"/>
          <w:shd w:val="clear" w:color="auto" w:fill="auto"/>
          <w:lang w:val="en-US" w:eastAsia="zh-CN" w:bidi="ar-SA"/>
        </w:rPr>
        <w:t>培训结束后颁发中国国际工程咨询协会培训结业证书</w:t>
      </w:r>
      <w:r>
        <w:rPr>
          <w:rFonts w:hint="eastAsia" w:ascii="仿宋" w:hAnsi="仿宋" w:eastAsia="仿宋" w:cs="仿宋"/>
          <w:color w:val="000000"/>
          <w:spacing w:val="10"/>
          <w:kern w:val="2"/>
          <w:sz w:val="28"/>
          <w:szCs w:val="28"/>
          <w:shd w:val="clear" w:color="auto" w:fill="auto"/>
          <w:lang w:val="en-US" w:eastAsia="zh-CN" w:bidi="ar-SA"/>
        </w:rPr>
        <w:t>，请各单位积极组织本单位及相关人员参加。现将有关事宜通知如下：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sz w:val="28"/>
          <w:szCs w:val="28"/>
        </w:rPr>
        <w:t>一、培训内容</w:t>
      </w:r>
    </w:p>
    <w:p>
      <w:pPr>
        <w:keepNext w:val="0"/>
        <w:keepLines w:val="0"/>
        <w:pageBreakBefore w:val="0"/>
        <w:kinsoku/>
        <w:wordWrap/>
        <w:overflowPunct/>
        <w:topLinePunct w:val="0"/>
        <w:autoSpaceDE/>
        <w:autoSpaceDN/>
        <w:bidi w:val="0"/>
        <w:adjustRightInd/>
        <w:snapToGrid/>
        <w:spacing w:line="540" w:lineRule="exact"/>
        <w:ind w:firstLine="506" w:firstLineChars="200"/>
        <w:jc w:val="left"/>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第一部分：安全生产法律法规体系与责任制度建立</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default"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（一）政策解读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1.习近平总书记关于安全生产的重要论述解读；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2.我国安全生产法律法规体系框架；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3.新《安全生产法》解读；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4.案例分析：典型安全生产违法事故案例分析；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（二）《安全生产法》赋予企业安全生产主体责任的内涵</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1.三管三必须的时代意义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2.企业安全生产主体责任的具体内容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主要负责人的法律责任；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分管负责人的法律责任；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管理机构及管理人员的法律责任；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主体责任相关内容；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从业人员的法律追究；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从业人员安全生产的权利和义务。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（三）安全生产主体责任认定与追究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1.追究谁的责任？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2.追究哪些责任？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3.生产安全事故刑事责任认定要件；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4.生产安全事故刑事责任认定的关键环节。</w:t>
      </w:r>
    </w:p>
    <w:p>
      <w:pPr>
        <w:pStyle w:val="14"/>
        <w:keepNext w:val="0"/>
        <w:keepLines w:val="0"/>
        <w:pageBreakBefore w:val="0"/>
        <w:numPr>
          <w:ilvl w:val="0"/>
          <w:numId w:val="0"/>
        </w:numPr>
        <w:kinsoku/>
        <w:wordWrap/>
        <w:overflowPunct/>
        <w:topLinePunct w:val="0"/>
        <w:autoSpaceDE/>
        <w:autoSpaceDN/>
        <w:bidi w:val="0"/>
        <w:adjustRightInd/>
        <w:snapToGrid/>
        <w:spacing w:line="540" w:lineRule="exact"/>
        <w:ind w:firstLine="506" w:firstLineChars="200"/>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第二部分：危大工程安全管控实务</w:t>
      </w:r>
    </w:p>
    <w:p>
      <w:pPr>
        <w:keepNext w:val="0"/>
        <w:keepLines w:val="0"/>
        <w:pageBreakBefore w:val="0"/>
        <w:shd w:val="clear" w:color="auto" w:fill="FFFFFF"/>
        <w:kinsoku/>
        <w:wordWrap/>
        <w:overflowPunct/>
        <w:topLinePunct w:val="0"/>
        <w:autoSpaceDE/>
        <w:autoSpaceDN/>
        <w:bidi w:val="0"/>
        <w:adjustRightInd/>
        <w:snapToGrid/>
        <w:spacing w:line="540" w:lineRule="exact"/>
        <w:rPr>
          <w:rFonts w:hint="eastAsia" w:ascii="仿宋" w:hAnsi="仿宋" w:eastAsia="仿宋" w:cs="仿宋"/>
          <w:b/>
          <w:bCs/>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  </w:t>
      </w:r>
      <w:r>
        <w:rPr>
          <w:rFonts w:hint="eastAsia" w:ascii="仿宋" w:hAnsi="仿宋" w:eastAsia="仿宋" w:cs="仿宋"/>
          <w:b/>
          <w:bCs/>
          <w:color w:val="000000"/>
          <w:spacing w:val="10"/>
          <w:kern w:val="2"/>
          <w:sz w:val="28"/>
          <w:szCs w:val="28"/>
          <w:shd w:val="clear" w:color="auto" w:fill="auto"/>
          <w:lang w:val="en-US" w:eastAsia="zh-CN" w:bidi="ar-SA"/>
        </w:rPr>
        <w:t>（一）建设工程安全风险分级管控与关键技术实务操作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1.深基坑工程设计施工中的安全问题与管控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（1）深基坑工程的特点及重点；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（2）深基坑工程的概念设计；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（3）深基坑工程的施工方法；</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（4）基坑支护结构设计与施工；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（5）深基坑设计及施工安全问题与管控案例及分析；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2.建筑施工脚手架安全技术标准及案例分析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（1）专项施工方案及论证；</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（2）安全技术标准及监管要点；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3.建筑施工高处作业吊篮安全管理的标准及案例分析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（1）高处作业吊篮施工安全监管现状；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（2）高处作业吊篮相关标准解读；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（3）高处作业吊篮事故案例分析；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4.模板支架应用技术。</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（二）</w:t>
      </w:r>
      <w:r>
        <w:rPr>
          <w:rFonts w:hint="eastAsia" w:ascii="仿宋" w:hAnsi="仿宋" w:eastAsia="仿宋" w:cs="仿宋"/>
          <w:b/>
          <w:bCs/>
          <w:color w:val="000000"/>
          <w:w w:val="90"/>
          <w:kern w:val="2"/>
          <w:sz w:val="28"/>
          <w:szCs w:val="28"/>
        </w:rPr>
        <w:t>建设施工过程中安全隐患排查治理</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1.住建部及各地对于建筑施工安全隐患排查与治理的规范性文件解读；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2.建设施工工程中安全隐患种类划分；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3.建设项目安全隐患排查的常用方法；</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4.建设施工过程中安全隐患排查治理的技术应用与创新。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（三）</w:t>
      </w:r>
      <w:r>
        <w:rPr>
          <w:rFonts w:hint="eastAsia" w:ascii="仿宋" w:hAnsi="仿宋" w:eastAsia="仿宋" w:cs="仿宋"/>
          <w:b/>
          <w:bCs/>
          <w:color w:val="000000"/>
          <w:w w:val="90"/>
          <w:kern w:val="2"/>
          <w:sz w:val="28"/>
          <w:szCs w:val="28"/>
        </w:rPr>
        <w:t>危大工程安全管理实务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1.建设工程超过一定规模的危险性较大的分部分项范围；</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2.危大工程专项施工方案编制、审核、实施及验收中存在的疑点、难点问题解析；</w:t>
      </w:r>
    </w:p>
    <w:p>
      <w:pPr>
        <w:keepNext w:val="0"/>
        <w:keepLines w:val="0"/>
        <w:pageBreakBefore w:val="0"/>
        <w:shd w:val="clear" w:color="auto" w:fill="FFFFFF"/>
        <w:kinsoku/>
        <w:wordWrap/>
        <w:overflowPunct/>
        <w:topLinePunct w:val="0"/>
        <w:autoSpaceDE/>
        <w:autoSpaceDN/>
        <w:bidi w:val="0"/>
        <w:adjustRightInd/>
        <w:snapToGrid/>
        <w:spacing w:line="540" w:lineRule="exact"/>
        <w:ind w:left="833" w:leftChars="284" w:hanging="237" w:hangingChars="79"/>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3.建设各方工程技术风险的控制职责及各阶段的风险控制要点深度解析；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4.危大工程安全违法行为查处、事故问责与刑事责任追究；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5.安全事故预防与安全管控措施，经验交流等；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6.大型工程勘察、设计、施工各阶段的风险控制要点；</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7.大型工程技术风险评估报告、总结报告、工作月报等格式要求与要点。</w:t>
      </w:r>
    </w:p>
    <w:p>
      <w:pPr>
        <w:pStyle w:val="14"/>
        <w:keepNext w:val="0"/>
        <w:keepLines w:val="0"/>
        <w:pageBreakBefore w:val="0"/>
        <w:numPr>
          <w:ilvl w:val="0"/>
          <w:numId w:val="0"/>
        </w:numPr>
        <w:kinsoku/>
        <w:wordWrap/>
        <w:overflowPunct/>
        <w:topLinePunct w:val="0"/>
        <w:autoSpaceDE/>
        <w:autoSpaceDN/>
        <w:bidi w:val="0"/>
        <w:adjustRightInd/>
        <w:snapToGrid/>
        <w:spacing w:line="540" w:lineRule="exact"/>
        <w:ind w:firstLine="506" w:firstLineChars="200"/>
        <w:rPr>
          <w:rFonts w:hint="eastAsia"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第三部分：建筑施工安全双重预防体系建设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（一）双重预防组织体系建设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1.成立组织机构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2.制定工作方案</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3.明确岗位职责</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4.完善工作制度</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5.保障工作经费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（二）双重预防体系教育培训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1.制定培训计划</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2.明确培训内容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3.分层级开展培训</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（三）全过程的风险管控管理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1.风险点确定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2.危险源辨识与分析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3.风险评价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4.风险控制措施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5.风险分级管控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6.风险告知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（四）双重预防体系过程管控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1.管控要求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2.综合管控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3.专业管控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4.动态管控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5.风险隐患公示</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6.信息上报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（五）双重预防体系持续改进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1.评估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2.更新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3.沟通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4.考核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default"/>
          <w:lang w:val="en-US" w:eastAsia="zh-CN"/>
        </w:rPr>
      </w:pPr>
      <w:r>
        <w:rPr>
          <w:rFonts w:hint="eastAsia" w:ascii="仿宋" w:hAnsi="仿宋" w:eastAsia="仿宋" w:cs="仿宋"/>
          <w:color w:val="000000"/>
          <w:spacing w:val="10"/>
          <w:kern w:val="2"/>
          <w:sz w:val="28"/>
          <w:szCs w:val="28"/>
          <w:shd w:val="clear" w:color="auto" w:fill="auto"/>
          <w:lang w:val="en-US" w:eastAsia="zh-CN" w:bidi="ar-SA"/>
        </w:rPr>
        <w:t xml:space="preserve">（六）双重预防体系的信息化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二、培训对象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各建设工程质量安全监督主管领导和有关人员；各建设单位主要安全负责人、技术、安全、法务、相关部门负责人员、专职安全生产管理人员；监理单位项目总监和安全监理工程师；设计院总工程师、技术、安全、法务负责人等。</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三、授课师资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届时邀请住建部有关部门、北京建筑大学、建设工程质量监督站等有关部门具有丰富实践经验的专家授课。培训将结合经典案例分析，进行现场答疑和互动交流。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lang w:val="en-US" w:eastAsia="zh-CN"/>
        </w:rPr>
      </w:pPr>
      <w:r>
        <w:rPr>
          <w:rFonts w:hint="eastAsia" w:ascii="仿宋" w:hAnsi="仿宋" w:eastAsia="仿宋" w:cs="仿宋"/>
          <w:b/>
          <w:bCs/>
          <w:color w:val="000000"/>
          <w:w w:val="90"/>
          <w:kern w:val="2"/>
          <w:sz w:val="28"/>
          <w:szCs w:val="28"/>
          <w:lang w:val="en-US" w:eastAsia="zh-CN"/>
        </w:rPr>
        <w:t>四、</w:t>
      </w:r>
      <w:r>
        <w:rPr>
          <w:rFonts w:hint="eastAsia" w:ascii="仿宋" w:hAnsi="仿宋" w:eastAsia="仿宋" w:cs="仿宋"/>
          <w:b/>
          <w:bCs/>
          <w:color w:val="000000"/>
          <w:w w:val="90"/>
          <w:kern w:val="2"/>
          <w:sz w:val="28"/>
          <w:szCs w:val="28"/>
        </w:rPr>
        <w:t>培训时间</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 xml:space="preserve">2023年09月22日—09月25日   </w:t>
      </w:r>
      <w:r>
        <w:rPr>
          <w:rFonts w:hint="eastAsia" w:ascii="仿宋" w:hAnsi="仿宋" w:eastAsia="仿宋" w:cs="仿宋"/>
          <w:b/>
          <w:bCs/>
          <w:color w:val="000000"/>
          <w:w w:val="90"/>
          <w:sz w:val="28"/>
          <w:szCs w:val="28"/>
          <w:lang w:val="en-US" w:eastAsia="zh-CN"/>
        </w:rPr>
        <w:t>珠海</w:t>
      </w:r>
      <w:r>
        <w:rPr>
          <w:rFonts w:hint="eastAsia" w:ascii="仿宋" w:hAnsi="仿宋" w:eastAsia="仿宋" w:cs="仿宋"/>
          <w:b/>
          <w:bCs/>
          <w:color w:val="000000"/>
          <w:w w:val="90"/>
          <w:sz w:val="28"/>
          <w:szCs w:val="28"/>
        </w:rPr>
        <w:t>市（22日全天报到）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2023年10月13日—10月16日   西安市（13日全天报到）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2023年11月10日—11月13日   南宁市（10日全天报到）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2023年12月08日—12月11日   长沙市（08日全天报到）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2024年01月18日—01月2</w:t>
      </w:r>
      <w:r>
        <w:rPr>
          <w:rFonts w:hint="eastAsia" w:ascii="仿宋" w:hAnsi="仿宋" w:eastAsia="仿宋" w:cs="仿宋"/>
          <w:b/>
          <w:bCs/>
          <w:color w:val="000000"/>
          <w:w w:val="90"/>
          <w:sz w:val="28"/>
          <w:szCs w:val="28"/>
          <w:lang w:val="en-US" w:eastAsia="zh-CN"/>
        </w:rPr>
        <w:t>1</w:t>
      </w:r>
      <w:r>
        <w:rPr>
          <w:rFonts w:hint="eastAsia" w:ascii="仿宋" w:hAnsi="仿宋" w:eastAsia="仿宋" w:cs="仿宋"/>
          <w:b/>
          <w:bCs/>
          <w:color w:val="000000"/>
          <w:w w:val="90"/>
          <w:sz w:val="28"/>
          <w:szCs w:val="28"/>
        </w:rPr>
        <w:t>日   海口市（18日全天报到）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五、收费标准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A.3600元/人（含培训、资料、电子课件、场地及培训期间午餐），住宿统一安排，费用自理。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B.5600元/人（含培训、资料、电子课件、场地、证书及培训期间午餐），住宿统一安排，费用自理。</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lang w:val="en-US" w:eastAsia="zh-CN"/>
        </w:rPr>
        <w:t>七</w:t>
      </w:r>
      <w:r>
        <w:rPr>
          <w:rFonts w:hint="eastAsia" w:ascii="仿宋" w:hAnsi="仿宋" w:eastAsia="仿宋" w:cs="仿宋"/>
          <w:b/>
          <w:bCs/>
          <w:color w:val="000000"/>
          <w:w w:val="90"/>
          <w:sz w:val="28"/>
          <w:szCs w:val="28"/>
        </w:rPr>
        <w:t>、报名办法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联系人：陈</w:t>
      </w:r>
      <w:bookmarkStart w:id="0" w:name="_GoBack"/>
      <w:bookmarkEnd w:id="0"/>
      <w:r>
        <w:rPr>
          <w:rFonts w:hint="eastAsia" w:ascii="仿宋" w:hAnsi="仿宋" w:eastAsia="仿宋" w:cs="仿宋"/>
          <w:color w:val="000000"/>
          <w:spacing w:val="10"/>
          <w:kern w:val="2"/>
          <w:sz w:val="28"/>
          <w:szCs w:val="28"/>
          <w:shd w:val="clear" w:color="auto" w:fill="auto"/>
          <w:lang w:val="en-US" w:eastAsia="zh-CN"/>
        </w:rPr>
        <w:t xml:space="preserve">老师15373357601（同微信 ）  </w:t>
      </w:r>
    </w:p>
    <w:p>
      <w:pPr>
        <w:pStyle w:val="2"/>
        <w:rPr>
          <w:rFonts w:hint="eastAsia" w:ascii="仿宋" w:hAnsi="仿宋" w:eastAsia="仿宋" w:cs="仿宋"/>
          <w:color w:val="000000"/>
          <w:spacing w:val="10"/>
          <w:kern w:val="2"/>
          <w:sz w:val="28"/>
          <w:szCs w:val="28"/>
          <w:shd w:val="clear" w:color="auto" w:fill="auto"/>
          <w:lang w:val="en-US" w:eastAsia="zh-CN"/>
        </w:rPr>
      </w:pPr>
    </w:p>
    <w:p>
      <w:pPr>
        <w:rPr>
          <w:rFonts w:hint="eastAsia" w:ascii="仿宋" w:hAnsi="仿宋" w:eastAsia="仿宋" w:cs="仿宋"/>
          <w:color w:val="000000"/>
          <w:spacing w:val="10"/>
          <w:kern w:val="2"/>
          <w:sz w:val="28"/>
          <w:szCs w:val="28"/>
          <w:shd w:val="clear" w:color="auto" w:fill="auto"/>
          <w:lang w:val="en-US" w:eastAsia="zh-CN"/>
        </w:rPr>
      </w:pPr>
    </w:p>
    <w:p>
      <w:pPr>
        <w:pStyle w:val="2"/>
        <w:rPr>
          <w:rFonts w:hint="eastAsia" w:ascii="仿宋" w:hAnsi="仿宋" w:eastAsia="仿宋" w:cs="仿宋"/>
          <w:color w:val="000000"/>
          <w:spacing w:val="10"/>
          <w:kern w:val="2"/>
          <w:sz w:val="28"/>
          <w:szCs w:val="28"/>
          <w:shd w:val="clear" w:color="auto" w:fill="auto"/>
          <w:lang w:val="en-US" w:eastAsia="zh-CN"/>
        </w:rPr>
      </w:pPr>
    </w:p>
    <w:p>
      <w:pPr>
        <w:rPr>
          <w:rFonts w:hint="eastAsia" w:ascii="仿宋" w:hAnsi="仿宋" w:eastAsia="仿宋" w:cs="仿宋"/>
          <w:color w:val="000000"/>
          <w:spacing w:val="10"/>
          <w:kern w:val="2"/>
          <w:sz w:val="28"/>
          <w:szCs w:val="28"/>
          <w:shd w:val="clear" w:color="auto" w:fill="auto"/>
          <w:lang w:val="en-US" w:eastAsia="zh-CN"/>
        </w:rPr>
      </w:pPr>
    </w:p>
    <w:p>
      <w:pPr>
        <w:pStyle w:val="2"/>
        <w:rPr>
          <w:rFonts w:hint="eastAsia" w:ascii="仿宋" w:hAnsi="仿宋" w:eastAsia="仿宋" w:cs="仿宋"/>
          <w:color w:val="000000"/>
          <w:spacing w:val="10"/>
          <w:kern w:val="2"/>
          <w:sz w:val="28"/>
          <w:szCs w:val="28"/>
          <w:shd w:val="clear" w:color="auto" w:fill="auto"/>
          <w:lang w:val="en-US" w:eastAsia="zh-CN"/>
        </w:rPr>
      </w:pPr>
    </w:p>
    <w:p>
      <w:pPr>
        <w:rPr>
          <w:rFonts w:hint="eastAsia" w:ascii="仿宋" w:hAnsi="仿宋" w:eastAsia="仿宋" w:cs="仿宋"/>
          <w:color w:val="000000"/>
          <w:spacing w:val="10"/>
          <w:kern w:val="2"/>
          <w:sz w:val="28"/>
          <w:szCs w:val="28"/>
          <w:shd w:val="clear" w:color="auto" w:fill="auto"/>
          <w:lang w:val="en-US" w:eastAsia="zh-CN"/>
        </w:rPr>
      </w:pPr>
    </w:p>
    <w:p>
      <w:pPr>
        <w:pStyle w:val="2"/>
        <w:rPr>
          <w:rFonts w:hint="eastAsia" w:ascii="仿宋" w:hAnsi="仿宋" w:eastAsia="仿宋" w:cs="仿宋"/>
          <w:color w:val="000000"/>
          <w:spacing w:val="10"/>
          <w:kern w:val="2"/>
          <w:sz w:val="28"/>
          <w:szCs w:val="28"/>
          <w:shd w:val="clear" w:color="auto" w:fill="auto"/>
          <w:lang w:val="en-US" w:eastAsia="zh-CN"/>
        </w:rPr>
      </w:pPr>
    </w:p>
    <w:p>
      <w:pPr>
        <w:rPr>
          <w:rFonts w:hint="eastAsia" w:ascii="仿宋" w:hAnsi="仿宋" w:eastAsia="仿宋" w:cs="仿宋"/>
          <w:color w:val="000000"/>
          <w:spacing w:val="10"/>
          <w:kern w:val="2"/>
          <w:sz w:val="28"/>
          <w:szCs w:val="28"/>
          <w:shd w:val="clear" w:color="auto" w:fill="auto"/>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52" w:firstLineChars="100"/>
        <w:textAlignment w:val="auto"/>
        <w:rPr>
          <w:rFonts w:hint="eastAsia" w:ascii="仿宋" w:hAnsi="仿宋" w:eastAsia="仿宋"/>
          <w:bCs/>
          <w:color w:val="000000"/>
          <w:w w:val="9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7" w:firstLineChars="253"/>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bCs/>
          <w:color w:val="000000"/>
          <w:w w:val="90"/>
          <w:sz w:val="28"/>
          <w:szCs w:val="28"/>
        </w:rPr>
        <w:t xml:space="preserve">附件：报名回执表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宋体"/>
          <w:kern w:val="0"/>
          <w:sz w:val="28"/>
          <w:szCs w:val="28"/>
          <w:shd w:val="clear"/>
          <w:lang w:val="en-US" w:eastAsia="zh-CN" w:bidi="ar-SA"/>
        </w:rPr>
        <w:drawing>
          <wp:anchor distT="0" distB="0" distL="114300" distR="114300" simplePos="0" relativeHeight="251660288" behindDoc="1" locked="0" layoutInCell="1" allowOverlap="1">
            <wp:simplePos x="0" y="0"/>
            <wp:positionH relativeFrom="column">
              <wp:posOffset>3340735</wp:posOffset>
            </wp:positionH>
            <wp:positionV relativeFrom="paragraph">
              <wp:posOffset>56515</wp:posOffset>
            </wp:positionV>
            <wp:extent cx="1452245" cy="1442720"/>
            <wp:effectExtent l="0" t="0" r="635" b="190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100" w:firstLineChars="17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中国国际工程咨询协会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default"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                              二〇二三年八月二十日</w:t>
      </w:r>
    </w:p>
    <w:p>
      <w:pPr>
        <w:keepNext w:val="0"/>
        <w:keepLines w:val="0"/>
        <w:pageBreakBefore w:val="0"/>
        <w:tabs>
          <w:tab w:val="left" w:pos="567"/>
          <w:tab w:val="left" w:pos="709"/>
        </w:tabs>
        <w:kinsoku/>
        <w:wordWrap/>
        <w:overflowPunct/>
        <w:topLinePunct w:val="0"/>
        <w:autoSpaceDE/>
        <w:autoSpaceDN/>
        <w:bidi w:val="0"/>
        <w:adjustRightInd/>
        <w:snapToGrid/>
        <w:spacing w:line="400" w:lineRule="exact"/>
        <w:ind w:firstLine="253" w:firstLineChars="100"/>
        <w:jc w:val="center"/>
        <w:textAlignment w:val="baseline"/>
        <w:outlineLvl w:val="0"/>
        <w:rPr>
          <w:rFonts w:ascii="宋体" w:hAnsi="宋体"/>
          <w:b/>
          <w:w w:val="90"/>
          <w:sz w:val="28"/>
          <w:szCs w:val="28"/>
        </w:rPr>
      </w:pPr>
    </w:p>
    <w:p>
      <w:pPr>
        <w:pStyle w:val="2"/>
        <w:rPr>
          <w:rFonts w:ascii="宋体" w:hAnsi="宋体"/>
          <w:b/>
          <w:w w:val="90"/>
          <w:sz w:val="28"/>
          <w:szCs w:val="28"/>
        </w:rPr>
      </w:pPr>
    </w:p>
    <w:p>
      <w:pPr>
        <w:rPr>
          <w:rFonts w:ascii="宋体" w:hAnsi="宋体"/>
          <w:b/>
          <w:w w:val="90"/>
          <w:sz w:val="28"/>
          <w:szCs w:val="28"/>
        </w:rPr>
      </w:pPr>
    </w:p>
    <w:p>
      <w:pPr>
        <w:pStyle w:val="2"/>
        <w:rPr>
          <w:rFonts w:ascii="宋体" w:hAnsi="宋体"/>
          <w:b/>
          <w:w w:val="90"/>
          <w:sz w:val="28"/>
          <w:szCs w:val="28"/>
        </w:rPr>
      </w:pPr>
    </w:p>
    <w:p>
      <w:pPr>
        <w:rPr>
          <w:rFonts w:ascii="宋体" w:hAnsi="宋体"/>
          <w:b/>
          <w:w w:val="90"/>
          <w:sz w:val="28"/>
          <w:szCs w:val="28"/>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危大工程安全管控、重大事故隐患排查整治与建筑施工安全双重预防体系建设</w:t>
      </w:r>
      <w:r>
        <w:rPr>
          <w:rFonts w:hint="eastAsia" w:ascii="仿宋" w:hAnsi="仿宋" w:eastAsia="仿宋" w:cs="仿宋_GB2312"/>
          <w:b/>
          <w:bCs/>
          <w:color w:val="000000"/>
          <w:sz w:val="32"/>
          <w:szCs w:val="32"/>
        </w:rPr>
        <w:t>专题培训班报名回执表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8"/>
                <w:szCs w:val="28"/>
                <w:lang w:val="zh-CN"/>
              </w:rPr>
              <w:t xml:space="preserve">安全总监□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北京中科领航教育咨询有限公司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eastAsia="zh-CN"/>
              </w:rPr>
              <w:t>账</w:t>
            </w:r>
            <w:r>
              <w:rPr>
                <w:rFonts w:hint="eastAsia" w:ascii="仿宋" w:hAnsi="仿宋" w:eastAsia="仿宋" w:cs="仿宋"/>
                <w:bCs/>
                <w:w w:val="100"/>
                <w:sz w:val="24"/>
                <w:szCs w:val="24"/>
                <w:lang w:val="zh-CN"/>
              </w:rPr>
              <w:t xml:space="preserve">    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02002470092000</w:t>
            </w:r>
            <w:r>
              <w:rPr>
                <w:rFonts w:hint="eastAsia" w:ascii="仿宋" w:hAnsi="仿宋" w:eastAsia="仿宋" w:cs="仿宋"/>
                <w:bCs/>
                <w:w w:val="100"/>
                <w:sz w:val="24"/>
                <w:szCs w:val="24"/>
                <w:lang w:val="en-US" w:eastAsia="zh-CN"/>
              </w:rPr>
              <w:t>76612</w:t>
            </w:r>
          </w:p>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w w:val="100"/>
                <w:sz w:val="24"/>
                <w:szCs w:val="24"/>
                <w:lang w:val="zh-CN"/>
              </w:rPr>
              <w:t>行    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tabs>
                <w:tab w:val="left" w:pos="-1440"/>
              </w:tabs>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spacing w:line="440" w:lineRule="exact"/>
        <w:rPr>
          <w:rFonts w:hint="default" w:ascii="仿宋" w:hAnsi="仿宋" w:eastAsia="仿宋" w:cs="仿宋"/>
          <w:bCs/>
          <w:kern w:val="2"/>
          <w:szCs w:val="24"/>
          <w:lang w:val="zh-CN"/>
        </w:rPr>
      </w:pPr>
      <w:r>
        <w:rPr>
          <w:rStyle w:val="11"/>
          <w:rFonts w:ascii="仿宋" w:hAnsi="仿宋" w:eastAsia="仿宋" w:cs="仿宋"/>
          <w:b w:val="0"/>
          <w:bCs w:val="0"/>
          <w:color w:val="000000"/>
          <w:sz w:val="28"/>
          <w:szCs w:val="28"/>
          <w:lang w:val="zh-CN"/>
        </w:rPr>
        <w:t>联系人：</w:t>
      </w:r>
      <w:r>
        <w:rPr>
          <w:rStyle w:val="11"/>
          <w:rFonts w:hint="eastAsia" w:ascii="仿宋" w:hAnsi="仿宋" w:eastAsia="仿宋" w:cs="仿宋"/>
          <w:b w:val="0"/>
          <w:bCs w:val="0"/>
          <w:color w:val="000000"/>
          <w:sz w:val="28"/>
          <w:szCs w:val="28"/>
          <w:lang w:val="zh-CN"/>
        </w:rPr>
        <w:t>陈</w:t>
      </w:r>
      <w:r>
        <w:rPr>
          <w:rStyle w:val="11"/>
          <w:rFonts w:ascii="仿宋" w:hAnsi="仿宋" w:eastAsia="仿宋" w:cs="仿宋"/>
          <w:b w:val="0"/>
          <w:bCs w:val="0"/>
          <w:color w:val="000000"/>
          <w:sz w:val="28"/>
          <w:szCs w:val="28"/>
          <w:lang w:val="zh-CN"/>
        </w:rPr>
        <w:t>老师</w:t>
      </w:r>
      <w:r>
        <w:rPr>
          <w:rStyle w:val="11"/>
          <w:rFonts w:ascii="仿宋" w:hAnsi="仿宋" w:eastAsia="仿宋" w:cs="仿宋"/>
          <w:b w:val="0"/>
          <w:bCs w:val="0"/>
          <w:color w:val="000000"/>
          <w:sz w:val="28"/>
          <w:szCs w:val="28"/>
        </w:rPr>
        <w:t xml:space="preserve">  </w:t>
      </w:r>
      <w:r>
        <w:rPr>
          <w:rStyle w:val="11"/>
          <w:rFonts w:hint="eastAsia" w:ascii="仿宋" w:hAnsi="仿宋" w:eastAsia="仿宋" w:cs="仿宋"/>
          <w:b w:val="0"/>
          <w:bCs w:val="0"/>
          <w:color w:val="000000"/>
          <w:sz w:val="28"/>
          <w:szCs w:val="28"/>
          <w:lang w:val="en-US" w:eastAsia="zh-CN"/>
        </w:rPr>
        <w:t xml:space="preserve"> </w:t>
      </w:r>
      <w:r>
        <w:rPr>
          <w:rStyle w:val="11"/>
          <w:rFonts w:hint="eastAsia" w:ascii="仿宋" w:hAnsi="仿宋" w:eastAsia="仿宋" w:cs="仿宋"/>
          <w:b w:val="0"/>
          <w:bCs w:val="0"/>
          <w:color w:val="000000"/>
          <w:sz w:val="28"/>
          <w:szCs w:val="28"/>
          <w:lang w:val="zh-CN"/>
        </w:rPr>
        <w:t>15</w:t>
      </w:r>
      <w:r>
        <w:rPr>
          <w:rStyle w:val="11"/>
          <w:rFonts w:hint="eastAsia" w:ascii="仿宋" w:hAnsi="仿宋" w:eastAsia="仿宋" w:cs="仿宋"/>
          <w:b w:val="0"/>
          <w:bCs w:val="0"/>
          <w:color w:val="000000"/>
          <w:sz w:val="28"/>
          <w:szCs w:val="28"/>
          <w:lang w:val="en-US" w:eastAsia="zh-CN"/>
        </w:rPr>
        <w:t>373357601</w:t>
      </w:r>
      <w:r>
        <w:rPr>
          <w:rStyle w:val="11"/>
          <w:rFonts w:ascii="仿宋" w:hAnsi="仿宋" w:eastAsia="仿宋" w:cs="仿宋"/>
          <w:b w:val="0"/>
          <w:bCs w:val="0"/>
          <w:color w:val="000000"/>
          <w:sz w:val="28"/>
          <w:szCs w:val="28"/>
          <w:lang w:val="zh-CN"/>
        </w:rPr>
        <w:t>（同微信 ）</w:t>
      </w:r>
    </w:p>
    <w:p>
      <w:pPr>
        <w:spacing w:line="400" w:lineRule="exact"/>
        <w:rPr>
          <w:rFonts w:ascii="仿宋" w:hAnsi="仿宋" w:eastAsia="仿宋" w:cs="仿宋_GB2312"/>
          <w:bCs/>
          <w:color w:val="000000"/>
          <w:sz w:val="28"/>
          <w:szCs w:val="28"/>
        </w:rPr>
      </w:pPr>
    </w:p>
    <w:sectPr>
      <w:footerReference r:id="rId3" w:type="default"/>
      <w:pgSz w:w="11906" w:h="16838"/>
      <w:pgMar w:top="1270" w:right="1366" w:bottom="110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U3y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V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BoyU3yNgIAAGAEAAAOAAAAAAAAAAEAIAAAACA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YmIyZmNjMDkyZjQ1NDc0NmI0Mzc3MjllMzc2MjkifQ=="/>
    <w:docVar w:name="KSO_WPS_MARK_KEY" w:val="04948db4-c2c6-4cef-bd05-440a987e6d40"/>
  </w:docVars>
  <w:rsids>
    <w:rsidRoot w:val="00262547"/>
    <w:rsid w:val="000429A6"/>
    <w:rsid w:val="000635BD"/>
    <w:rsid w:val="00066FC8"/>
    <w:rsid w:val="00086FD1"/>
    <w:rsid w:val="000D623B"/>
    <w:rsid w:val="00252A19"/>
    <w:rsid w:val="00262547"/>
    <w:rsid w:val="00277DD1"/>
    <w:rsid w:val="002F0B09"/>
    <w:rsid w:val="002F6C5F"/>
    <w:rsid w:val="003A6EAE"/>
    <w:rsid w:val="00442A90"/>
    <w:rsid w:val="004B3B4B"/>
    <w:rsid w:val="004E5835"/>
    <w:rsid w:val="00503116"/>
    <w:rsid w:val="00625061"/>
    <w:rsid w:val="00734CF6"/>
    <w:rsid w:val="007921F3"/>
    <w:rsid w:val="007A06B4"/>
    <w:rsid w:val="007E5692"/>
    <w:rsid w:val="00861FC2"/>
    <w:rsid w:val="009E2C08"/>
    <w:rsid w:val="00A07D70"/>
    <w:rsid w:val="00B55B6B"/>
    <w:rsid w:val="00B66847"/>
    <w:rsid w:val="00B97CF5"/>
    <w:rsid w:val="00BE182B"/>
    <w:rsid w:val="00C57CC7"/>
    <w:rsid w:val="00C82A2D"/>
    <w:rsid w:val="00CB2F51"/>
    <w:rsid w:val="00CC29D9"/>
    <w:rsid w:val="00D35C76"/>
    <w:rsid w:val="00D36F84"/>
    <w:rsid w:val="00D870D9"/>
    <w:rsid w:val="00DA7144"/>
    <w:rsid w:val="00DE1821"/>
    <w:rsid w:val="00E14F97"/>
    <w:rsid w:val="00EC7C83"/>
    <w:rsid w:val="00F20FDA"/>
    <w:rsid w:val="00F820DE"/>
    <w:rsid w:val="03B3582F"/>
    <w:rsid w:val="03CE231F"/>
    <w:rsid w:val="063F1274"/>
    <w:rsid w:val="07097292"/>
    <w:rsid w:val="07D01B5E"/>
    <w:rsid w:val="086B2BCC"/>
    <w:rsid w:val="08C2594B"/>
    <w:rsid w:val="094B11BC"/>
    <w:rsid w:val="0A971D96"/>
    <w:rsid w:val="0B30198C"/>
    <w:rsid w:val="0E767C02"/>
    <w:rsid w:val="101133B7"/>
    <w:rsid w:val="105129C5"/>
    <w:rsid w:val="107C6D27"/>
    <w:rsid w:val="1149633E"/>
    <w:rsid w:val="149061D5"/>
    <w:rsid w:val="14AE254B"/>
    <w:rsid w:val="15AA6BE9"/>
    <w:rsid w:val="173533D7"/>
    <w:rsid w:val="1FB12AFA"/>
    <w:rsid w:val="22D84291"/>
    <w:rsid w:val="232178B1"/>
    <w:rsid w:val="23F80E16"/>
    <w:rsid w:val="24743B45"/>
    <w:rsid w:val="24DC4D6F"/>
    <w:rsid w:val="26E522F3"/>
    <w:rsid w:val="27F96D69"/>
    <w:rsid w:val="281612B4"/>
    <w:rsid w:val="2944586D"/>
    <w:rsid w:val="2B7546E9"/>
    <w:rsid w:val="2C9F5E1F"/>
    <w:rsid w:val="2DC203B6"/>
    <w:rsid w:val="2E58122D"/>
    <w:rsid w:val="2F555843"/>
    <w:rsid w:val="3391591B"/>
    <w:rsid w:val="33A41AA3"/>
    <w:rsid w:val="343F5187"/>
    <w:rsid w:val="357B0FAE"/>
    <w:rsid w:val="3699743B"/>
    <w:rsid w:val="37610C7D"/>
    <w:rsid w:val="379813FB"/>
    <w:rsid w:val="37C82AE4"/>
    <w:rsid w:val="39491CE4"/>
    <w:rsid w:val="3A2B124D"/>
    <w:rsid w:val="3D2A7B71"/>
    <w:rsid w:val="3D7229E8"/>
    <w:rsid w:val="3E664B6D"/>
    <w:rsid w:val="437B6926"/>
    <w:rsid w:val="438651D3"/>
    <w:rsid w:val="446529ED"/>
    <w:rsid w:val="44A616A1"/>
    <w:rsid w:val="451E56DB"/>
    <w:rsid w:val="458E7036"/>
    <w:rsid w:val="460D2589"/>
    <w:rsid w:val="471843AC"/>
    <w:rsid w:val="47415467"/>
    <w:rsid w:val="4777325F"/>
    <w:rsid w:val="4B6556D7"/>
    <w:rsid w:val="4B8359A5"/>
    <w:rsid w:val="4BE0656F"/>
    <w:rsid w:val="4DD354BD"/>
    <w:rsid w:val="50957218"/>
    <w:rsid w:val="50C81726"/>
    <w:rsid w:val="5236594B"/>
    <w:rsid w:val="527F2630"/>
    <w:rsid w:val="5453405A"/>
    <w:rsid w:val="54683335"/>
    <w:rsid w:val="55067F3A"/>
    <w:rsid w:val="57CA5049"/>
    <w:rsid w:val="57E15B41"/>
    <w:rsid w:val="5AF81BC2"/>
    <w:rsid w:val="5BDF1AF2"/>
    <w:rsid w:val="5C3816D7"/>
    <w:rsid w:val="5CD2597C"/>
    <w:rsid w:val="5E5E1F84"/>
    <w:rsid w:val="5FB47DE5"/>
    <w:rsid w:val="600F05EB"/>
    <w:rsid w:val="615D0EE2"/>
    <w:rsid w:val="638A686D"/>
    <w:rsid w:val="63B84051"/>
    <w:rsid w:val="648D71A0"/>
    <w:rsid w:val="64A102C0"/>
    <w:rsid w:val="657137AC"/>
    <w:rsid w:val="65CF4766"/>
    <w:rsid w:val="66EB6240"/>
    <w:rsid w:val="674E429C"/>
    <w:rsid w:val="67684FD9"/>
    <w:rsid w:val="68DB306A"/>
    <w:rsid w:val="699279AE"/>
    <w:rsid w:val="69DE4C53"/>
    <w:rsid w:val="6BAB44AE"/>
    <w:rsid w:val="6DE0518A"/>
    <w:rsid w:val="6F7A39B4"/>
    <w:rsid w:val="6FEC567C"/>
    <w:rsid w:val="7102558A"/>
    <w:rsid w:val="715E40C3"/>
    <w:rsid w:val="72002506"/>
    <w:rsid w:val="72A23D76"/>
    <w:rsid w:val="74953ACF"/>
    <w:rsid w:val="74E27C24"/>
    <w:rsid w:val="75A16B17"/>
    <w:rsid w:val="767F63B8"/>
    <w:rsid w:val="76C03B43"/>
    <w:rsid w:val="78415CB0"/>
    <w:rsid w:val="78CC06D3"/>
    <w:rsid w:val="791D53D0"/>
    <w:rsid w:val="796B7EBB"/>
    <w:rsid w:val="79C96EB1"/>
    <w:rsid w:val="79E20DA5"/>
    <w:rsid w:val="7CDE6F23"/>
    <w:rsid w:val="7ED25187"/>
    <w:rsid w:val="7EFE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widowControl w:val="0"/>
      <w:spacing w:after="0" w:line="360" w:lineRule="auto"/>
      <w:ind w:left="176" w:leftChars="0" w:firstLine="420" w:firstLineChars="200"/>
    </w:pPr>
    <w:rPr>
      <w:rFonts w:ascii="仿宋" w:eastAsia="仿宋"/>
      <w:kern w:val="2"/>
      <w:sz w:val="24"/>
      <w:szCs w:val="24"/>
      <w:shd w:val="clear" w:color="auto" w:fill="auto"/>
    </w:rPr>
  </w:style>
  <w:style w:type="paragraph" w:styleId="3">
    <w:name w:val="Body Text Indent"/>
    <w:basedOn w:val="1"/>
    <w:next w:val="4"/>
    <w:unhideWhenUsed/>
    <w:qFormat/>
    <w:uiPriority w:val="99"/>
    <w:pPr>
      <w:spacing w:after="120"/>
      <w:ind w:left="420" w:leftChars="200"/>
    </w:p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99"/>
    <w:pPr>
      <w:spacing w:before="100" w:beforeAutospacing="1" w:after="100" w:afterAutospacing="1"/>
      <w:jc w:val="left"/>
    </w:pPr>
    <w:rPr>
      <w:rFonts w:cs="Times New Roman"/>
      <w:kern w:val="0"/>
      <w:sz w:val="24"/>
    </w:rPr>
  </w:style>
  <w:style w:type="character" w:styleId="11">
    <w:name w:val="Strong"/>
    <w:basedOn w:val="10"/>
    <w:qFormat/>
    <w:uiPriority w:val="22"/>
    <w:rPr>
      <w:rFonts w:cs="Times New Roman"/>
      <w:b/>
      <w:bCs/>
    </w:rPr>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Char"/>
    <w:basedOn w:val="10"/>
    <w:link w:val="4"/>
    <w:qFormat/>
    <w:uiPriority w:val="0"/>
    <w:rPr>
      <w:rFonts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28A1F-2CB6-4AB2-AED5-97CDB1DAC64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2582</Words>
  <Characters>2869</Characters>
  <Lines>25</Lines>
  <Paragraphs>7</Paragraphs>
  <TotalTime>18</TotalTime>
  <ScaleCrop>false</ScaleCrop>
  <LinksUpToDate>false</LinksUpToDate>
  <CharactersWithSpaces>3068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陈标</cp:lastModifiedBy>
  <dcterms:modified xsi:type="dcterms:W3CDTF">2023-09-04T07:52:12Z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B3916B0D610041C8912BE54DEB7C03D6_13</vt:lpwstr>
  </property>
</Properties>
</file>