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43" w:firstLineChars="200"/>
        <w:jc w:val="center"/>
        <w:textAlignment w:val="auto"/>
        <w:rPr>
          <w:rFonts w:hint="eastAsia" w:ascii="楷体" w:hAnsi="楷体" w:eastAsia="楷体" w:cs="楷体"/>
          <w:b/>
          <w:bCs/>
          <w:i w:val="0"/>
          <w:iCs w:val="0"/>
          <w:caps w:val="0"/>
          <w:color w:val="000000"/>
          <w:spacing w:val="5"/>
          <w:sz w:val="28"/>
          <w:szCs w:val="28"/>
          <w:shd w:val="clear" w:fill="FFFFFF"/>
          <w:lang w:val="en-US" w:eastAsia="zh-CN"/>
        </w:rPr>
      </w:pPr>
      <w:r>
        <w:rPr>
          <w:rFonts w:hint="eastAsia" w:ascii="宋体" w:hAnsi="宋体" w:eastAsia="宋体" w:cs="宋体"/>
          <w:b/>
          <w:bCs/>
          <w:i w:val="0"/>
          <w:iCs w:val="0"/>
          <w:caps w:val="0"/>
          <w:color w:val="000000"/>
          <w:spacing w:val="5"/>
          <w:sz w:val="36"/>
          <w:szCs w:val="36"/>
          <w:shd w:val="clear" w:fill="FFFFFF"/>
          <w:lang w:val="en-US" w:eastAsia="zh-CN"/>
        </w:rPr>
        <w:t>企业员工入离职环节法律风险分析与管理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培训时间地点：</w:t>
      </w:r>
    </w:p>
    <w:tbl>
      <w:tblPr>
        <w:tblStyle w:val="4"/>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847"/>
        <w:gridCol w:w="934"/>
        <w:gridCol w:w="955"/>
        <w:gridCol w:w="954"/>
        <w:gridCol w:w="981"/>
        <w:gridCol w:w="866"/>
        <w:gridCol w:w="922"/>
        <w:gridCol w:w="911"/>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三月</w:t>
            </w:r>
          </w:p>
        </w:tc>
        <w:tc>
          <w:tcPr>
            <w:tcW w:w="847"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四月</w:t>
            </w:r>
          </w:p>
        </w:tc>
        <w:tc>
          <w:tcPr>
            <w:tcW w:w="93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五月</w:t>
            </w:r>
          </w:p>
        </w:tc>
        <w:tc>
          <w:tcPr>
            <w:tcW w:w="955"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六月</w:t>
            </w:r>
          </w:p>
        </w:tc>
        <w:tc>
          <w:tcPr>
            <w:tcW w:w="95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七月</w:t>
            </w:r>
          </w:p>
        </w:tc>
        <w:tc>
          <w:tcPr>
            <w:tcW w:w="981"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八月</w:t>
            </w:r>
          </w:p>
        </w:tc>
        <w:tc>
          <w:tcPr>
            <w:tcW w:w="866"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九月</w:t>
            </w:r>
          </w:p>
        </w:tc>
        <w:tc>
          <w:tcPr>
            <w:tcW w:w="922"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十月</w:t>
            </w:r>
          </w:p>
        </w:tc>
        <w:tc>
          <w:tcPr>
            <w:tcW w:w="911"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十一月</w:t>
            </w:r>
          </w:p>
        </w:tc>
        <w:tc>
          <w:tcPr>
            <w:tcW w:w="911" w:type="dxa"/>
            <w:tcBorders>
              <w:top w:val="single" w:color="000000" w:sz="8" w:space="0"/>
              <w:left w:val="single" w:color="000000" w:sz="4" w:space="0"/>
              <w:bottom w:val="single" w:color="000000" w:sz="4"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9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29-30</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8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26-27   深圳</w:t>
            </w:r>
          </w:p>
        </w:tc>
        <w:tc>
          <w:tcPr>
            <w:tcW w:w="93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   深圳</w:t>
            </w:r>
          </w:p>
        </w:tc>
        <w:tc>
          <w:tcPr>
            <w:tcW w:w="95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13-14   深圳</w:t>
            </w:r>
          </w:p>
        </w:tc>
        <w:tc>
          <w:tcPr>
            <w:tcW w:w="95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  深圳</w:t>
            </w:r>
          </w:p>
        </w:tc>
        <w:tc>
          <w:tcPr>
            <w:tcW w:w="98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   深圳</w:t>
            </w:r>
          </w:p>
        </w:tc>
        <w:tc>
          <w:tcPr>
            <w:tcW w:w="86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  深圳</w:t>
            </w:r>
          </w:p>
        </w:tc>
        <w:tc>
          <w:tcPr>
            <w:tcW w:w="9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   深圳</w:t>
            </w:r>
          </w:p>
        </w:tc>
        <w:tc>
          <w:tcPr>
            <w:tcW w:w="9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   深圳</w:t>
            </w:r>
          </w:p>
        </w:tc>
        <w:tc>
          <w:tcPr>
            <w:tcW w:w="9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   深圳</w:t>
            </w:r>
          </w:p>
        </w:tc>
      </w:tr>
    </w:tbl>
    <w:p>
      <w:pPr>
        <w:adjustRightInd w:val="0"/>
        <w:snapToGrid w:val="0"/>
        <w:spacing w:line="360" w:lineRule="auto"/>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rPr>
        <w:t>课程对象：</w:t>
      </w:r>
      <w:r>
        <w:rPr>
          <w:rFonts w:hint="eastAsia" w:ascii="宋体" w:hAnsi="宋体" w:eastAsia="宋体" w:cs="宋体"/>
          <w:sz w:val="24"/>
          <w:szCs w:val="24"/>
        </w:rPr>
        <w:t>企业HR</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人力资源部门、行政</w:t>
      </w:r>
    </w:p>
    <w:p>
      <w:pPr>
        <w:pStyle w:val="8"/>
        <w:adjustRightInd w:val="0"/>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rPr>
        <w:t>培训费用：</w:t>
      </w:r>
      <w:r>
        <w:rPr>
          <w:rFonts w:hint="eastAsia" w:ascii="宋体" w:hAnsi="宋体" w:eastAsia="宋体" w:cs="宋体"/>
          <w:kern w:val="0"/>
          <w:sz w:val="24"/>
          <w:szCs w:val="24"/>
          <w:lang w:val="en-US" w:eastAsia="zh-CN"/>
        </w:rPr>
        <w:t>460</w:t>
      </w:r>
      <w:r>
        <w:rPr>
          <w:rFonts w:hint="eastAsia" w:ascii="宋体" w:hAnsi="宋体" w:eastAsia="宋体" w:cs="宋体"/>
          <w:kern w:val="0"/>
          <w:sz w:val="24"/>
          <w:szCs w:val="24"/>
        </w:rPr>
        <w:t>0元/人（培训费用、资料费、茶歇、结业证书、税费等）</w:t>
      </w:r>
      <w:r>
        <w:rPr>
          <w:rFonts w:hint="eastAsia" w:ascii="宋体" w:hAnsi="宋体" w:eastAsia="宋体" w:cs="宋体"/>
          <w:color w:val="FF0000"/>
          <w:kern w:val="0"/>
          <w:sz w:val="24"/>
          <w:szCs w:val="24"/>
          <w:lang w:val="en-US" w:eastAsia="zh-CN"/>
        </w:rPr>
        <w:t>一年内可免费复训</w:t>
      </w:r>
    </w:p>
    <w:p>
      <w:pPr>
        <w:pStyle w:val="8"/>
        <w:spacing w:line="360" w:lineRule="auto"/>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认证费用：凡希望参加认证考试学员，在培训结束后参加认证考试并合格者，颁发与所参加培训课程专业领域相同职业资格证书。(参加认证考试的学员须交纳此费用，不参加认证考试的学员无须交纳)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1283"/>
        <w:gridCol w:w="138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042"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证书类别</w:t>
            </w:r>
          </w:p>
        </w:tc>
        <w:tc>
          <w:tcPr>
            <w:tcW w:w="1283"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证书级别</w:t>
            </w:r>
          </w:p>
        </w:tc>
        <w:tc>
          <w:tcPr>
            <w:tcW w:w="1385"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费用</w:t>
            </w:r>
          </w:p>
        </w:tc>
        <w:tc>
          <w:tcPr>
            <w:tcW w:w="2702" w:type="dxa"/>
            <w:vAlign w:val="top"/>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出证日期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42"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HKTCC香港培训认证中心</w:t>
            </w:r>
          </w:p>
        </w:tc>
        <w:tc>
          <w:tcPr>
            <w:tcW w:w="1283" w:type="dxa"/>
          </w:tcPr>
          <w:p>
            <w:pPr>
              <w:pStyle w:val="8"/>
              <w:spacing w:line="360" w:lineRule="auto"/>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中级</w:t>
            </w:r>
          </w:p>
        </w:tc>
        <w:tc>
          <w:tcPr>
            <w:tcW w:w="1385"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1000元/人</w:t>
            </w:r>
          </w:p>
        </w:tc>
        <w:tc>
          <w:tcPr>
            <w:tcW w:w="2702" w:type="dxa"/>
            <w:vMerge w:val="restart"/>
            <w:vAlign w:val="top"/>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10个工作日内出证快递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042"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HKTCC香港培训认证中心</w:t>
            </w:r>
          </w:p>
        </w:tc>
        <w:tc>
          <w:tcPr>
            <w:tcW w:w="1283" w:type="dxa"/>
          </w:tcPr>
          <w:p>
            <w:pPr>
              <w:pStyle w:val="8"/>
              <w:spacing w:line="360" w:lineRule="auto"/>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高级</w:t>
            </w:r>
          </w:p>
        </w:tc>
        <w:tc>
          <w:tcPr>
            <w:tcW w:w="1385"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1200元/人</w:t>
            </w:r>
          </w:p>
        </w:tc>
        <w:tc>
          <w:tcPr>
            <w:tcW w:w="2702" w:type="dxa"/>
            <w:vMerge w:val="continue"/>
            <w:vAlign w:val="top"/>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042" w:type="dxa"/>
          </w:tcPr>
          <w:p>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lang w:val="en-US" w:eastAsia="zh-CN" w:bidi="ar-SA"/>
              </w:rPr>
              <w:t>中管院专业人才技能证书</w:t>
            </w:r>
          </w:p>
        </w:tc>
        <w:tc>
          <w:tcPr>
            <w:tcW w:w="1283"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中、高级</w:t>
            </w:r>
          </w:p>
        </w:tc>
        <w:tc>
          <w:tcPr>
            <w:tcW w:w="1385"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800元/人</w:t>
            </w:r>
          </w:p>
        </w:tc>
        <w:tc>
          <w:tcPr>
            <w:tcW w:w="2702" w:type="dxa"/>
          </w:tcPr>
          <w:p>
            <w:pPr>
              <w:pStyle w:val="8"/>
              <w:spacing w:line="360" w:lineRule="auto"/>
              <w:jc w:val="both"/>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bidi="ar-SA"/>
              </w:rPr>
              <w:t>7个工作日出出证快递</w:t>
            </w:r>
          </w:p>
        </w:tc>
      </w:tr>
    </w:tbl>
    <w:p>
      <w:pPr>
        <w:pStyle w:val="8"/>
        <w:spacing w:line="360" w:lineRule="auto"/>
        <w:jc w:val="both"/>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FF0000"/>
          <w:kern w:val="0"/>
          <w:sz w:val="24"/>
          <w:szCs w:val="24"/>
          <w:lang w:val="en-US" w:eastAsia="zh-CN" w:bidi="ar-SA"/>
        </w:rPr>
        <w:t>备注：以上课程可同步线上直播学习，也可更加贵司的培训需求做定制化内训服务！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i w:val="0"/>
          <w:iCs w:val="0"/>
          <w:caps w:val="0"/>
          <w:color w:val="000000"/>
          <w:spacing w:val="5"/>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课程背景</w:t>
      </w:r>
    </w:p>
    <w:p>
      <w:pPr>
        <w:keepNext w:val="0"/>
        <w:keepLines w:val="0"/>
        <w:pageBreakBefore w:val="0"/>
        <w:widowControl w:val="0"/>
        <w:kinsoku/>
        <w:wordWrap/>
        <w:overflowPunct/>
        <w:topLinePunct w:val="0"/>
        <w:autoSpaceDE/>
        <w:autoSpaceDN/>
        <w:bidi w:val="0"/>
        <w:adjustRightInd w:val="0"/>
        <w:snapToGrid w:val="0"/>
        <w:spacing w:line="360" w:lineRule="auto"/>
        <w:ind w:firstLine="500" w:firstLineChars="20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rPr>
        <w:t>随着普通员工</w:t>
      </w:r>
      <w:r>
        <w:rPr>
          <w:rFonts w:hint="eastAsia" w:ascii="宋体" w:hAnsi="宋体" w:eastAsia="宋体" w:cs="宋体"/>
          <w:i w:val="0"/>
          <w:iCs w:val="0"/>
          <w:caps w:val="0"/>
          <w:color w:val="000000"/>
          <w:spacing w:val="5"/>
          <w:sz w:val="24"/>
          <w:szCs w:val="24"/>
          <w:shd w:val="clear" w:fill="FFFFFF"/>
          <w:lang w:val="en-US" w:eastAsia="zh-CN"/>
        </w:rPr>
        <w:t>法律意识的不断增长</w:t>
      </w:r>
      <w:r>
        <w:rPr>
          <w:rFonts w:hint="eastAsia" w:ascii="宋体" w:hAnsi="宋体" w:eastAsia="宋体" w:cs="宋体"/>
          <w:i w:val="0"/>
          <w:iCs w:val="0"/>
          <w:caps w:val="0"/>
          <w:color w:val="000000"/>
          <w:spacing w:val="5"/>
          <w:sz w:val="24"/>
          <w:szCs w:val="24"/>
          <w:shd w:val="clear" w:fill="FFFFFF"/>
        </w:rPr>
        <w:t>、</w:t>
      </w:r>
      <w:r>
        <w:rPr>
          <w:rFonts w:hint="eastAsia" w:ascii="宋体" w:hAnsi="宋体" w:eastAsia="宋体" w:cs="宋体"/>
          <w:i w:val="0"/>
          <w:iCs w:val="0"/>
          <w:caps w:val="0"/>
          <w:color w:val="000000"/>
          <w:spacing w:val="5"/>
          <w:sz w:val="24"/>
          <w:szCs w:val="24"/>
          <w:shd w:val="clear" w:fill="FFFFFF"/>
          <w:lang w:val="en-US" w:eastAsia="zh-CN"/>
        </w:rPr>
        <w:t>加上现行法律制度下员工</w:t>
      </w:r>
      <w:r>
        <w:rPr>
          <w:rFonts w:hint="eastAsia" w:ascii="宋体" w:hAnsi="宋体" w:eastAsia="宋体" w:cs="宋体"/>
          <w:i w:val="0"/>
          <w:iCs w:val="0"/>
          <w:caps w:val="0"/>
          <w:color w:val="000000"/>
          <w:spacing w:val="5"/>
          <w:sz w:val="24"/>
          <w:szCs w:val="24"/>
          <w:shd w:val="clear" w:fill="FFFFFF"/>
        </w:rPr>
        <w:t>维权成本低廉，</w:t>
      </w:r>
      <w:r>
        <w:rPr>
          <w:rFonts w:hint="eastAsia" w:ascii="宋体" w:hAnsi="宋体" w:eastAsia="宋体" w:cs="宋体"/>
          <w:i w:val="0"/>
          <w:iCs w:val="0"/>
          <w:caps w:val="0"/>
          <w:color w:val="000000"/>
          <w:spacing w:val="5"/>
          <w:sz w:val="24"/>
          <w:szCs w:val="24"/>
          <w:shd w:val="clear" w:fill="FFFFFF"/>
          <w:lang w:val="en-US" w:eastAsia="zh-CN"/>
        </w:rPr>
        <w:t>企业劳动关系管理的</w:t>
      </w:r>
      <w:r>
        <w:rPr>
          <w:rFonts w:hint="eastAsia" w:ascii="宋体" w:hAnsi="宋体" w:eastAsia="宋体" w:cs="宋体"/>
          <w:i w:val="0"/>
          <w:iCs w:val="0"/>
          <w:caps w:val="0"/>
          <w:color w:val="000000"/>
          <w:spacing w:val="5"/>
          <w:sz w:val="24"/>
          <w:szCs w:val="24"/>
          <w:shd w:val="clear" w:fill="FFFFFF"/>
        </w:rPr>
        <w:t>的挑战</w:t>
      </w:r>
      <w:r>
        <w:rPr>
          <w:rFonts w:hint="eastAsia" w:ascii="宋体" w:hAnsi="宋体" w:eastAsia="宋体" w:cs="宋体"/>
          <w:i w:val="0"/>
          <w:iCs w:val="0"/>
          <w:caps w:val="0"/>
          <w:color w:val="000000"/>
          <w:spacing w:val="5"/>
          <w:sz w:val="24"/>
          <w:szCs w:val="24"/>
          <w:shd w:val="clear" w:fill="FFFFFF"/>
          <w:lang w:val="en-US" w:eastAsia="zh-CN"/>
        </w:rPr>
        <w:t>难度越来越大</w:t>
      </w:r>
      <w:r>
        <w:rPr>
          <w:rFonts w:hint="eastAsia" w:ascii="宋体" w:hAnsi="宋体" w:eastAsia="宋体" w:cs="宋体"/>
          <w:i w:val="0"/>
          <w:iCs w:val="0"/>
          <w:caps w:val="0"/>
          <w:color w:val="000000"/>
          <w:spacing w:val="5"/>
          <w:sz w:val="24"/>
          <w:szCs w:val="24"/>
          <w:shd w:val="clear" w:fill="FFFFFF"/>
        </w:rPr>
        <w:t>。尽管公司</w:t>
      </w:r>
      <w:r>
        <w:rPr>
          <w:rFonts w:hint="eastAsia" w:ascii="宋体" w:hAnsi="宋体" w:eastAsia="宋体" w:cs="宋体"/>
          <w:i w:val="0"/>
          <w:iCs w:val="0"/>
          <w:caps w:val="0"/>
          <w:color w:val="000000"/>
          <w:spacing w:val="5"/>
          <w:sz w:val="24"/>
          <w:szCs w:val="24"/>
          <w:shd w:val="clear" w:fill="FFFFFF"/>
          <w:lang w:val="en-US" w:eastAsia="zh-CN"/>
        </w:rPr>
        <w:t>在日常管理中，公司HR工作小心谨慎，但还是常常被不期而遇的劳动争议搞得措手不及，让原本繁杂的工作更加焦头烂额</w:t>
      </w:r>
      <w:r>
        <w:rPr>
          <w:rFonts w:hint="eastAsia" w:ascii="宋体" w:hAnsi="宋体" w:eastAsia="宋体" w:cs="宋体"/>
          <w:i w:val="0"/>
          <w:iCs w:val="0"/>
          <w:caps w:val="0"/>
          <w:color w:val="000000"/>
          <w:spacing w:val="5"/>
          <w:sz w:val="24"/>
          <w:szCs w:val="24"/>
          <w:shd w:val="clear" w:fill="FFFFFF"/>
        </w:rPr>
        <w:t>。</w:t>
      </w:r>
      <w:r>
        <w:rPr>
          <w:rFonts w:hint="eastAsia" w:ascii="宋体" w:hAnsi="宋体" w:eastAsia="宋体" w:cs="宋体"/>
          <w:i w:val="0"/>
          <w:iCs w:val="0"/>
          <w:caps w:val="0"/>
          <w:color w:val="000000"/>
          <w:spacing w:val="5"/>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00" w:firstLineChars="20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对于企业劳动争议而言，虽然应对起来千头万绪，但企业劳动争议的风险点主要集中在入离职环节，只要把握好入离职环节，做到“好聚好散”，企业人力资源管理风险仍然是可以控制的。</w:t>
      </w:r>
    </w:p>
    <w:p>
      <w:pPr>
        <w:keepNext w:val="0"/>
        <w:keepLines w:val="0"/>
        <w:pageBreakBefore w:val="0"/>
        <w:widowControl w:val="0"/>
        <w:kinsoku/>
        <w:wordWrap/>
        <w:overflowPunct/>
        <w:topLinePunct w:val="0"/>
        <w:autoSpaceDE/>
        <w:autoSpaceDN/>
        <w:bidi w:val="0"/>
        <w:adjustRightInd w:val="0"/>
        <w:snapToGrid w:val="0"/>
        <w:spacing w:line="360" w:lineRule="auto"/>
        <w:ind w:firstLine="500" w:firstLineChars="20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本课程旨在通过对从入离职环节对企业用工风险进行分析，帮助企业HR认识企业入离职环节的法律风险，从而进行有效的应对。</w:t>
      </w:r>
    </w:p>
    <w:p>
      <w:pPr>
        <w:keepNext w:val="0"/>
        <w:keepLines w:val="0"/>
        <w:pageBreakBefore w:val="0"/>
        <w:widowControl w:val="0"/>
        <w:kinsoku/>
        <w:wordWrap/>
        <w:overflowPunct/>
        <w:topLinePunct w:val="0"/>
        <w:autoSpaceDE/>
        <w:autoSpaceDN/>
        <w:bidi w:val="0"/>
        <w:adjustRightInd w:val="0"/>
        <w:snapToGrid w:val="0"/>
        <w:spacing w:line="360" w:lineRule="auto"/>
        <w:ind w:firstLine="520"/>
        <w:textAlignment w:val="auto"/>
        <w:rPr>
          <w:rFonts w:hint="eastAsia" w:ascii="宋体" w:hAnsi="宋体" w:eastAsia="宋体" w:cs="宋体"/>
          <w:i w:val="0"/>
          <w:iCs w:val="0"/>
          <w:caps w:val="0"/>
          <w:color w:val="000000"/>
          <w:spacing w:val="5"/>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jc w:val="both"/>
        <w:textAlignment w:val="auto"/>
        <w:rPr>
          <w:rFonts w:hint="eastAsia" w:ascii="宋体" w:hAnsi="宋体" w:eastAsia="宋体" w:cs="宋体"/>
          <w:b/>
          <w:bCs/>
          <w:i w:val="0"/>
          <w:iCs w:val="0"/>
          <w:caps w:val="0"/>
          <w:color w:val="000000"/>
          <w:spacing w:val="5"/>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课程大纲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引言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 xml:space="preserve">   案例：公司市搬迁通知员工后，员工拒不到岗后，为何公司仍然赔付经济补偿金？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 xml:space="preserve"> 企业人力资源管理法律风险现状、原因及策略</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企业人力资源管理法律风险现状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现象分析</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案例讨论</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企业人力资源管理法律风险的原因分析</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原因分析</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案例讨论</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企业人力资源管理法律风险管理策略</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1、1  企业自查与他查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1.2   法律风险排查工具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2、案例分析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第二章  企业员工招聘与入职管理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一、招聘与入职环节法律风险点分析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1、常见的法律风险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2、案例分析与讨论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二、招聘与入职环节的程序管理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1、招聘与入职的闭环流程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2、流程中常见的法律问题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3、案例分析与讨论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三、招聘与入职环节常见的文书与表单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1、常见的文书与表单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2、案例分析：如何制作一份完美的表单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四、常见的制度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第三章 员工离职管理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 xml:space="preserve"> 一、离职环节法律风险点分析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1、常见的法律风险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2、案例分析与讨论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二、离职环节的程序管理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1、离职的闭环流程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2、流程中常见的法律问题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3、案例分析与讨论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三、离职常见的文书与表单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1、常见的文书与表单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 xml:space="preserve">2、案例分析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四、常见的制度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五、离职补偿与赔偿分析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1、法律分析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2、案例：如何降低赔偿（补偿金）的基数？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2.1 经济补偿与赔偿的区别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2.2 计算依据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六、离职管理中的难点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1、低绩效员工的解除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2、离职协议的起草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i w:val="0"/>
          <w:iCs w:val="0"/>
          <w:caps w:val="0"/>
          <w:color w:val="000000"/>
          <w:spacing w:val="5"/>
          <w:sz w:val="24"/>
          <w:szCs w:val="24"/>
          <w:shd w:val="clear" w:fill="FFFFFF"/>
          <w:lang w:val="en-US" w:eastAsia="zh-CN"/>
        </w:rPr>
        <w:t>3、协商过程的技巧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spacing w:val="5"/>
          <w:sz w:val="24"/>
          <w:szCs w:val="24"/>
          <w:shd w:val="clear" w:fill="FFFFFF"/>
          <w:lang w:val="en-US" w:eastAsia="zh-CN"/>
        </w:rPr>
      </w:pPr>
      <w:r>
        <w:rPr>
          <w:rFonts w:hint="eastAsia" w:ascii="宋体" w:hAnsi="宋体" w:eastAsia="宋体" w:cs="宋体"/>
          <w:b/>
          <w:bCs/>
          <w:i w:val="0"/>
          <w:iCs w:val="0"/>
          <w:caps w:val="0"/>
          <w:color w:val="000000"/>
          <w:spacing w:val="5"/>
          <w:sz w:val="24"/>
          <w:szCs w:val="24"/>
          <w:shd w:val="clear" w:fill="FFFFFF"/>
          <w:lang w:val="en-US" w:eastAsia="zh-CN"/>
        </w:rPr>
        <w:t xml:space="preserve">总结   </w:t>
      </w:r>
      <w:r>
        <w:rPr>
          <w:rFonts w:hint="eastAsia" w:ascii="宋体" w:hAnsi="宋体" w:eastAsia="宋体" w:cs="宋体"/>
          <w:i w:val="0"/>
          <w:iCs w:val="0"/>
          <w:caps w:val="0"/>
          <w:color w:val="000000"/>
          <w:spacing w:val="5"/>
          <w:sz w:val="24"/>
          <w:szCs w:val="24"/>
          <w:shd w:val="clear" w:fill="FFFFFF"/>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1050"/>
        <w:textAlignment w:val="auto"/>
        <w:rPr>
          <w:rStyle w:val="7"/>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1050"/>
        <w:textAlignment w:val="auto"/>
        <w:rPr>
          <w:rStyle w:val="7"/>
          <w:rFonts w:hint="default" w:ascii="宋体" w:hAnsi="宋体" w:eastAsia="宋体" w:cs="宋体"/>
          <w:sz w:val="24"/>
          <w:szCs w:val="24"/>
          <w:lang w:val="en-US" w:eastAsia="zh-CN"/>
        </w:rPr>
      </w:pPr>
      <w:r>
        <w:rPr>
          <w:rStyle w:val="7"/>
          <w:rFonts w:hint="eastAsia" w:ascii="宋体" w:hAnsi="宋体" w:eastAsia="宋体" w:cs="宋体"/>
          <w:sz w:val="24"/>
          <w:szCs w:val="24"/>
          <w:lang w:val="en-US" w:eastAsia="zh-CN"/>
        </w:rPr>
        <w:t>授课讲师介绍</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1050"/>
        <w:textAlignment w:val="auto"/>
        <w:rPr>
          <w:rStyle w:val="7"/>
          <w:rFonts w:hint="default" w:ascii="宋体" w:hAnsi="宋体" w:eastAsia="宋体" w:cs="宋体"/>
          <w:sz w:val="24"/>
          <w:szCs w:val="24"/>
          <w:lang w:val="en-US" w:eastAsia="zh-CN"/>
        </w:rPr>
      </w:pPr>
      <w:r>
        <w:rPr>
          <w:rStyle w:val="7"/>
          <w:rFonts w:hint="eastAsia" w:ascii="宋体" w:hAnsi="宋体" w:eastAsia="宋体" w:cs="宋体"/>
          <w:sz w:val="24"/>
          <w:szCs w:val="24"/>
          <w:lang w:val="en-US" w:eastAsia="zh-CN"/>
        </w:rPr>
        <w:t>向老师</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1050"/>
        <w:textAlignment w:val="auto"/>
        <w:rPr>
          <w:rFonts w:hint="eastAsia" w:ascii="宋体" w:hAnsi="宋体" w:eastAsia="宋体" w:cs="宋体"/>
        </w:rPr>
      </w:pPr>
      <w:r>
        <w:rPr>
          <w:rStyle w:val="7"/>
          <w:rFonts w:hint="eastAsia" w:ascii="宋体" w:hAnsi="宋体" w:eastAsia="宋体" w:cs="宋体"/>
          <w:sz w:val="24"/>
          <w:szCs w:val="24"/>
        </w:rPr>
        <w:t>【背景资历】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广东君言律师事务所律师</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曾任湖南省白云集团办公室主任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曾任职于江西财经大学 讲师</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sz w:val="24"/>
          <w:szCs w:val="24"/>
        </w:rPr>
      </w:pPr>
      <w:r>
        <w:rPr>
          <w:rFonts w:hint="eastAsia" w:ascii="宋体" w:hAnsi="宋体" w:eastAsia="宋体" w:cs="宋体"/>
          <w:sz w:val="24"/>
          <w:szCs w:val="24"/>
        </w:rPr>
        <w:t>曾任职于顺丰速运集团 人力资源法务负责人</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曾任职于海格物流股份有限公司 人力资源法务负责人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深圳市人力资源和社会保障局 特聘讲师</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rPr>
      </w:pPr>
      <w:bookmarkStart w:id="0" w:name="_GoBack"/>
      <w:bookmarkEnd w:id="0"/>
      <w:r>
        <w:rPr>
          <w:rFonts w:hint="eastAsia" w:ascii="宋体" w:hAnsi="宋体" w:eastAsia="宋体" w:cs="宋体"/>
          <w:sz w:val="24"/>
          <w:szCs w:val="24"/>
        </w:rPr>
        <w:t>中国国际技术智力合作有限公司 特聘讲师</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7"/>
          <w:rFonts w:hint="eastAsia" w:ascii="宋体" w:hAnsi="宋体" w:eastAsia="宋体" w:cs="宋体"/>
          <w:sz w:val="24"/>
          <w:szCs w:val="24"/>
        </w:rPr>
        <w:t>【工作经验】</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向老师本科毕业于湖南师范大学，研究生毕业于江西财经大学。曾先后任职于湖南省白云集团、江西财经大学、顺丰速运集团、海格物流股份有限公司等多家单位。2015年进入广东华商律师事务所，2018年转入广东君言律师事务所，主要业务领域为公司法律顾问、公司资本市场业务等。</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向纯华老师有多年的高校教学经验和丰富的上市企业劳资关系管理经验，善于将运用案例教学，理论联系实际，深入浅出，案例真实，擅长将复杂的问题简单化，让学员在轻松的环境中演练管理技术，达到即学即用效果。</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7"/>
          <w:rFonts w:hint="eastAsia" w:ascii="宋体" w:hAnsi="宋体" w:eastAsia="宋体" w:cs="宋体"/>
          <w:sz w:val="24"/>
          <w:szCs w:val="24"/>
        </w:rPr>
        <w:t>【主讲课程】</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1、人力资源法律风险管理：《企业人力资源法律风险管理与防范》（系列课程）、</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sz w:val="24"/>
          <w:szCs w:val="24"/>
        </w:rPr>
        <w:t>《非人力资源的员工关系管理》、《企业和谐劳资关系管理》等。</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2、企业法律风险管理：《企业法律风险分析与管理》、《合同签订与审查》、</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sz w:val="24"/>
          <w:szCs w:val="24"/>
        </w:rPr>
        <w:t>《企业高管职务犯罪与预防》、《企业商业秘密保护法律问题》等。</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3、企业股权设计：《企业股权法律风险与防范》、《员工股权激励法律风险与预防》等。</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7"/>
          <w:rFonts w:hint="eastAsia" w:ascii="宋体" w:hAnsi="宋体" w:eastAsia="宋体" w:cs="宋体"/>
          <w:sz w:val="24"/>
          <w:szCs w:val="24"/>
        </w:rPr>
        <w:t>【服务企业】</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sz w:val="24"/>
          <w:szCs w:val="24"/>
        </w:rPr>
        <w:t>中国国际技术智力合作有限公司、中国石化集团、广东上城建设有限公司（万科全资子公司）、顺丰速运集团、深圳市海格物流股份有限公司、深圳市人力资源和社会保障局、深圳市蛇口通讯有限公司、坪山区劳动关系促进会、捷客斯润滑油、深圳市捷先数码科技股份有限公司、旭源HR同学汇、智慧海企业管理、深圳布谷鸟科技有限公司、深圳安居星科技</w:t>
      </w:r>
    </w:p>
    <w:p>
      <w:pPr>
        <w:pStyle w:val="3"/>
        <w:keepNext w:val="0"/>
        <w:keepLines w:val="0"/>
        <w:widowControl/>
        <w:suppressLineNumbers w:val="0"/>
        <w:spacing w:before="75" w:beforeAutospacing="0" w:after="75" w:afterAutospacing="0"/>
        <w:ind w:left="0" w:right="0"/>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楷体" w:hAnsi="楷体" w:eastAsia="楷体" w:cs="楷体"/>
          <w:i w:val="0"/>
          <w:iCs w:val="0"/>
          <w:caps w:val="0"/>
          <w:color w:val="000000"/>
          <w:spacing w:val="5"/>
          <w:sz w:val="24"/>
          <w:szCs w:val="24"/>
          <w:shd w:val="clear" w:fill="FFFFFF"/>
          <w:lang w:val="en-US" w:eastAsia="zh-CN"/>
        </w:rPr>
      </w:pPr>
      <w:r>
        <w:rPr>
          <w:rFonts w:hint="eastAsia" w:ascii="楷体" w:hAnsi="楷体" w:eastAsia="楷体" w:cs="楷体"/>
          <w:i w:val="0"/>
          <w:iCs w:val="0"/>
          <w:caps w:val="0"/>
          <w:color w:val="000000"/>
          <w:spacing w:val="5"/>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default" w:ascii="楷体" w:hAnsi="楷体" w:eastAsia="楷体" w:cs="楷体"/>
          <w:i w:val="0"/>
          <w:iCs w:val="0"/>
          <w:caps w:val="0"/>
          <w:color w:val="000000"/>
          <w:spacing w:val="5"/>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89EEE"/>
    <w:multiLevelType w:val="singleLevel"/>
    <w:tmpl w:val="90289EEE"/>
    <w:lvl w:ilvl="0" w:tentative="0">
      <w:start w:val="1"/>
      <w:numFmt w:val="decimal"/>
      <w:suff w:val="nothing"/>
      <w:lvlText w:val="%1、"/>
      <w:lvlJc w:val="left"/>
    </w:lvl>
  </w:abstractNum>
  <w:abstractNum w:abstractNumId="1">
    <w:nsid w:val="A1EA0FA6"/>
    <w:multiLevelType w:val="singleLevel"/>
    <w:tmpl w:val="A1EA0FA6"/>
    <w:lvl w:ilvl="0" w:tentative="0">
      <w:start w:val="1"/>
      <w:numFmt w:val="chineseCounting"/>
      <w:suff w:val="space"/>
      <w:lvlText w:val="第%1章"/>
      <w:lvlJc w:val="left"/>
      <w:rPr>
        <w:rFonts w:hint="eastAsia"/>
      </w:rPr>
    </w:lvl>
  </w:abstractNum>
  <w:abstractNum w:abstractNumId="2">
    <w:nsid w:val="AF668247"/>
    <w:multiLevelType w:val="singleLevel"/>
    <w:tmpl w:val="AF668247"/>
    <w:lvl w:ilvl="0" w:tentative="0">
      <w:start w:val="1"/>
      <w:numFmt w:val="chineseCounting"/>
      <w:suff w:val="space"/>
      <w:lvlText w:val="%1、"/>
      <w:lvlJc w:val="left"/>
      <w:rPr>
        <w:rFonts w:hint="eastAsia"/>
      </w:rPr>
    </w:lvl>
  </w:abstractNum>
  <w:abstractNum w:abstractNumId="3">
    <w:nsid w:val="B136A5EB"/>
    <w:multiLevelType w:val="singleLevel"/>
    <w:tmpl w:val="B136A5EB"/>
    <w:lvl w:ilvl="0" w:tentative="0">
      <w:start w:val="1"/>
      <w:numFmt w:val="decimal"/>
      <w:suff w:val="nothing"/>
      <w:lvlText w:val="%1、"/>
      <w:lvlJc w:val="left"/>
    </w:lvl>
  </w:abstractNum>
  <w:abstractNum w:abstractNumId="4">
    <w:nsid w:val="761FC8AD"/>
    <w:multiLevelType w:val="singleLevel"/>
    <w:tmpl w:val="761FC8A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Q3MjZhNzE3NzZmYmMwYzhmNzQzOWI0Njg2M2EifQ=="/>
  </w:docVars>
  <w:rsids>
    <w:rsidRoot w:val="00000000"/>
    <w:rsid w:val="297C5691"/>
    <w:rsid w:val="5FCE2ED4"/>
    <w:rsid w:val="7ABB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样式1"/>
    <w:basedOn w:val="2"/>
    <w:qFormat/>
    <w:uiPriority w:val="0"/>
    <w:pPr>
      <w:spacing w:line="360" w:lineRule="auto"/>
      <w:jc w:val="center"/>
    </w:pPr>
    <w:rPr>
      <w:rFonts w:ascii="微软雅黑" w:hAnsi="微软雅黑" w:eastAsia="微软雅黑"/>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2021-11-01T23:22:00Z</dcterms:created>
  <dc:creator>HUAWEI</dc:creator>
  <cp:lastModifiedBy>诺达名师-叶老师</cp:lastModifiedBy>
  <dcterms:modified xsi:type="dcterms:W3CDTF">2023-10-28T03:01:25Z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EEC42AAB0C4E44AB8BFD6614B63B6529</vt:lpwstr>
  </property>
</Properties>
</file>