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rPr>
          <w:rFonts w:ascii="微软雅黑" w:hAnsi="微软雅黑" w:eastAsia="微软雅黑"/>
          <w:sz w:val="20"/>
          <w:szCs w:val="20"/>
        </w:rPr>
      </w:pPr>
      <w:bookmarkStart w:id="0" w:name="_Hlk91793999"/>
      <w:bookmarkEnd w:id="0"/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360" w:lineRule="auto"/>
        <w:jc w:val="center"/>
        <w:rPr>
          <w:rFonts w:hint="eastAsia" w:ascii="微软雅黑" w:hAnsi="微软雅黑" w:eastAsia="微软雅黑" w:cs="Times New Roman"/>
          <w:color w:val="404040" w:themeColor="text1" w:themeTint="BF"/>
          <w:kern w:val="2"/>
          <w:sz w:val="44"/>
          <w:szCs w:val="44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  <w:r>
        <w:rPr>
          <w:rFonts w:hint="eastAsia" w:ascii="微软雅黑" w:hAnsi="微软雅黑" w:eastAsia="微软雅黑" w:cs="Times New Roman"/>
          <w:color w:val="404040" w:themeColor="text1" w:themeTint="BF"/>
          <w:kern w:val="2"/>
          <w:sz w:val="44"/>
          <w:szCs w:val="44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组织变革四定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360" w:lineRule="auto"/>
        <w:jc w:val="center"/>
        <w:rPr>
          <w:rFonts w:ascii="微软雅黑" w:hAnsi="微软雅黑" w:eastAsia="微软雅黑"/>
          <w:sz w:val="20"/>
          <w:szCs w:val="20"/>
        </w:rPr>
      </w:pPr>
      <w:r>
        <w:rPr>
          <w:rFonts w:hint="eastAsia" w:ascii="微软雅黑" w:hAnsi="微软雅黑" w:eastAsia="微软雅黑" w:cs="Times New Roman"/>
          <w:color w:val="404040" w:themeColor="text1" w:themeTint="BF"/>
          <w:kern w:val="2"/>
          <w:sz w:val="44"/>
          <w:szCs w:val="44"/>
          <w:lang w:val="en-US" w:eastAsia="zh-CN" w:bidi="ar-SA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  <w:t>定岗定编定级定薪的策略、方法与实践</w:t>
      </w:r>
    </w:p>
    <w:tbl>
      <w:tblPr>
        <w:tblStyle w:val="7"/>
        <w:tblW w:w="0" w:type="auto"/>
        <w:jc w:val="center"/>
        <w:tblBorders>
          <w:top w:val="single" w:color="D8D8D8" w:themeColor="background1" w:themeShade="D9" w:sz="4" w:space="0"/>
          <w:left w:val="single" w:color="D8D8D8" w:themeColor="background1" w:themeShade="D9" w:sz="4" w:space="0"/>
          <w:bottom w:val="single" w:color="D8D8D8" w:themeColor="background1" w:themeShade="D9" w:sz="4" w:space="0"/>
          <w:right w:val="single" w:color="D8D8D8" w:themeColor="background1" w:themeShade="D9" w:sz="4" w:space="0"/>
          <w:insideH w:val="single" w:color="D8D8D8" w:themeColor="background1" w:themeShade="D9" w:sz="4" w:space="0"/>
          <w:insideV w:val="single" w:color="D8D8D8" w:themeColor="background1" w:themeShade="D9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53"/>
        <w:gridCol w:w="3402"/>
      </w:tblGrid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4253" w:type="dxa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讲师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/Lecturer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ascii="微软雅黑" w:hAnsi="微软雅黑" w:eastAsia="微软雅黑" w:cs="微软雅黑"/>
                <w:i w:val="0"/>
                <w:iCs w:val="0"/>
                <w:caps w:val="0"/>
                <w:color w:val="000000"/>
                <w:spacing w:val="0"/>
                <w:sz w:val="25"/>
                <w:szCs w:val="25"/>
                <w:shd w:val="clear" w:fill="FFFFFF"/>
              </w:rPr>
              <w:t>赵惠颖</w:t>
            </w:r>
          </w:p>
        </w:tc>
        <w:tc>
          <w:tcPr>
            <w:tcW w:w="3402" w:type="dxa"/>
            <w:vAlign w:val="center"/>
          </w:tcPr>
          <w:p>
            <w:pPr>
              <w:snapToGrid w:val="0"/>
              <w:rPr>
                <w:rFonts w:ascii="微软雅黑" w:hAnsi="微软雅黑" w:eastAsia="微软雅黑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费用</w:t>
            </w:r>
            <w:r>
              <w:rPr>
                <w:rFonts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/Price</w:t>
            </w:r>
            <w:r>
              <w:rPr>
                <w:rFonts w:hint="eastAsia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</w:rPr>
              <w:t>：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¥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6800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元</w:t>
            </w:r>
            <w:r>
              <w:rPr>
                <w:rFonts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/</w:t>
            </w: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人</w:t>
            </w:r>
          </w:p>
        </w:tc>
      </w:tr>
      <w:tr>
        <w:tblPrEx>
          <w:tblBorders>
            <w:top w:val="single" w:color="D8D8D8" w:themeColor="background1" w:themeShade="D9" w:sz="4" w:space="0"/>
            <w:left w:val="single" w:color="D8D8D8" w:themeColor="background1" w:themeShade="D9" w:sz="4" w:space="0"/>
            <w:bottom w:val="single" w:color="D8D8D8" w:themeColor="background1" w:themeShade="D9" w:sz="4" w:space="0"/>
            <w:right w:val="single" w:color="D8D8D8" w:themeColor="background1" w:themeShade="D9" w:sz="4" w:space="0"/>
            <w:insideH w:val="single" w:color="D8D8D8" w:themeColor="background1" w:themeShade="D9" w:sz="4" w:space="0"/>
            <w:insideV w:val="single" w:color="D8D8D8" w:themeColor="background1" w:themeShade="D9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7655" w:type="dxa"/>
            <w:gridSpan w:val="2"/>
            <w:vAlign w:val="center"/>
          </w:tcPr>
          <w:p>
            <w:pPr>
              <w:tabs>
                <w:tab w:val="left" w:pos="2681"/>
              </w:tabs>
              <w:snapToGrid w:val="0"/>
              <w:rPr>
                <w:rFonts w:hint="default" w:ascii="微软雅黑" w:hAnsi="微软雅黑" w:eastAsia="微软雅黑" w:cs="宋体"/>
                <w:b/>
                <w:bCs/>
                <w:color w:val="2E74B5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宋体"/>
                <w:bCs/>
                <w:color w:val="404040" w:themeColor="text1" w:themeTint="BF"/>
                <w:kern w:val="0"/>
                <w:sz w:val="24"/>
                <w:szCs w:val="24"/>
                <w:lang w:val="en-US" w:eastAsia="zh-CN"/>
                <w14:textFill>
                  <w14:solidFill>
                    <w14:schemeClr w14:val="tx1">
                      <w14:lumMod w14:val="75000"/>
                      <w14:lumOff w14:val="25000"/>
                    </w14:schemeClr>
                  </w14:solidFill>
                </w14:textFill>
              </w:rPr>
              <w:t>企业团报/提前15天报名课联系顾问了解优惠价</w:t>
            </w:r>
          </w:p>
        </w:tc>
      </w:tr>
    </w:tbl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spacing w:line="288" w:lineRule="auto"/>
        <w:rPr>
          <w:rFonts w:ascii="微软雅黑" w:hAnsi="微软雅黑" w:eastAsia="微软雅黑" w:cs="微软雅黑"/>
          <w:color w:val="404040" w:themeColor="text1" w:themeTint="BF"/>
          <w:kern w:val="0"/>
          <w:sz w:val="20"/>
          <w:szCs w:val="20"/>
          <w14:textFill>
            <w14:solidFill>
              <w14:schemeClr w14:val="tx1">
                <w14:lumMod w14:val="75000"/>
                <w14:lumOff w14:val="25000"/>
              </w14:schemeClr>
            </w14:solidFill>
          </w14:textFill>
        </w:rPr>
      </w:pPr>
    </w:p>
    <w:p>
      <w:pPr>
        <w:snapToGrid w:val="0"/>
        <w:rPr>
          <w:rFonts w:ascii="微软雅黑" w:hAnsi="微软雅黑" w:eastAsia="微软雅黑" w:cs="微软雅黑"/>
          <w:color w:val="2E74B5"/>
          <w:kern w:val="0"/>
          <w:sz w:val="20"/>
          <w:szCs w:val="20"/>
        </w:rPr>
      </w:pPr>
      <w:r>
        <w:rPr>
          <w:rFonts w:hint="eastAsia"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课程排期/</w:t>
      </w:r>
      <w:r>
        <w:rPr>
          <w:rFonts w:ascii="微软雅黑" w:hAnsi="微软雅黑" w:eastAsia="微软雅黑" w:cs="宋体"/>
          <w:b/>
          <w:bCs/>
          <w:color w:val="2E74B5"/>
          <w:kern w:val="0"/>
          <w:sz w:val="26"/>
          <w:szCs w:val="26"/>
        </w:rPr>
        <w:t>Scheduling</w:t>
      </w:r>
    </w:p>
    <w:p>
      <w:r>
        <w:rPr>
          <w:rFonts w:ascii="微软雅黑" w:hAnsi="微软雅黑" w:eastAsia="微软雅黑" w:cs="微软雅黑"/>
          <w:b/>
          <w:color w:val="000000"/>
          <w:sz w:val="20"/>
        </w:rPr>
        <w:t>深圳：202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4</w:t>
      </w:r>
      <w:r>
        <w:rPr>
          <w:rFonts w:ascii="微软雅黑" w:hAnsi="微软雅黑" w:eastAsia="微软雅黑" w:cs="微软雅黑"/>
          <w:b/>
          <w:color w:val="000000"/>
          <w:sz w:val="20"/>
        </w:rPr>
        <w:t>年0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3</w:t>
      </w:r>
      <w:r>
        <w:rPr>
          <w:rFonts w:ascii="微软雅黑" w:hAnsi="微软雅黑" w:eastAsia="微软雅黑" w:cs="微软雅黑"/>
          <w:b/>
          <w:color w:val="000000"/>
          <w:sz w:val="20"/>
        </w:rPr>
        <w:t>月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29</w:t>
      </w:r>
      <w:r>
        <w:rPr>
          <w:rFonts w:ascii="微软雅黑" w:hAnsi="微软雅黑" w:eastAsia="微软雅黑" w:cs="微软雅黑"/>
          <w:b/>
          <w:color w:val="000000"/>
          <w:sz w:val="20"/>
        </w:rPr>
        <w:t>日-</w:t>
      </w:r>
      <w:r>
        <w:rPr>
          <w:rFonts w:hint="eastAsia" w:ascii="微软雅黑" w:hAnsi="微软雅黑" w:eastAsia="微软雅黑" w:cs="微软雅黑"/>
          <w:b/>
          <w:color w:val="000000"/>
          <w:sz w:val="20"/>
          <w:lang w:val="en-US" w:eastAsia="zh-CN"/>
        </w:rPr>
        <w:t>30</w:t>
      </w:r>
      <w:r>
        <w:rPr>
          <w:rFonts w:ascii="微软雅黑" w:hAnsi="微软雅黑" w:eastAsia="微软雅黑" w:cs="微软雅黑"/>
          <w:b/>
          <w:color w:val="000000"/>
          <w:sz w:val="20"/>
        </w:rPr>
        <w:t>日</w:t>
      </w:r>
      <w:bookmarkStart w:id="1" w:name="_GoBack"/>
      <w:bookmarkEnd w:id="1"/>
    </w:p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课程概述/Overview</w:t>
      </w:r>
    </w:p>
    <w:p>
      <w:r>
        <w:rPr>
          <w:rFonts w:ascii="微软雅黑" w:hAnsi="微软雅黑" w:eastAsia="微软雅黑" w:cs="微软雅黑"/>
          <w:b/>
          <w:color w:val="000000"/>
          <w:sz w:val="22"/>
        </w:rPr>
        <w:t>课程</w:t>
      </w:r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特点</w:t>
      </w:r>
      <w:r>
        <w:rPr>
          <w:rFonts w:ascii="微软雅黑" w:hAnsi="微软雅黑" w:eastAsia="微软雅黑" w:cs="微软雅黑"/>
          <w:b/>
          <w:color w:val="000000"/>
          <w:sz w:val="22"/>
        </w:rPr>
        <w:t>：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  <w:lang w:val="en-US" w:eastAsia="zh-CN"/>
        </w:rPr>
        <w:t>1：</w:t>
      </w:r>
      <w:r>
        <w:rPr>
          <w:rFonts w:hint="eastAsia" w:ascii="微软雅黑" w:hAnsi="微软雅黑" w:eastAsia="微软雅黑" w:cs="微软雅黑"/>
          <w:sz w:val="20"/>
        </w:rPr>
        <w:t>课程框架：基于“战略·组织-人”等人力资源管理框架，串联定岗、定编、定级、定薪等组织变革核心机制设计；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  <w:lang w:val="en-US" w:eastAsia="zh-CN"/>
        </w:rPr>
        <w:t>2：</w:t>
      </w:r>
      <w:r>
        <w:rPr>
          <w:rFonts w:hint="eastAsia" w:ascii="微软雅黑" w:hAnsi="微软雅黑" w:eastAsia="微软雅黑" w:cs="微软雅黑"/>
          <w:sz w:val="20"/>
        </w:rPr>
        <w:t>课程案例：来自高科技、医药、互联网、软件、新能源、电商、通讯等多个行业的大中型企业实践经验；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  <w:lang w:val="en-US" w:eastAsia="zh-CN"/>
        </w:rPr>
        <w:t>3：</w:t>
      </w:r>
      <w:r>
        <w:rPr>
          <w:rFonts w:hint="eastAsia" w:ascii="微软雅黑" w:hAnsi="微软雅黑" w:eastAsia="微软雅黑" w:cs="微软雅黑"/>
          <w:sz w:val="20"/>
        </w:rPr>
        <w:t>工具方法：课程针对关键知识点讲解相关的方法/工具/模版；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  <w:lang w:val="en-US" w:eastAsia="zh-CN"/>
        </w:rPr>
        <w:t>4：</w:t>
      </w:r>
      <w:r>
        <w:rPr>
          <w:rFonts w:hint="eastAsia" w:ascii="微软雅黑" w:hAnsi="微软雅黑" w:eastAsia="微软雅黑" w:cs="微软雅黑"/>
          <w:sz w:val="20"/>
        </w:rPr>
        <w:t>课堂练习：提供定岗定编定级定薪的定向及综合案例练习。</w:t>
      </w:r>
    </w:p>
    <w:p/>
    <w:p/>
    <w:p>
      <w:r>
        <w:rPr>
          <w:rFonts w:ascii="微软雅黑" w:hAnsi="微软雅黑" w:eastAsia="微软雅黑" w:cs="微软雅黑"/>
          <w:b/>
          <w:color w:val="000000"/>
          <w:sz w:val="22"/>
        </w:rPr>
        <w:t>课程对象：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 w:line="360" w:lineRule="auto"/>
        <w:jc w:val="both"/>
      </w:pPr>
      <w:r>
        <w:rPr>
          <w:rFonts w:ascii="微软雅黑" w:hAnsi="微软雅黑" w:eastAsia="微软雅黑" w:cs="微软雅黑"/>
          <w:sz w:val="20"/>
        </w:rPr>
        <w:t>HRD</w:t>
      </w:r>
      <w:r>
        <w:rPr>
          <w:rFonts w:hint="eastAsia" w:ascii="微软雅黑" w:hAnsi="微软雅黑" w:eastAsia="微软雅黑" w:cs="微软雅黑"/>
          <w:sz w:val="20"/>
        </w:rPr>
        <w:t>，HRBP，OD及C&amp;B负责人</w:t>
      </w:r>
    </w:p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课程大纲/Outline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1：</w:t>
      </w:r>
      <w:r>
        <w:rPr>
          <w:rFonts w:hint="eastAsia" w:ascii="微软雅黑" w:hAnsi="微软雅黑" w:eastAsia="微软雅黑" w:cs="微软雅黑"/>
          <w:b/>
          <w:color w:val="000000"/>
          <w:sz w:val="22"/>
        </w:rPr>
        <w:t>组织变革及实践方法 1.5H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组织变革契机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组织变革失败原因</w:t>
      </w:r>
    </w:p>
    <w:p>
      <w:pPr>
        <w:numPr>
          <w:ilvl w:val="0"/>
          <w:numId w:val="1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组织变革成功八步法，步骤及示例</w:t>
      </w:r>
    </w:p>
    <w:p>
      <w:pPr>
        <w:rPr>
          <w:rFonts w:hint="eastAsia" w:ascii="微软雅黑" w:hAnsi="微软雅黑" w:eastAsia="微软雅黑" w:cs="微软雅黑"/>
          <w:color w:val="0000FF"/>
          <w:sz w:val="20"/>
        </w:rPr>
      </w:pPr>
      <w:r>
        <w:rPr>
          <w:rFonts w:hint="eastAsia" w:ascii="微软雅黑" w:hAnsi="微软雅黑" w:eastAsia="微软雅黑" w:cs="微软雅黑"/>
          <w:color w:val="0000FF"/>
          <w:sz w:val="20"/>
        </w:rPr>
        <w:t>【示范】基于案例设计组织变革路线图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2：</w:t>
      </w:r>
      <w:r>
        <w:rPr>
          <w:rFonts w:hint="eastAsia" w:ascii="微软雅黑" w:hAnsi="微软雅黑" w:eastAsia="微软雅黑" w:cs="微软雅黑"/>
          <w:b/>
          <w:color w:val="000000"/>
          <w:sz w:val="22"/>
        </w:rPr>
        <w:t>定岗：组织与职位设计  5H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战略澄清与影响组织架构的权变因素分析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组织架构的基本模式及进化，分析及示例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部门职责澄清、管理幅度及权限设计，方法及示例</w:t>
      </w:r>
    </w:p>
    <w:p>
      <w:pPr>
        <w:numPr>
          <w:ilvl w:val="0"/>
          <w:numId w:val="2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部门职责分配到岗位</w:t>
      </w:r>
    </w:p>
    <w:p>
      <w:pPr>
        <w:numPr>
          <w:ilvl w:val="0"/>
          <w:numId w:val="3"/>
        </w:numPr>
        <w:ind w:left="0" w:leftChars="0" w:firstLine="400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岗位设计方法及示例</w:t>
      </w:r>
    </w:p>
    <w:p>
      <w:pPr>
        <w:numPr>
          <w:ilvl w:val="0"/>
          <w:numId w:val="3"/>
        </w:numPr>
        <w:ind w:left="0" w:leftChars="0" w:firstLine="400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岗位优化的核心问题及示例</w:t>
      </w:r>
    </w:p>
    <w:p>
      <w:pPr>
        <w:numPr>
          <w:ilvl w:val="0"/>
          <w:numId w:val="3"/>
        </w:numPr>
        <w:ind w:left="0" w:leftChars="0" w:firstLine="400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岗位设计新发展，模式及示例</w:t>
      </w:r>
    </w:p>
    <w:p>
      <w:pPr>
        <w:numPr>
          <w:ilvl w:val="0"/>
          <w:numId w:val="3"/>
        </w:numPr>
        <w:ind w:left="0" w:leftChars="0" w:firstLine="400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职责澄清并编写岗位说明书，模版及示例</w:t>
      </w:r>
    </w:p>
    <w:p>
      <w:pPr>
        <w:rPr>
          <w:rFonts w:hint="eastAsia" w:ascii="微软雅黑" w:hAnsi="微软雅黑" w:eastAsia="微软雅黑" w:cs="微软雅黑"/>
          <w:color w:val="0000FF"/>
          <w:sz w:val="20"/>
        </w:rPr>
      </w:pPr>
      <w:r>
        <w:rPr>
          <w:rFonts w:hint="eastAsia" w:ascii="微软雅黑" w:hAnsi="微软雅黑" w:eastAsia="微软雅黑" w:cs="微软雅黑"/>
          <w:color w:val="0000FF"/>
          <w:sz w:val="20"/>
        </w:rPr>
        <w:t>【演练】基于案例分析现有组织架构及职位设计存在问题及改进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3：</w:t>
      </w:r>
      <w:r>
        <w:rPr>
          <w:rFonts w:hint="eastAsia" w:ascii="微软雅黑" w:hAnsi="微软雅黑" w:eastAsia="微软雅黑" w:cs="微软雅黑"/>
          <w:b/>
          <w:color w:val="000000"/>
          <w:sz w:val="22"/>
        </w:rPr>
        <w:t>定编：编制规划与动态管控 2H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编制管控的四种典型情形</w:t>
      </w:r>
    </w:p>
    <w:p>
      <w:pPr>
        <w:numPr>
          <w:ilvl w:val="0"/>
          <w:numId w:val="4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定编方法及示例</w:t>
      </w:r>
    </w:p>
    <w:p>
      <w:pPr>
        <w:numPr>
          <w:ilvl w:val="0"/>
          <w:numId w:val="5"/>
        </w:numPr>
        <w:ind w:left="0" w:leftChars="0" w:firstLine="400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战略预测法</w:t>
      </w:r>
    </w:p>
    <w:p>
      <w:pPr>
        <w:numPr>
          <w:ilvl w:val="0"/>
          <w:numId w:val="5"/>
        </w:numPr>
        <w:ind w:left="0" w:leftChars="0" w:firstLine="400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业务数据分析法</w:t>
      </w:r>
    </w:p>
    <w:p>
      <w:pPr>
        <w:numPr>
          <w:ilvl w:val="0"/>
          <w:numId w:val="5"/>
        </w:numPr>
        <w:ind w:left="0" w:leftChars="0" w:firstLine="400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行业比例法</w:t>
      </w:r>
    </w:p>
    <w:p>
      <w:pPr>
        <w:numPr>
          <w:ilvl w:val="0"/>
          <w:numId w:val="5"/>
        </w:numPr>
        <w:ind w:left="0" w:leftChars="0" w:firstLine="400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劳动定额法</w:t>
      </w:r>
    </w:p>
    <w:p>
      <w:pPr>
        <w:numPr>
          <w:ilvl w:val="0"/>
          <w:numId w:val="5"/>
        </w:numPr>
        <w:ind w:left="0" w:leftChars="0" w:firstLine="400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流程分析与职责分工法</w:t>
      </w:r>
    </w:p>
    <w:p>
      <w:pPr>
        <w:numPr>
          <w:ilvl w:val="0"/>
          <w:numId w:val="5"/>
        </w:numPr>
        <w:ind w:left="0" w:leftChars="0" w:firstLine="400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德尔菲法</w:t>
      </w:r>
    </w:p>
    <w:p>
      <w:pPr>
        <w:numPr>
          <w:ilvl w:val="0"/>
          <w:numId w:val="5"/>
        </w:numPr>
        <w:ind w:left="0" w:leftChars="0" w:firstLine="400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预算控制法</w:t>
      </w:r>
    </w:p>
    <w:p>
      <w:pPr>
        <w:numPr>
          <w:ilvl w:val="0"/>
          <w:numId w:val="5"/>
        </w:numPr>
        <w:ind w:left="0" w:leftChars="0" w:firstLine="400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定编程序和实施方法</w:t>
      </w:r>
    </w:p>
    <w:p>
      <w:pPr>
        <w:rPr>
          <w:rFonts w:hint="eastAsia" w:ascii="微软雅黑" w:hAnsi="微软雅黑" w:eastAsia="微软雅黑" w:cs="微软雅黑"/>
          <w:color w:val="0000FF"/>
          <w:sz w:val="20"/>
        </w:rPr>
      </w:pPr>
      <w:r>
        <w:rPr>
          <w:rFonts w:hint="eastAsia" w:ascii="微软雅黑" w:hAnsi="微软雅黑" w:eastAsia="微软雅黑" w:cs="微软雅黑"/>
          <w:color w:val="0000FF"/>
          <w:sz w:val="20"/>
        </w:rPr>
        <w:t>【演练】基于案例设计各类岗位编制管控方法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4：</w:t>
      </w:r>
      <w:r>
        <w:rPr>
          <w:rFonts w:hint="eastAsia" w:ascii="微软雅黑" w:hAnsi="微软雅黑" w:eastAsia="微软雅黑" w:cs="微软雅黑"/>
          <w:b/>
          <w:color w:val="000000"/>
          <w:sz w:val="22"/>
        </w:rPr>
        <w:t>定级：职位评估与人岗匹配 2.5H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职位评估原则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 xml:space="preserve">职位评估方法介绍  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国际职位评估方法（IPE）概述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国际职位评估因素讲解与练习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职位评估过程&amp;组织</w:t>
      </w:r>
    </w:p>
    <w:p>
      <w:pPr>
        <w:numPr>
          <w:ilvl w:val="0"/>
          <w:numId w:val="6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人岗匹配规则与实施步骤</w:t>
      </w:r>
    </w:p>
    <w:p>
      <w:pPr>
        <w:rPr>
          <w:rFonts w:hint="eastAsia" w:ascii="微软雅黑" w:hAnsi="微软雅黑" w:eastAsia="微软雅黑" w:cs="微软雅黑"/>
          <w:color w:val="0000FF"/>
          <w:sz w:val="20"/>
        </w:rPr>
      </w:pPr>
      <w:r>
        <w:rPr>
          <w:rFonts w:hint="eastAsia" w:ascii="微软雅黑" w:hAnsi="微软雅黑" w:eastAsia="微软雅黑" w:cs="微软雅黑"/>
          <w:color w:val="0000FF"/>
          <w:sz w:val="20"/>
        </w:rPr>
        <w:t>【演练】基于案例进行职位评估练习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5：</w:t>
      </w:r>
      <w:r>
        <w:rPr>
          <w:rFonts w:hint="eastAsia" w:ascii="微软雅黑" w:hAnsi="微软雅黑" w:eastAsia="微软雅黑" w:cs="微软雅黑"/>
          <w:b/>
          <w:color w:val="000000"/>
          <w:sz w:val="22"/>
        </w:rPr>
        <w:t>定薪：薪酬激励组合设计与薪酬套改1.5H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整体薪酬设计要点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付薪理念、薪酬策略与薪酬组合设计，要素及示例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薪酬套改规则与调薪矩阵设计，示例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激励方案整合设计要点及示例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福利体系融合设计要点及示例</w:t>
      </w:r>
    </w:p>
    <w:p>
      <w:pPr>
        <w:rPr>
          <w:rFonts w:hint="eastAsia" w:ascii="微软雅黑" w:hAnsi="微软雅黑" w:eastAsia="微软雅黑" w:cs="微软雅黑"/>
          <w:color w:val="0000FF"/>
          <w:sz w:val="20"/>
        </w:rPr>
      </w:pPr>
      <w:r>
        <w:rPr>
          <w:rFonts w:hint="eastAsia" w:ascii="微软雅黑" w:hAnsi="微软雅黑" w:eastAsia="微软雅黑" w:cs="微软雅黑"/>
          <w:color w:val="0000FF"/>
          <w:sz w:val="20"/>
        </w:rPr>
        <w:t>【示范】基于案例设计薪酬策略与薪酬激励组合方案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  <w:lang w:val="en-US" w:eastAsia="zh-CN"/>
        </w:rPr>
        <w:t>6：</w:t>
      </w:r>
      <w:r>
        <w:rPr>
          <w:rFonts w:hint="eastAsia" w:ascii="微软雅黑" w:hAnsi="微软雅黑" w:eastAsia="微软雅黑" w:cs="微软雅黑"/>
          <w:b/>
          <w:color w:val="000000"/>
          <w:sz w:val="22"/>
        </w:rPr>
        <w:t xml:space="preserve">总结、Q&amp;A  0.5H </w:t>
      </w:r>
    </w:p>
    <w:p>
      <w:pPr>
        <w:rPr>
          <w:rFonts w:hint="eastAsia" w:ascii="微软雅黑" w:hAnsi="微软雅黑" w:eastAsia="微软雅黑" w:cs="微软雅黑"/>
          <w:sz w:val="20"/>
        </w:rPr>
      </w:pPr>
    </w:p>
    <w:p/>
    <w:p/>
    <w:p/>
    <w:p>
      <w:r>
        <w:rPr>
          <w:rFonts w:ascii="微软雅黑" w:hAnsi="微软雅黑" w:eastAsia="微软雅黑" w:cs="微软雅黑"/>
          <w:b/>
          <w:color w:val="2E74B5"/>
          <w:sz w:val="26"/>
        </w:rPr>
        <w:t>讲师介绍/Lecturer</w:t>
      </w:r>
    </w:p>
    <w:p>
      <w:pPr>
        <w:keepNext w:val="0"/>
        <w:keepLines w:val="0"/>
        <w:widowControl/>
        <w:suppressLineNumbers w:val="0"/>
        <w:jc w:val="left"/>
      </w:pPr>
      <w:r>
        <w:rPr>
          <w:rFonts w:ascii="微软雅黑" w:hAnsi="微软雅黑" w:eastAsia="微软雅黑" w:cs="微软雅黑"/>
          <w:b/>
          <w:color w:val="000000"/>
          <w:sz w:val="22"/>
          <w:lang w:val="en-US" w:eastAsia="zh-CN"/>
        </w:rPr>
        <w:t>赵惠颖</w:t>
      </w:r>
    </w:p>
    <w:p>
      <w:pPr>
        <w:pStyle w:val="5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between w:val="none" w:color="auto" w:sz="0" w:space="0"/>
        </w:pBdr>
        <w:spacing w:before="0" w:beforeAutospacing="0" w:after="0" w:afterAutospacing="0"/>
      </w:pPr>
      <w:r>
        <w:drawing>
          <wp:inline distT="0" distB="0" distL="114300" distR="114300">
            <wp:extent cx="1808480" cy="1819910"/>
            <wp:effectExtent l="0" t="0" r="1270" b="889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808480" cy="1819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/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组织&amp;人效提升实战专家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薪酬绩效实战专家</w:t>
      </w:r>
    </w:p>
    <w:p>
      <w:pPr>
        <w:rPr>
          <w:rFonts w:hint="eastAsia" w:ascii="微软雅黑" w:hAnsi="微软雅黑" w:eastAsia="微软雅黑" w:cs="微软雅黑"/>
          <w:sz w:val="20"/>
        </w:rPr>
      </w:pP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职业经历</w:t>
      </w:r>
      <w:r>
        <w:rPr>
          <w:rFonts w:hint="eastAsia" w:ascii="微软雅黑" w:hAnsi="微软雅黑" w:eastAsia="微软雅黑" w:cs="微软雅黑"/>
          <w:sz w:val="20"/>
        </w:rPr>
        <w:t>：首席咨询师，金风国际、众生药业等公司人力资源管理顾问；曾任致璞科技HRVP、金立集团HRD、华润三九薪酬绩效经理、平安人寿培训经理等职。</w:t>
      </w:r>
    </w:p>
    <w:p>
      <w:pPr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专业领域</w:t>
      </w:r>
      <w:r>
        <w:rPr>
          <w:rFonts w:hint="eastAsia" w:ascii="微软雅黑" w:hAnsi="微软雅黑" w:eastAsia="微软雅黑" w:cs="微软雅黑"/>
          <w:sz w:val="20"/>
        </w:rPr>
        <w:t>：擅长组织、职位及任职资格管理、薪酬激励体系设计、股权及中长期激励方案设计、绩效管理体系设计；熟悉高科技制造、互联网、医药、金融等行业人力资源管理特点，有超过50家国企、民企及外企人力资源变革项目设计及实施的成功经验，善于寻找企业人力资源管理问题的“根本解”并制定因地制宜的实施方案。</w:t>
      </w: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咨询业务范围：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战略性人力资源规划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人力资源集团化管控机制设计与实施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组织架构及职位职级体系搭建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薪酬福利体系搭建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干部&amp;关键人才管理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全员绩效管理机机制设计与实施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短期激励方案设计与实施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股权激励方案设计与实施</w:t>
      </w:r>
    </w:p>
    <w:p>
      <w:pPr>
        <w:numPr>
          <w:ilvl w:val="0"/>
          <w:numId w:val="7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其他人力资源专项工作</w:t>
      </w:r>
    </w:p>
    <w:p>
      <w:pPr>
        <w:rPr>
          <w:rFonts w:hint="eastAsia" w:ascii="微软雅黑" w:hAnsi="微软雅黑" w:eastAsia="微软雅黑" w:cs="微软雅黑"/>
          <w:sz w:val="20"/>
        </w:rPr>
      </w:pPr>
    </w:p>
    <w:p>
      <w:pPr>
        <w:rPr>
          <w:rFonts w:hint="eastAsia" w:ascii="微软雅黑" w:hAnsi="微软雅黑" w:eastAsia="微软雅黑" w:cs="微软雅黑"/>
          <w:b/>
          <w:color w:val="000000"/>
          <w:sz w:val="22"/>
        </w:rPr>
      </w:pPr>
      <w:r>
        <w:rPr>
          <w:rFonts w:hint="eastAsia" w:ascii="微软雅黑" w:hAnsi="微软雅黑" w:eastAsia="微软雅黑" w:cs="微软雅黑"/>
          <w:b/>
          <w:color w:val="000000"/>
          <w:sz w:val="22"/>
        </w:rPr>
        <w:t>主讲课程：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人效分析与提升：打造价值链共赢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组织变革四定：定岗定编定级定薪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降本增效：业务及人力资源行动指南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组织架构设计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职位设计与职位评估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任职资格敏捷建模与实践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战略性薪酬规划与全面预算管理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薪酬架构设计与薪酬管理实务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销售、研发、生产、高管等关键业务团队短期激励方案设计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中长期及股权激励方案设计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战略性绩效管理体系构建与实施（HR）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绩效管理实务（业务）</w:t>
      </w:r>
    </w:p>
    <w:p>
      <w:pPr>
        <w:numPr>
          <w:ilvl w:val="0"/>
          <w:numId w:val="8"/>
        </w:numPr>
        <w:ind w:left="425" w:leftChars="0" w:hanging="425" w:firstLineChars="0"/>
        <w:rPr>
          <w:rFonts w:hint="eastAsia" w:ascii="微软雅黑" w:hAnsi="微软雅黑" w:eastAsia="微软雅黑" w:cs="微软雅黑"/>
          <w:sz w:val="20"/>
        </w:rPr>
      </w:pPr>
      <w:r>
        <w:rPr>
          <w:rFonts w:hint="eastAsia" w:ascii="微软雅黑" w:hAnsi="微软雅黑" w:eastAsia="微软雅黑" w:cs="微软雅黑"/>
          <w:sz w:val="20"/>
        </w:rPr>
        <w:t>OKR敏捷绩效管理实践</w:t>
      </w:r>
    </w:p>
    <w:p>
      <w:pPr>
        <w:rPr>
          <w:rFonts w:hint="eastAsia" w:ascii="微软雅黑" w:hAnsi="微软雅黑" w:eastAsia="微软雅黑" w:cs="微软雅黑"/>
          <w:sz w:val="20"/>
        </w:rPr>
      </w:pPr>
    </w:p>
    <w:sectPr>
      <w:headerReference r:id="rId4" w:type="first"/>
      <w:headerReference r:id="rId3" w:type="default"/>
      <w:type w:val="continuous"/>
      <w:pgSz w:w="11906" w:h="16838"/>
      <w:pgMar w:top="1440" w:right="1080" w:bottom="1440" w:left="1080" w:header="851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single" w:color="D8D8D8" w:themeColor="background1" w:themeShade="D9" w:sz="6" w:space="8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1BFF291"/>
    <w:multiLevelType w:val="singleLevel"/>
    <w:tmpl w:val="81BFF291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1">
    <w:nsid w:val="B3415FB5"/>
    <w:multiLevelType w:val="singleLevel"/>
    <w:tmpl w:val="B3415FB5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2">
    <w:nsid w:val="BD77318F"/>
    <w:multiLevelType w:val="singleLevel"/>
    <w:tmpl w:val="BD77318F"/>
    <w:lvl w:ilvl="0" w:tentative="0">
      <w:start w:val="1"/>
      <w:numFmt w:val="decimalEnclosedCircleChinese"/>
      <w:suff w:val="nothing"/>
      <w:lvlText w:val="%1　"/>
      <w:lvlJc w:val="left"/>
      <w:pPr>
        <w:ind w:left="0" w:firstLine="400"/>
      </w:pPr>
      <w:rPr>
        <w:rFonts w:hint="eastAsia"/>
      </w:rPr>
    </w:lvl>
  </w:abstractNum>
  <w:abstractNum w:abstractNumId="3">
    <w:nsid w:val="FA769A54"/>
    <w:multiLevelType w:val="singleLevel"/>
    <w:tmpl w:val="FA769A54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4">
    <w:nsid w:val="0A9FDE43"/>
    <w:multiLevelType w:val="singleLevel"/>
    <w:tmpl w:val="0A9FDE43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5">
    <w:nsid w:val="28F340FF"/>
    <w:multiLevelType w:val="singleLevel"/>
    <w:tmpl w:val="28F340F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6">
    <w:nsid w:val="2D26682E"/>
    <w:multiLevelType w:val="singleLevel"/>
    <w:tmpl w:val="2D26682E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abstractNum w:abstractNumId="7">
    <w:nsid w:val="62291C3F"/>
    <w:multiLevelType w:val="singleLevel"/>
    <w:tmpl w:val="62291C3F"/>
    <w:lvl w:ilvl="0" w:tentative="0">
      <w:start w:val="1"/>
      <w:numFmt w:val="decimal"/>
      <w:lvlText w:val="(%1)"/>
      <w:lvlJc w:val="left"/>
      <w:pPr>
        <w:ind w:left="425" w:hanging="425"/>
      </w:pPr>
      <w:rPr>
        <w:rFonts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5"/>
  <w:bordersDoNotSurroundHeader w:val="0"/>
  <w:bordersDoNotSurroundFooter w:val="0"/>
  <w:doNotTrackMoves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ZhOTVjN2RhYTBmYWMwOTc3NWVmZTAxMzA1ZDdmMjIifQ=="/>
  </w:docVars>
  <w:rsids>
    <w:rsidRoot w:val="00000000"/>
    <w:rsid w:val="12383D68"/>
    <w:rsid w:val="17D643B5"/>
    <w:rsid w:val="1AA04031"/>
    <w:rsid w:val="45BA48E7"/>
  </w:rsids>
  <m:mathPr>
    <m:mathFont m:val="Cambria Math"/>
    <m:brkBin m:val="before"/>
    <m:brkBinSub m:val="--"/>
    <m:smallFrac m:val="0"/>
    <m:dispDef/>
    <m:lMargin m:val="0"/>
    <m:rMargin m:val="0"/>
    <m:defJc m:val="centerGroup"/>
    <m:preSp m:val="0"/>
    <m:postSp m:val="0"/>
    <m:interSp m:val="0"/>
    <m:intraSp m:val="0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nhideWhenUsed="0" w:uiPriority="99" w:semiHidden="0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nhideWhenUsed="0" w:uiPriority="99" w:semiHidden="0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widowControl/>
      <w:spacing w:before="240" w:after="60"/>
      <w:jc w:val="left"/>
      <w:outlineLvl w:val="2"/>
    </w:pPr>
    <w:rPr>
      <w:rFonts w:ascii="Arial" w:hAnsi="Arial"/>
      <w:b/>
      <w:bCs/>
      <w:kern w:val="0"/>
      <w:sz w:val="26"/>
      <w:szCs w:val="26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semiHidden/>
    <w:unhideWhenUsed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9">
    <w:name w:val="页眉 字符"/>
    <w:basedOn w:val="8"/>
    <w:qFormat/>
    <w:uiPriority w:val="99"/>
    <w:rPr>
      <w:sz w:val="18"/>
      <w:szCs w:val="18"/>
    </w:rPr>
  </w:style>
  <w:style w:type="character" w:customStyle="1" w:styleId="10">
    <w:name w:val="页脚 字符"/>
    <w:basedOn w:val="8"/>
    <w:qFormat/>
    <w:uiPriority w:val="99"/>
    <w:rPr>
      <w:sz w:val="18"/>
      <w:szCs w:val="18"/>
    </w:rPr>
  </w:style>
  <w:style w:type="table" w:customStyle="1" w:styleId="11">
    <w:name w:val="无格式表格 11"/>
    <w:basedOn w:val="6"/>
    <w:qFormat/>
    <w:uiPriority w:val="41"/>
    <w:tblPr>
      <w:tblBorders>
        <w:top w:val="single" w:color="BEBEBE" w:themeColor="background1" w:themeShade="BF" w:sz="4" w:space="0"/>
        <w:left w:val="single" w:color="BEBEBE" w:themeColor="background1" w:themeShade="BF" w:sz="4" w:space="0"/>
        <w:bottom w:val="single" w:color="BEBEBE" w:themeColor="background1" w:themeShade="BF" w:sz="4" w:space="0"/>
        <w:right w:val="single" w:color="BEBEBE" w:themeColor="background1" w:themeShade="BF" w:sz="4" w:space="0"/>
        <w:insideH w:val="single" w:color="BEBEBE" w:themeColor="background1" w:themeShade="BF" w:sz="4" w:space="0"/>
        <w:insideV w:val="single" w:color="BEBEBE" w:themeColor="background1" w:themeShade="BF" w:sz="4" w:space="0"/>
      </w:tblBorders>
    </w:tblPr>
    <w:tblStylePr w:type="firstRow">
      <w:rPr>
        <w:b/>
        <w:bCs/>
      </w:rPr>
    </w:tblStylePr>
    <w:tblStylePr w:type="lastRow">
      <w:rPr>
        <w:b/>
        <w:bCs/>
      </w:rPr>
      <w:tcPr>
        <w:tcBorders>
          <w:top w:val="double" w:color="BEBEBE" w:themeColor="background1" w:themeShade="BF" w:sz="4" w:space="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cPr>
        <w:shd w:val="clear" w:color="auto" w:fill="F2F2F2"/>
      </w:tcPr>
    </w:tblStylePr>
    <w:tblStylePr w:type="band1Horz">
      <w:tcPr>
        <w:shd w:val="clear" w:color="auto" w:fill="F2F2F2"/>
      </w:tcPr>
    </w:tblStyle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paragraph" w:customStyle="1" w:styleId="13">
    <w:name w:val="列出段落1"/>
    <w:basedOn w:val="1"/>
    <w:qFormat/>
    <w:uiPriority w:val="99"/>
    <w:pPr>
      <w:ind w:firstLine="420" w:firstLineChars="200"/>
    </w:pPr>
  </w:style>
  <w:style w:type="paragraph" w:customStyle="1" w:styleId="14">
    <w:name w:val="p0"/>
    <w:basedOn w:val="1"/>
    <w:qFormat/>
    <w:uiPriority w:val="99"/>
    <w:pPr>
      <w:widowControl/>
    </w:pPr>
    <w:rPr>
      <w:rFonts w:ascii="Times New Roman" w:hAnsi="Times New Roman"/>
      <w:kern w:val="0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2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4.xml"/><Relationship Id="rId10" Type="http://schemas.openxmlformats.org/officeDocument/2006/relationships/customXml" Target="../customXml/item3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Shen Penny</dc:creator>
  <cp:lastModifiedBy>Shen Penny</cp:lastModifiedBy>
  <cp:revision>229</cp:revision>
  <dcterms:created xsi:type="dcterms:W3CDTF">2021-12-30T11:55:00Z</dcterms:created>
  <dcterms:modified xsi:type="dcterms:W3CDTF">2023-01-13T01:40:00Z</dcterms:modified>
</cp:coreProperties>
</file>

<file path=customXml/item2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</Words>
  <Characters>69</Characters>
  <Application>Microsoft Office Word</Application>
  <DocSecurity>0</DocSecurity>
  <Lines>1</Lines>
  <Paragraphs>1</Paragraphs>
  <ScaleCrop>false</ScaleCrop>
  <Company/>
  <LinksUpToDate>false</LinksUpToDate>
  <CharactersWithSpaces>80</CharactersWithSpaces>
  <SharedDoc>false</SharedDoc>
  <HyperlinksChanged>false</HyperlinksChanged>
  <AppVersion>16.0000</AppVersion>
</Properties>
</file>

<file path=customXml/item3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E1FDD09F4F6D45E0A9385DA46B82129B</vt:lpwstr>
  </property>
</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0a23f-6d5e-4603-83fc-20e6d9c0822f}">
  <ds:schemaRefs/>
</ds:datastoreItem>
</file>

<file path=customXml/itemProps2.xml><?xml version="1.0" encoding="utf-8"?>
<ds:datastoreItem xmlns:ds="http://schemas.openxmlformats.org/officeDocument/2006/customXml" ds:itemID="{eb13f2b9-7468-40d8-bb6f-8a24ebb0c5ed}">
  <ds:schemaRefs/>
</ds:datastoreItem>
</file>

<file path=customXml/itemProps3.xml><?xml version="1.0" encoding="utf-8"?>
<ds:datastoreItem xmlns:ds="http://schemas.openxmlformats.org/officeDocument/2006/customXml" ds:itemID="{46ba7dd2-3d0e-4d58-88cf-ebcd9aff8a11}">
  <ds:schemaRefs/>
</ds:datastoreItem>
</file>

<file path=customXml/itemProps4.xml><?xml version="1.0" encoding="utf-8"?>
<ds:datastoreItem xmlns:ds="http://schemas.openxmlformats.org/officeDocument/2006/customXml" ds:itemID="{4943E5E0-F2EA-4BA1-BC14-B3A66A82A14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</Words>
  <Characters>69</Characters>
  <Lines>1</Lines>
  <Paragraphs>1</Paragraphs>
  <TotalTime>1</TotalTime>
  <ScaleCrop>false</ScaleCrop>
  <LinksUpToDate>false</LinksUpToDate>
  <CharactersWithSpaces>80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2021-12-30T11:55:00Z</dcterms:created>
  <dc:creator>Shen Penny</dc:creator>
  <cp:lastModifiedBy>章跃龙</cp:lastModifiedBy>
  <dcterms:modified xsi:type="dcterms:W3CDTF">2023-11-02T05:56:39Z</dcterms:modified>
  <cp:revision>229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DE04D4F9F3634A22A23AA6F5EBAFCCB4_13</vt:lpwstr>
  </property>
</Properties>
</file>