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胜任力</w:t>
      </w: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建模与任职资格体系构建</w:t>
      </w:r>
    </w:p>
    <w:p>
      <w:pPr>
        <w:snapToGrid w:val="0"/>
        <w:rPr>
          <w:rFonts w:ascii="微软雅黑" w:hAnsi="微软雅黑" w:eastAsia="微软雅黑"/>
          <w:sz w:val="20"/>
          <w:szCs w:val="20"/>
        </w:rPr>
      </w:pPr>
    </w:p>
    <w:tbl>
      <w:tblPr>
        <w:tblStyle w:val="6"/>
        <w:tblW w:w="0" w:type="auto"/>
        <w:jc w:val="center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讲师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/Lecturer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林丽萍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费用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/Price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¥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528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0元</w:t>
            </w:r>
            <w:r>
              <w:rPr>
                <w:rFonts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655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企业团报/提前15天报名课联系顾问了解优惠价</w:t>
            </w:r>
          </w:p>
        </w:tc>
      </w:tr>
    </w:tbl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rPr>
          <w:rFonts w:ascii="微软雅黑" w:hAnsi="微软雅黑" w:eastAsia="微软雅黑" w:cs="微软雅黑"/>
          <w:color w:val="2E74B5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课程排期/</w:t>
      </w:r>
      <w:r>
        <w:rPr>
          <w:rFonts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Scheduling</w:t>
      </w:r>
    </w:p>
    <w:p>
      <w:pPr>
        <w:pStyle w:val="11"/>
        <w:ind w:firstLine="0" w:firstLineChars="0"/>
        <w:rPr>
          <w:rFonts w:ascii="微软雅黑" w:hAnsi="微软雅黑" w:eastAsia="微软雅黑"/>
          <w:color w:val="595959"/>
          <w:sz w:val="16"/>
          <w:szCs w:val="16"/>
        </w:rPr>
      </w:pPr>
    </w:p>
    <w:p>
      <w:r>
        <w:rPr>
          <w:rFonts w:ascii="微软雅黑" w:hAnsi="微软雅黑" w:eastAsia="微软雅黑" w:cs="微软雅黑"/>
          <w:b/>
          <w:color w:val="000000"/>
          <w:sz w:val="20"/>
        </w:rPr>
        <w:t>北京：202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4</w:t>
      </w:r>
      <w:r>
        <w:rPr>
          <w:rFonts w:ascii="微软雅黑" w:hAnsi="微软雅黑" w:eastAsia="微软雅黑" w:cs="微软雅黑"/>
          <w:b/>
          <w:color w:val="000000"/>
          <w:sz w:val="20"/>
        </w:rPr>
        <w:t>年0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8</w:t>
      </w:r>
      <w:r>
        <w:rPr>
          <w:rFonts w:ascii="微软雅黑" w:hAnsi="微软雅黑" w:eastAsia="微软雅黑" w:cs="微软雅黑"/>
          <w:b/>
          <w:color w:val="000000"/>
          <w:sz w:val="20"/>
        </w:rPr>
        <w:t>月16日-17日</w:t>
      </w:r>
    </w:p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课程概述/Overview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课程背景：</w:t>
      </w:r>
    </w:p>
    <w:p>
      <w:pPr>
        <w:widowControl/>
        <w:autoSpaceDE w:val="0"/>
        <w:autoSpaceDN w:val="0"/>
        <w:adjustRightInd w:val="0"/>
        <w:spacing w:after="240" w:line="400" w:lineRule="atLeast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</w:rPr>
        <w:t>业务快速发展下，出现人才断层，没有人才梯队怎么办？好像一直在做人才发展，但不知道标准是什么？发展成什么样才到位？招人的时候要招什么样的人才是符合企业需要的呢？HR在做人才的选育用留时没有一个共同的标准怎么办？现有老员工对职业发展充满期待，如何做晋升呢？有晋升的标准吗？</w:t>
      </w:r>
    </w:p>
    <w:p>
      <w:pPr>
        <w:widowControl/>
        <w:autoSpaceDE w:val="0"/>
        <w:autoSpaceDN w:val="0"/>
        <w:adjustRightInd w:val="0"/>
        <w:spacing w:after="240" w:line="400" w:lineRule="atLeast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学会用胜任力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模型与任职资格体系</w:t>
      </w:r>
      <w:r>
        <w:rPr>
          <w:rFonts w:hint="eastAsia" w:ascii="微软雅黑" w:hAnsi="微软雅黑" w:eastAsia="微软雅黑" w:cs="STHeiti"/>
          <w:color w:val="000000"/>
          <w:kern w:val="0"/>
        </w:rPr>
        <w:t>来建立企业的人才标准，并用企业自身的人才标准快速识别及培养有用的人才，为人才发展培养奠定基础，打造企业人才供应链。</w:t>
      </w:r>
    </w:p>
    <w:p/>
    <w:p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课程亮点</w:t>
      </w:r>
      <w:r>
        <w:rPr>
          <w:rFonts w:ascii="微软雅黑" w:hAnsi="微软雅黑" w:eastAsia="微软雅黑" w:cs="微软雅黑"/>
          <w:b/>
          <w:color w:val="000000"/>
          <w:sz w:val="22"/>
        </w:rPr>
        <w:t>：</w:t>
      </w:r>
    </w:p>
    <w:p>
      <w:pPr>
        <w:widowControl/>
        <w:autoSpaceDE w:val="0"/>
        <w:autoSpaceDN w:val="0"/>
        <w:adjustRightInd w:val="0"/>
        <w:spacing w:after="240" w:line="400" w:lineRule="atLeast"/>
        <w:jc w:val="left"/>
        <w:rPr>
          <w:rFonts w:ascii="微软雅黑" w:hAnsi="微软雅黑" w:eastAsia="微软雅黑" w:cs="STHeiti"/>
          <w:bCs/>
          <w:kern w:val="0"/>
        </w:rPr>
      </w:pPr>
      <w:r>
        <w:rPr>
          <w:rFonts w:hint="eastAsia" w:ascii="微软雅黑" w:hAnsi="微软雅黑" w:eastAsia="微软雅黑" w:cs="STHeiti"/>
          <w:bCs/>
          <w:kern w:val="0"/>
        </w:rPr>
        <w:t>01 知识点方法论体系完整，从前到后把胜任力</w:t>
      </w:r>
      <w:r>
        <w:rPr>
          <w:rFonts w:hint="eastAsia" w:ascii="微软雅黑" w:hAnsi="微软雅黑" w:eastAsia="微软雅黑" w:cs="STHeiti"/>
          <w:bCs/>
          <w:kern w:val="0"/>
          <w:lang w:val="en-US" w:eastAsia="zh-Hans"/>
        </w:rPr>
        <w:t>和任职资格体系</w:t>
      </w:r>
      <w:r>
        <w:rPr>
          <w:rFonts w:hint="eastAsia" w:ascii="微软雅黑" w:hAnsi="微软雅黑" w:eastAsia="微软雅黑" w:cs="STHeiti"/>
          <w:bCs/>
          <w:kern w:val="0"/>
        </w:rPr>
        <w:t>讲透</w:t>
      </w:r>
    </w:p>
    <w:p>
      <w:pPr>
        <w:widowControl/>
        <w:autoSpaceDE w:val="0"/>
        <w:autoSpaceDN w:val="0"/>
        <w:adjustRightInd w:val="0"/>
        <w:spacing w:after="240" w:line="400" w:lineRule="atLeast"/>
        <w:jc w:val="left"/>
        <w:rPr>
          <w:rFonts w:hint="eastAsia" w:ascii="微软雅黑" w:hAnsi="微软雅黑" w:eastAsia="微软雅黑" w:cs="STHeiti"/>
          <w:bCs/>
          <w:kern w:val="0"/>
        </w:rPr>
      </w:pPr>
      <w:r>
        <w:rPr>
          <w:rFonts w:hint="eastAsia" w:ascii="微软雅黑" w:hAnsi="微软雅黑" w:eastAsia="微软雅黑" w:cs="STHeiti"/>
          <w:bCs/>
          <w:kern w:val="0"/>
        </w:rPr>
        <w:t>02 实战案例教学，胜任力十年磨一剑的经验你值得拥有</w:t>
      </w:r>
    </w:p>
    <w:p>
      <w:pPr>
        <w:widowControl/>
        <w:autoSpaceDE w:val="0"/>
        <w:autoSpaceDN w:val="0"/>
        <w:adjustRightInd w:val="0"/>
        <w:spacing w:after="240" w:line="400" w:lineRule="atLeast"/>
        <w:jc w:val="left"/>
        <w:rPr>
          <w:rFonts w:hint="default" w:ascii="微软雅黑" w:hAnsi="微软雅黑" w:eastAsia="微软雅黑" w:cs="STHeiti"/>
          <w:bCs/>
          <w:kern w:val="0"/>
          <w:lang w:val="en-US"/>
        </w:rPr>
      </w:pPr>
      <w:r>
        <w:rPr>
          <w:rFonts w:hint="eastAsia" w:ascii="微软雅黑" w:hAnsi="微软雅黑" w:eastAsia="微软雅黑" w:cs="STHeiti"/>
          <w:bCs/>
          <w:kern w:val="0"/>
        </w:rPr>
        <w:t>0</w:t>
      </w:r>
      <w:r>
        <w:rPr>
          <w:rFonts w:hint="default" w:ascii="微软雅黑" w:hAnsi="微软雅黑" w:eastAsia="微软雅黑" w:cs="STHeiti"/>
          <w:bCs/>
          <w:kern w:val="0"/>
        </w:rPr>
        <w:t>3</w:t>
      </w:r>
      <w:r>
        <w:rPr>
          <w:rFonts w:hint="eastAsia" w:ascii="微软雅黑" w:hAnsi="微软雅黑" w:eastAsia="微软雅黑" w:cs="STHeiti"/>
          <w:bCs/>
          <w:kern w:val="0"/>
        </w:rPr>
        <w:t xml:space="preserve"> 实战案例教学，</w:t>
      </w:r>
      <w:r>
        <w:rPr>
          <w:rFonts w:hint="eastAsia" w:ascii="微软雅黑" w:hAnsi="微软雅黑" w:eastAsia="微软雅黑" w:cs="STHeiti"/>
          <w:bCs/>
          <w:kern w:val="0"/>
          <w:lang w:val="en-US" w:eastAsia="zh-Hans"/>
        </w:rPr>
        <w:t>任职资格体系构建三步法通过案例让你一次性吃透</w:t>
      </w:r>
    </w:p>
    <w:p>
      <w:pPr>
        <w:widowControl/>
        <w:autoSpaceDE w:val="0"/>
        <w:autoSpaceDN w:val="0"/>
        <w:adjustRightInd w:val="0"/>
        <w:spacing w:after="240" w:line="400" w:lineRule="atLeast"/>
        <w:jc w:val="left"/>
        <w:rPr>
          <w:rFonts w:ascii="微软雅黑" w:hAnsi="微软雅黑" w:eastAsia="微软雅黑" w:cs="STHeiti"/>
          <w:bCs/>
          <w:kern w:val="0"/>
        </w:rPr>
      </w:pPr>
      <w:r>
        <w:rPr>
          <w:rFonts w:hint="eastAsia" w:ascii="微软雅黑" w:hAnsi="微软雅黑" w:eastAsia="微软雅黑" w:cs="STHeiti"/>
          <w:bCs/>
          <w:kern w:val="0"/>
        </w:rPr>
        <w:t>0</w:t>
      </w:r>
      <w:r>
        <w:rPr>
          <w:rFonts w:hint="default" w:ascii="微软雅黑" w:hAnsi="微软雅黑" w:eastAsia="微软雅黑" w:cs="STHeiti"/>
          <w:bCs/>
          <w:kern w:val="0"/>
        </w:rPr>
        <w:t>4</w:t>
      </w:r>
      <w:r>
        <w:rPr>
          <w:rFonts w:hint="eastAsia" w:ascii="微软雅黑" w:hAnsi="微软雅黑" w:eastAsia="微软雅黑" w:cs="STHeiti"/>
          <w:bCs/>
          <w:kern w:val="0"/>
        </w:rPr>
        <w:t xml:space="preserve"> 流程图工具模型表单一应俱全，让你一学就会，一会就能用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</w:t>
      </w: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收益</w:t>
      </w:r>
      <w:r>
        <w:rPr>
          <w:rFonts w:ascii="微软雅黑" w:hAnsi="微软雅黑" w:eastAsia="微软雅黑" w:cs="微软雅黑"/>
          <w:b/>
          <w:color w:val="000000"/>
          <w:sz w:val="22"/>
        </w:rPr>
        <w:t>:</w:t>
      </w:r>
    </w:p>
    <w:p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left"/>
        <w:rPr>
          <w:rFonts w:ascii="微软雅黑" w:hAnsi="微软雅黑" w:eastAsia="微软雅黑" w:cs="Times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了解胜任力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与任职资格体系</w:t>
      </w:r>
      <w:r>
        <w:rPr>
          <w:rFonts w:hint="eastAsia" w:ascii="微软雅黑" w:hAnsi="微软雅黑" w:eastAsia="微软雅黑" w:cs="STHeiti"/>
          <w:color w:val="000000"/>
          <w:kern w:val="0"/>
        </w:rPr>
        <w:t>的基本原理和知识体系</w:t>
      </w:r>
      <w:r>
        <w:rPr>
          <w:rFonts w:hint="eastAsia" w:ascii="MS Gothic" w:hAnsi="MS Gothic" w:eastAsia="MS Gothic" w:cs="MS Gothic"/>
          <w:color w:val="000000"/>
          <w:kern w:val="0"/>
        </w:rPr>
        <w:t> </w:t>
      </w:r>
    </w:p>
    <w:p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left"/>
        <w:rPr>
          <w:rFonts w:ascii="微软雅黑" w:hAnsi="微软雅黑" w:eastAsia="微软雅黑" w:cs="Times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掌握胜任力敏捷建模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与构建任职资格体系</w:t>
      </w:r>
      <w:r>
        <w:rPr>
          <w:rFonts w:hint="eastAsia" w:ascii="微软雅黑" w:hAnsi="微软雅黑" w:eastAsia="微软雅黑" w:cs="STHeiti"/>
          <w:color w:val="000000"/>
          <w:kern w:val="0"/>
        </w:rPr>
        <w:t>的方法论和流程工具</w:t>
      </w:r>
    </w:p>
    <w:p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left"/>
        <w:rPr>
          <w:rFonts w:ascii="微软雅黑" w:hAnsi="微软雅黑" w:eastAsia="微软雅黑" w:cs="Times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通过案例分享了解胜任力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模型与任职资格体系</w:t>
      </w:r>
      <w:r>
        <w:rPr>
          <w:rFonts w:hint="eastAsia" w:ascii="微软雅黑" w:hAnsi="微软雅黑" w:eastAsia="微软雅黑" w:cs="STHeiti"/>
          <w:color w:val="000000"/>
          <w:kern w:val="0"/>
        </w:rPr>
        <w:t>在企业中的运用场景和操作方法</w:t>
      </w:r>
    </w:p>
    <w:p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left"/>
        <w:rPr>
          <w:rFonts w:ascii="微软雅黑" w:hAnsi="微软雅黑" w:eastAsia="微软雅黑" w:cs="STHeiti"/>
          <w:b/>
          <w:bCs/>
          <w:color w:val="00005A"/>
          <w:kern w:val="0"/>
          <w:sz w:val="28"/>
          <w:szCs w:val="28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通过案例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了解胜任力模型与任职资格体系</w:t>
      </w:r>
      <w:r>
        <w:rPr>
          <w:rFonts w:hint="eastAsia" w:ascii="微软雅黑" w:hAnsi="微软雅黑" w:eastAsia="微软雅黑" w:cs="STHeiti"/>
          <w:color w:val="000000"/>
          <w:kern w:val="0"/>
        </w:rPr>
        <w:t>的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应用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课程对象：</w:t>
      </w:r>
    </w:p>
    <w:p>
      <w:pPr>
        <w:widowControl/>
        <w:autoSpaceDE w:val="0"/>
        <w:autoSpaceDN w:val="0"/>
        <w:adjustRightInd w:val="0"/>
        <w:spacing w:after="240" w:line="400" w:lineRule="atLeast"/>
        <w:jc w:val="left"/>
        <w:rPr>
          <w:rFonts w:hint="eastAsia"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培训</w:t>
      </w:r>
      <w:r>
        <w:rPr>
          <w:rFonts w:ascii="微软雅黑" w:hAnsi="微软雅黑" w:eastAsia="微软雅黑" w:cs="STHeiti"/>
          <w:color w:val="000000"/>
          <w:kern w:val="0"/>
        </w:rPr>
        <w:t>/</w:t>
      </w:r>
      <w:r>
        <w:rPr>
          <w:rFonts w:hint="eastAsia" w:ascii="微软雅黑" w:hAnsi="微软雅黑" w:eastAsia="微软雅黑" w:cs="STHeiti"/>
          <w:color w:val="000000"/>
          <w:kern w:val="0"/>
        </w:rPr>
        <w:t>人才发展</w:t>
      </w:r>
      <w:r>
        <w:rPr>
          <w:rFonts w:ascii="微软雅黑" w:hAnsi="微软雅黑" w:eastAsia="微软雅黑" w:cs="STHeiti"/>
          <w:color w:val="000000"/>
          <w:kern w:val="0"/>
        </w:rPr>
        <w:t>/</w:t>
      </w:r>
      <w:r>
        <w:rPr>
          <w:rFonts w:hint="eastAsia" w:ascii="微软雅黑" w:hAnsi="微软雅黑" w:eastAsia="微软雅黑" w:cs="STHeiti"/>
          <w:color w:val="000000"/>
          <w:kern w:val="0"/>
        </w:rPr>
        <w:t>组织发展管理者、</w:t>
      </w:r>
      <w:r>
        <w:rPr>
          <w:rFonts w:ascii="微软雅黑" w:hAnsi="微软雅黑" w:eastAsia="微软雅黑" w:cs="STHeiti"/>
          <w:color w:val="000000"/>
          <w:kern w:val="0"/>
        </w:rPr>
        <w:t>HR</w:t>
      </w:r>
      <w:r>
        <w:rPr>
          <w:rFonts w:hint="eastAsia" w:ascii="微软雅黑" w:hAnsi="微软雅黑" w:eastAsia="微软雅黑" w:cs="STHeiti"/>
          <w:color w:val="000000"/>
          <w:kern w:val="0"/>
        </w:rPr>
        <w:t>管理者、企业部门管理者等</w:t>
      </w:r>
      <w:r>
        <w:rPr>
          <w:rFonts w:ascii="微软雅黑" w:hAnsi="微软雅黑" w:eastAsia="微软雅黑" w:cs="STHeiti"/>
          <w:color w:val="000000"/>
          <w:kern w:val="0"/>
        </w:rPr>
        <w:t xml:space="preserve"> </w:t>
      </w:r>
    </w:p>
    <w:p>
      <w:pPr>
        <w:rPr>
          <w:rFonts w:ascii="微软雅黑" w:hAnsi="微软雅黑" w:eastAsia="微软雅黑" w:cs="微软雅黑"/>
          <w:b/>
          <w:color w:val="2E74B5"/>
          <w:sz w:val="26"/>
        </w:rPr>
      </w:pPr>
    </w:p>
    <w:p>
      <w:r>
        <w:rPr>
          <w:rFonts w:ascii="微软雅黑" w:hAnsi="微软雅黑" w:eastAsia="微软雅黑" w:cs="微软雅黑"/>
          <w:b/>
          <w:color w:val="2E74B5"/>
          <w:sz w:val="26"/>
        </w:rPr>
        <w:t>课程大纲/Outline</w:t>
      </w:r>
    </w:p>
    <w:p/>
    <w:p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left"/>
        <w:rPr>
          <w:rFonts w:ascii="微软雅黑" w:hAnsi="微软雅黑" w:eastAsia="微软雅黑" w:cs="STHeiti"/>
          <w:b/>
          <w:bCs/>
          <w:color w:val="00005A"/>
          <w:kern w:val="0"/>
          <w:sz w:val="28"/>
          <w:szCs w:val="28"/>
        </w:rPr>
      </w:pP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第一章：明道篇</w:t>
      </w:r>
      <w:r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胜任力的知识体系及方法论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胜任力是什么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基本概念、三个基本要点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胜任力是什么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三种分类</w:t>
      </w:r>
      <w:r>
        <w:rPr>
          <w:rFonts w:ascii="微软雅黑" w:hAnsi="微软雅黑" w:eastAsia="微软雅黑" w:cs="STHeiti"/>
          <w:color w:val="000000"/>
          <w:kern w:val="0"/>
        </w:rPr>
        <w:t>---</w:t>
      </w:r>
      <w:r>
        <w:rPr>
          <w:rFonts w:hint="eastAsia" w:ascii="微软雅黑" w:hAnsi="微软雅黑" w:eastAsia="微软雅黑" w:cs="STHeiti"/>
          <w:color w:val="000000"/>
          <w:kern w:val="0"/>
        </w:rPr>
        <w:t>领导力胜任力、通用胜任力、专业胜任力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胜任力模型是什么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长什么样、基本构成要素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为什么做胜任力模型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对企业经营绩效、人才选育用留有啥帮助</w:t>
      </w:r>
    </w:p>
    <w:p>
      <w:pPr>
        <w:pStyle w:val="14"/>
        <w:widowControl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怎么做胜任力模型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四种建模的方法和应用场景</w:t>
      </w:r>
    </w:p>
    <w:p>
      <w:pPr>
        <w:pStyle w:val="14"/>
        <w:widowControl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胜任力建模的工具介绍：胜任力素质词典</w:t>
      </w:r>
    </w:p>
    <w:p>
      <w:pPr>
        <w:pStyle w:val="14"/>
        <w:widowControl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胜任力建模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四</w:t>
      </w:r>
      <w:r>
        <w:rPr>
          <w:rFonts w:hint="eastAsia" w:ascii="微软雅黑" w:hAnsi="微软雅黑" w:eastAsia="微软雅黑" w:cs="STHeiti"/>
          <w:color w:val="000000"/>
          <w:kern w:val="0"/>
        </w:rPr>
        <w:t>步法的流程介绍</w:t>
      </w:r>
    </w:p>
    <w:p>
      <w:pPr>
        <w:widowControl/>
        <w:autoSpaceDE w:val="0"/>
        <w:autoSpaceDN w:val="0"/>
        <w:adjustRightInd w:val="0"/>
        <w:spacing w:after="240"/>
        <w:rPr>
          <w:rFonts w:ascii="微软雅黑" w:hAnsi="微软雅黑" w:eastAsia="微软雅黑" w:cs="STHeiti"/>
          <w:b/>
          <w:bCs/>
          <w:color w:val="00005A"/>
          <w:kern w:val="0"/>
          <w:sz w:val="28"/>
          <w:szCs w:val="28"/>
        </w:rPr>
      </w:pP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第二章：实践篇</w:t>
      </w:r>
      <w:r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胜任力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  <w:t>完整版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建模的实战案例拆解</w:t>
      </w:r>
    </w:p>
    <w:p>
      <w:pPr>
        <w:widowControl/>
        <w:autoSpaceDE w:val="0"/>
        <w:autoSpaceDN w:val="0"/>
        <w:adjustRightInd w:val="0"/>
        <w:spacing w:after="24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</w:rPr>
        <w:t>◇案例：某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上市</w:t>
      </w:r>
      <w:r>
        <w:rPr>
          <w:rFonts w:hint="eastAsia" w:ascii="微软雅黑" w:hAnsi="微软雅黑" w:eastAsia="微软雅黑" w:cs="STHeiti"/>
          <w:kern w:val="0"/>
        </w:rPr>
        <w:t>公司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基中高层</w:t>
      </w:r>
      <w:r>
        <w:rPr>
          <w:rFonts w:hint="eastAsia" w:ascii="微软雅黑" w:hAnsi="微软雅黑" w:eastAsia="微软雅黑" w:cs="STHeiti"/>
          <w:kern w:val="0"/>
        </w:rPr>
        <w:t>管理干部能力模型建设项目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pacing w:after="240"/>
        <w:ind w:left="845" w:leftChars="0" w:hanging="425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</w:rPr>
        <w:t>项目调研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与资料收集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pacing w:after="240"/>
        <w:ind w:left="845" w:leftChars="0" w:hanging="425"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绩优数据采集</w:t>
      </w:r>
      <w:r>
        <w:rPr>
          <w:rFonts w:hint="default" w:ascii="微软雅黑" w:hAnsi="微软雅黑" w:eastAsia="微软雅黑" w:cs="STHeiti"/>
          <w:kern w:val="0"/>
          <w:lang w:eastAsia="zh-Hans"/>
        </w:rPr>
        <w:t>-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实施</w:t>
      </w:r>
      <w:r>
        <w:rPr>
          <w:rFonts w:hint="eastAsia" w:ascii="微软雅黑" w:hAnsi="微软雅黑" w:eastAsia="微软雅黑" w:cs="STHeiti"/>
          <w:kern w:val="0"/>
        </w:rPr>
        <w:t>访谈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pacing w:after="240"/>
        <w:ind w:left="845" w:leftChars="0" w:hanging="425"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胜任力</w:t>
      </w:r>
      <w:r>
        <w:rPr>
          <w:rFonts w:hint="eastAsia" w:ascii="微软雅黑" w:hAnsi="微软雅黑" w:eastAsia="微软雅黑" w:cs="STHeiti"/>
          <w:kern w:val="0"/>
        </w:rPr>
        <w:t>建模工作坊</w:t>
      </w:r>
      <w:r>
        <w:rPr>
          <w:rFonts w:hint="default" w:ascii="微软雅黑" w:hAnsi="微软雅黑" w:eastAsia="微软雅黑" w:cs="STHeiti"/>
          <w:kern w:val="0"/>
        </w:rPr>
        <w:t>-</w:t>
      </w:r>
      <w:r>
        <w:rPr>
          <w:rFonts w:hint="eastAsia" w:ascii="微软雅黑" w:hAnsi="微软雅黑" w:eastAsia="微软雅黑" w:cs="STHeiti"/>
          <w:kern w:val="0"/>
        </w:rPr>
        <w:t>共创会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pacing w:after="240"/>
        <w:ind w:left="845" w:leftChars="0" w:hanging="425"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</w:rPr>
        <w:t>评估与校准、产出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模型</w:t>
      </w:r>
      <w:r>
        <w:rPr>
          <w:rFonts w:hint="eastAsia" w:ascii="微软雅黑" w:hAnsi="微软雅黑" w:eastAsia="微软雅黑" w:cs="STHeiti"/>
          <w:kern w:val="0"/>
        </w:rPr>
        <w:t>全景图、模型应用</w:t>
      </w:r>
    </w:p>
    <w:p>
      <w:pPr>
        <w:widowControl/>
        <w:autoSpaceDE w:val="0"/>
        <w:autoSpaceDN w:val="0"/>
        <w:adjustRightInd w:val="0"/>
        <w:spacing w:after="240"/>
        <w:jc w:val="left"/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</w:pP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第三章：应用篇</w:t>
      </w:r>
      <w:r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胜任力模型应用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  <w:t>于人才选育用留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应用1--招聘</w:t>
      </w:r>
      <w:r>
        <w:rPr>
          <w:rFonts w:ascii="微软雅黑" w:hAnsi="微软雅黑" w:eastAsia="微软雅黑" w:cs="STHeiti"/>
          <w:color w:val="000000"/>
          <w:kern w:val="0"/>
        </w:rPr>
        <w:t>：</w:t>
      </w:r>
      <w:r>
        <w:rPr>
          <w:rFonts w:hint="eastAsia" w:ascii="微软雅黑" w:hAnsi="微软雅黑" w:eastAsia="微软雅黑" w:cs="STHeiti"/>
          <w:color w:val="000000"/>
          <w:kern w:val="0"/>
        </w:rPr>
        <w:t>招聘面试问题手册</w:t>
      </w:r>
      <w:r>
        <w:rPr>
          <w:rFonts w:ascii="微软雅黑" w:hAnsi="微软雅黑" w:eastAsia="微软雅黑" w:cs="STHeiti"/>
          <w:color w:val="000000"/>
          <w:kern w:val="0"/>
        </w:rPr>
        <w:t xml:space="preserve"> </w:t>
      </w:r>
      <w:r>
        <w:rPr>
          <w:rFonts w:ascii="微软雅黑" w:hAnsi="微软雅黑" w:eastAsia="微软雅黑" w:cs="STHeiti"/>
          <w:color w:val="000000"/>
          <w:kern w:val="0"/>
        </w:rPr>
        <w:br w:type="textWrapping"/>
      </w:r>
      <w:r>
        <w:rPr>
          <w:rFonts w:hint="eastAsia" w:ascii="微软雅黑" w:hAnsi="微软雅黑" w:eastAsia="微软雅黑" w:cs="STHeiti"/>
          <w:color w:val="000000"/>
          <w:kern w:val="0"/>
        </w:rPr>
        <w:t>案例：领导力行为面试手册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应用2--培训开发：基于胜任力模型的培训需求分析模型、效果评估</w:t>
      </w:r>
      <w:r>
        <w:rPr>
          <w:rFonts w:ascii="微软雅黑" w:hAnsi="微软雅黑" w:eastAsia="微软雅黑" w:cs="STHeiti"/>
          <w:color w:val="000000"/>
          <w:kern w:val="0"/>
        </w:rPr>
        <w:br w:type="textWrapping"/>
      </w:r>
      <w:r>
        <w:rPr>
          <w:rFonts w:hint="eastAsia" w:ascii="微软雅黑" w:hAnsi="微软雅黑" w:eastAsia="微软雅黑" w:cs="STHeiti"/>
          <w:color w:val="000000"/>
          <w:kern w:val="0"/>
        </w:rPr>
        <w:t>案例：某网店负责人培训前后胜任力水平于岗位要求水平对比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应用3--人才发展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胜任力素质模型是建立人才标准有效的工具</w:t>
      </w:r>
      <w:r>
        <w:rPr>
          <w:rFonts w:ascii="微软雅黑" w:hAnsi="微软雅黑" w:eastAsia="微软雅黑" w:cs="STHeiti"/>
          <w:color w:val="000000"/>
          <w:kern w:val="0"/>
        </w:rPr>
        <w:br w:type="textWrapping"/>
      </w:r>
      <w:r>
        <w:rPr>
          <w:rFonts w:hint="eastAsia" w:ascii="微软雅黑" w:hAnsi="微软雅黑" w:eastAsia="微软雅黑" w:cs="STHeiti"/>
          <w:color w:val="000000"/>
          <w:kern w:val="0"/>
        </w:rPr>
        <w:t>案例：某集团公司人才培养全景图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应用4--人才评估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胜任力是人才评估的关键评鉴维度</w:t>
      </w:r>
      <w:r>
        <w:rPr>
          <w:rFonts w:ascii="微软雅黑" w:hAnsi="微软雅黑" w:eastAsia="微软雅黑" w:cs="STHeiti"/>
          <w:color w:val="000000"/>
          <w:kern w:val="0"/>
        </w:rPr>
        <w:br w:type="textWrapping"/>
      </w:r>
      <w:r>
        <w:rPr>
          <w:rFonts w:hint="eastAsia" w:ascii="微软雅黑" w:hAnsi="微软雅黑" w:eastAsia="微软雅黑" w:cs="STHeiti"/>
          <w:color w:val="000000"/>
          <w:kern w:val="0"/>
        </w:rPr>
        <w:t>案例：某集团层级内部竞聘测评维度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应用5--人才盘点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胜任力是人才盘点的核心</w:t>
      </w:r>
      <w:r>
        <w:rPr>
          <w:rFonts w:ascii="微软雅黑" w:hAnsi="微软雅黑" w:eastAsia="微软雅黑" w:cs="STHeiti"/>
          <w:color w:val="000000"/>
          <w:kern w:val="0"/>
        </w:rPr>
        <w:br w:type="textWrapping"/>
      </w:r>
      <w:r>
        <w:rPr>
          <w:rFonts w:hint="eastAsia" w:ascii="微软雅黑" w:hAnsi="微软雅黑" w:eastAsia="微软雅黑" w:cs="STHeiti"/>
          <w:color w:val="000000"/>
          <w:kern w:val="0"/>
        </w:rPr>
        <w:t>案例：某企业领导层人才盘点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应用6--绩效评价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雷达图直观看出上级对下级的绩效评价</w:t>
      </w:r>
      <w:r>
        <w:rPr>
          <w:rFonts w:ascii="微软雅黑" w:hAnsi="微软雅黑" w:eastAsia="微软雅黑" w:cs="STHeiti"/>
          <w:color w:val="000000"/>
          <w:kern w:val="0"/>
        </w:rPr>
        <w:br w:type="textWrapping"/>
      </w:r>
      <w:r>
        <w:rPr>
          <w:rFonts w:hint="eastAsia" w:ascii="微软雅黑" w:hAnsi="微软雅黑" w:eastAsia="微软雅黑" w:cs="STHeiti"/>
          <w:kern w:val="0"/>
        </w:rPr>
        <w:t>案例：某岗位核心胜任力自评与上级评价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</w:rPr>
        <w:t>应用</w:t>
      </w:r>
      <w:r>
        <w:rPr>
          <w:rFonts w:ascii="微软雅黑" w:hAnsi="微软雅黑" w:eastAsia="微软雅黑" w:cs="STHeiti"/>
          <w:color w:val="000000"/>
          <w:kern w:val="0"/>
        </w:rPr>
        <w:t>7—</w:t>
      </w:r>
      <w:r>
        <w:rPr>
          <w:rFonts w:hint="eastAsia" w:ascii="微软雅黑" w:hAnsi="微软雅黑" w:eastAsia="微软雅黑" w:cs="STHeiti"/>
          <w:color w:val="000000"/>
          <w:kern w:val="0"/>
        </w:rPr>
        <w:t>学习发展地图</w:t>
      </w:r>
      <w:r>
        <w:rPr>
          <w:rFonts w:ascii="微软雅黑" w:hAnsi="微软雅黑" w:eastAsia="微软雅黑" w:cs="STHeiti"/>
          <w:color w:val="000000"/>
          <w:kern w:val="0"/>
        </w:rPr>
        <w:t>:</w:t>
      </w:r>
      <w:r>
        <w:rPr>
          <w:rFonts w:hint="eastAsia" w:ascii="微软雅黑" w:hAnsi="微软雅黑" w:eastAsia="微软雅黑" w:cs="STHeiti"/>
          <w:color w:val="000000"/>
          <w:kern w:val="0"/>
        </w:rPr>
        <w:t>从标准到评估到发展，输出基于业务需要的学习发展地图</w:t>
      </w:r>
      <w:r>
        <w:rPr>
          <w:rFonts w:ascii="微软雅黑" w:hAnsi="微软雅黑" w:eastAsia="微软雅黑" w:cs="STHeiti"/>
          <w:color w:val="000000"/>
          <w:kern w:val="0"/>
        </w:rPr>
        <w:br w:type="textWrapping"/>
      </w:r>
      <w:r>
        <w:rPr>
          <w:rFonts w:hint="eastAsia" w:ascii="微软雅黑" w:hAnsi="微软雅黑" w:eastAsia="微软雅黑" w:cs="STHeiti"/>
          <w:kern w:val="0"/>
        </w:rPr>
        <w:t>案例：某企业营销人员学习发展地图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</w:rPr>
        <w:t>应用</w:t>
      </w:r>
      <w:r>
        <w:rPr>
          <w:rFonts w:ascii="微软雅黑" w:hAnsi="微软雅黑" w:eastAsia="微软雅黑" w:cs="STHeiti"/>
          <w:kern w:val="0"/>
        </w:rPr>
        <w:t>8—</w:t>
      </w:r>
      <w:r>
        <w:rPr>
          <w:rFonts w:hint="eastAsia" w:ascii="微软雅黑" w:hAnsi="微软雅黑" w:eastAsia="微软雅黑" w:cs="STHeiti"/>
          <w:kern w:val="0"/>
        </w:rPr>
        <w:t>员工职业发展通道设计</w:t>
      </w:r>
      <w:r>
        <w:rPr>
          <w:rFonts w:ascii="微软雅黑" w:hAnsi="微软雅黑" w:eastAsia="微软雅黑" w:cs="STHeiti"/>
          <w:kern w:val="0"/>
        </w:rPr>
        <w:t>:</w:t>
      </w:r>
      <w:r>
        <w:rPr>
          <w:rFonts w:hint="eastAsia" w:ascii="微软雅黑" w:hAnsi="微软雅黑" w:eastAsia="微软雅黑" w:cs="STHeiti"/>
          <w:kern w:val="0"/>
        </w:rPr>
        <w:t xml:space="preserve"> 基于胜任力模型的员工职业生涯管理技术路线</w:t>
      </w:r>
      <w:r>
        <w:rPr>
          <w:rFonts w:ascii="微软雅黑" w:hAnsi="微软雅黑" w:eastAsia="微软雅黑" w:cs="STHeiti"/>
          <w:kern w:val="0"/>
        </w:rPr>
        <w:br w:type="textWrapping"/>
      </w:r>
      <w:r>
        <w:rPr>
          <w:rFonts w:hint="eastAsia" w:ascii="微软雅黑" w:hAnsi="微软雅黑" w:eastAsia="微软雅黑" w:cs="STHeiti"/>
          <w:kern w:val="0"/>
        </w:rPr>
        <w:t>案例：某企业基于胜任力模型的专业技术通道设计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kern w:val="0"/>
        </w:rPr>
        <w:t>应用</w:t>
      </w:r>
      <w:r>
        <w:rPr>
          <w:rFonts w:ascii="微软雅黑" w:hAnsi="微软雅黑" w:eastAsia="微软雅黑" w:cs="STHeiti"/>
          <w:kern w:val="0"/>
        </w:rPr>
        <w:t>9</w:t>
      </w:r>
      <w:r>
        <w:rPr>
          <w:rFonts w:hint="eastAsia" w:ascii="微软雅黑" w:hAnsi="微软雅黑" w:eastAsia="微软雅黑" w:cs="STHeiti"/>
          <w:kern w:val="0"/>
        </w:rPr>
        <w:t>--</w:t>
      </w:r>
      <w:r>
        <w:rPr>
          <w:rFonts w:ascii="微软雅黑" w:hAnsi="微软雅黑" w:eastAsia="微软雅黑" w:cs="STHeiti"/>
          <w:kern w:val="0"/>
        </w:rPr>
        <w:t>IDP(</w:t>
      </w:r>
      <w:r>
        <w:rPr>
          <w:rFonts w:hint="eastAsia" w:ascii="微软雅黑" w:hAnsi="微软雅黑" w:eastAsia="微软雅黑" w:cs="STHeiti"/>
          <w:kern w:val="0"/>
        </w:rPr>
        <w:t>个人发展计划</w:t>
      </w:r>
      <w:r>
        <w:rPr>
          <w:rFonts w:ascii="微软雅黑" w:hAnsi="微软雅黑" w:eastAsia="微软雅黑" w:cs="STHeiti"/>
          <w:kern w:val="0"/>
        </w:rPr>
        <w:t>):</w:t>
      </w:r>
      <w:r>
        <w:rPr>
          <w:rFonts w:hint="eastAsia" w:ascii="微软雅黑" w:hAnsi="微软雅黑" w:eastAsia="微软雅黑" w:cs="STHeiti"/>
          <w:kern w:val="0"/>
        </w:rPr>
        <w:t xml:space="preserve"> 胜任力</w:t>
      </w:r>
      <w:r>
        <w:rPr>
          <w:rFonts w:ascii="微软雅黑" w:hAnsi="微软雅黑" w:eastAsia="微软雅黑" w:cs="STHeiti"/>
          <w:kern w:val="0"/>
        </w:rPr>
        <w:t>GAP</w:t>
      </w:r>
      <w:r>
        <w:rPr>
          <w:rFonts w:hint="eastAsia" w:ascii="微软雅黑" w:hAnsi="微软雅黑" w:eastAsia="微软雅黑" w:cs="STHeiti"/>
          <w:kern w:val="0"/>
        </w:rPr>
        <w:t>要用</w:t>
      </w:r>
      <w:r>
        <w:rPr>
          <w:rFonts w:ascii="微软雅黑" w:hAnsi="微软雅黑" w:eastAsia="微软雅黑" w:cs="STHeiti"/>
          <w:kern w:val="0"/>
        </w:rPr>
        <w:t>IDP</w:t>
      </w:r>
      <w:r>
        <w:rPr>
          <w:rFonts w:hint="eastAsia" w:ascii="微软雅黑" w:hAnsi="微软雅黑" w:eastAsia="微软雅黑" w:cs="STHeiti"/>
          <w:kern w:val="0"/>
        </w:rPr>
        <w:t>来发展</w:t>
      </w:r>
      <w:r>
        <w:rPr>
          <w:rFonts w:ascii="微软雅黑" w:hAnsi="微软雅黑" w:eastAsia="微软雅黑" w:cs="STHeiti"/>
          <w:kern w:val="0"/>
        </w:rPr>
        <w:br w:type="textWrapping"/>
      </w:r>
      <w:r>
        <w:rPr>
          <w:rFonts w:hint="eastAsia" w:ascii="微软雅黑" w:hAnsi="微软雅黑" w:eastAsia="微软雅黑" w:cs="STHeiti"/>
          <w:kern w:val="0"/>
        </w:rPr>
        <w:t>案例：某企业基于胜任力模型的员工个人发展计划</w:t>
      </w:r>
    </w:p>
    <w:p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left"/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  <w:lang w:eastAsia="zh-Hans"/>
        </w:rPr>
      </w:pP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第四章：明道篇</w:t>
      </w:r>
      <w:r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  <w:t>任职资格体系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的知识体系及方法论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任职资格体系的来源以及为什么要构建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任职资格体系的构建过程和路径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华为成功构建任职资格体系的做法和案例</w:t>
      </w:r>
    </w:p>
    <w:p>
      <w:pPr>
        <w:pStyle w:val="14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240" w:lineRule="auto"/>
        <w:ind w:firstLineChars="0"/>
        <w:jc w:val="left"/>
        <w:rPr>
          <w:rFonts w:ascii="微软雅黑" w:hAnsi="微软雅黑" w:eastAsia="微软雅黑" w:cs="STHeiti"/>
          <w:color w:val="000000"/>
          <w:kern w:val="0"/>
        </w:rPr>
      </w:pP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任职资格体系构建三步走</w:t>
      </w:r>
      <w:r>
        <w:rPr>
          <w:rFonts w:hint="default" w:ascii="微软雅黑" w:hAnsi="微软雅黑" w:eastAsia="微软雅黑" w:cs="STHeiti"/>
          <w:color w:val="000000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搭通道</w:t>
      </w:r>
      <w:r>
        <w:rPr>
          <w:rFonts w:hint="default" w:ascii="微软雅黑" w:hAnsi="微软雅黑" w:eastAsia="微软雅黑" w:cs="STHeiti"/>
          <w:color w:val="000000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定标准</w:t>
      </w:r>
      <w:r>
        <w:rPr>
          <w:rFonts w:hint="default" w:ascii="微软雅黑" w:hAnsi="微软雅黑" w:eastAsia="微软雅黑" w:cs="STHeiti"/>
          <w:color w:val="000000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color w:val="000000"/>
          <w:kern w:val="0"/>
          <w:lang w:val="en-US" w:eastAsia="zh-Hans"/>
        </w:rPr>
        <w:t>做认证</w:t>
      </w:r>
    </w:p>
    <w:p>
      <w:pPr>
        <w:widowControl/>
        <w:autoSpaceDE w:val="0"/>
        <w:autoSpaceDN w:val="0"/>
        <w:adjustRightInd w:val="0"/>
        <w:spacing w:after="240"/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</w:pP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第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  <w:t>五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章：实践篇</w:t>
      </w:r>
      <w:r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  <w:t>任职资格体系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的实战案例拆解</w:t>
      </w:r>
    </w:p>
    <w:p>
      <w:pPr>
        <w:widowControl/>
        <w:autoSpaceDE w:val="0"/>
        <w:autoSpaceDN w:val="0"/>
        <w:adjustRightInd w:val="0"/>
        <w:spacing w:after="240"/>
        <w:jc w:val="left"/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</w:rPr>
      </w:pPr>
      <w:r>
        <w:rPr>
          <w:rFonts w:hint="eastAsia" w:ascii="微软雅黑" w:hAnsi="微软雅黑" w:eastAsia="微软雅黑" w:cs="STHeiti"/>
          <w:kern w:val="0"/>
        </w:rPr>
        <w:t>◇案例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拆解</w:t>
      </w:r>
      <w:r>
        <w:rPr>
          <w:rFonts w:hint="eastAsia" w:ascii="微软雅黑" w:hAnsi="微软雅黑" w:eastAsia="微软雅黑" w:cs="STHeiti"/>
          <w:kern w:val="0"/>
        </w:rPr>
        <w:t>：某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集团</w:t>
      </w:r>
      <w:r>
        <w:rPr>
          <w:rFonts w:hint="eastAsia" w:ascii="微软雅黑" w:hAnsi="微软雅黑" w:eastAsia="微软雅黑" w:cs="STHeiti"/>
          <w:kern w:val="0"/>
        </w:rPr>
        <w:t>公司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专业岗位任职资格体系构建</w:t>
      </w:r>
      <w:r>
        <w:rPr>
          <w:rFonts w:hint="eastAsia" w:ascii="微软雅黑" w:hAnsi="微软雅黑" w:eastAsia="微软雅黑" w:cs="STHeiti"/>
          <w:kern w:val="0"/>
        </w:rPr>
        <w:t>项目</w:t>
      </w:r>
    </w:p>
    <w:p>
      <w:pPr>
        <w:widowControl/>
        <w:autoSpaceDE w:val="0"/>
        <w:autoSpaceDN w:val="0"/>
        <w:adjustRightInd w:val="0"/>
        <w:spacing w:after="24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</w:rPr>
        <w:t>◇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搭通道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岗位体系与职级体系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职业发展通道设计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如何划分职业分析与职族职类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员工职业发展通道的一般轨迹是什么</w:t>
      </w:r>
      <w:r>
        <w:rPr>
          <w:rFonts w:hint="default" w:ascii="微软雅黑" w:hAnsi="微软雅黑" w:eastAsia="微软雅黑" w:cs="STHeiti"/>
          <w:kern w:val="0"/>
          <w:lang w:eastAsia="zh-Hans"/>
        </w:rPr>
        <w:t>？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如何设计</w:t>
      </w:r>
      <w:r>
        <w:rPr>
          <w:rFonts w:hint="default" w:ascii="微软雅黑" w:hAnsi="微软雅黑" w:eastAsia="微软雅黑" w:cs="STHeiti"/>
          <w:kern w:val="0"/>
          <w:lang w:eastAsia="zh-Hans"/>
        </w:rPr>
        <w:t>？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如何设计职位职级对照表</w:t>
      </w:r>
      <w:r>
        <w:rPr>
          <w:rFonts w:hint="default" w:ascii="微软雅黑" w:hAnsi="微软雅黑" w:eastAsia="微软雅黑" w:cs="STHeiti"/>
          <w:kern w:val="0"/>
          <w:lang w:eastAsia="zh-Hans"/>
        </w:rPr>
        <w:t>？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如何划分大职级小职等</w:t>
      </w:r>
      <w:r>
        <w:rPr>
          <w:rFonts w:hint="default" w:ascii="微软雅黑" w:hAnsi="微软雅黑" w:eastAsia="微软雅黑" w:cs="STHeiti"/>
          <w:kern w:val="0"/>
          <w:lang w:eastAsia="zh-Hans"/>
        </w:rPr>
        <w:t>？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ascii="微软雅黑" w:hAnsi="微软雅黑" w:eastAsia="微软雅黑" w:cs="STHeiti"/>
          <w:kern w:val="0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如何完善职业图谱</w:t>
      </w:r>
      <w:r>
        <w:rPr>
          <w:rFonts w:hint="default" w:ascii="微软雅黑" w:hAnsi="微软雅黑" w:eastAsia="微软雅黑" w:cs="STHeiti"/>
          <w:kern w:val="0"/>
          <w:lang w:eastAsia="zh-Hans"/>
        </w:rPr>
        <w:t>？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after="240"/>
        <w:jc w:val="left"/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</w:rPr>
        <w:t>◇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定标准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任职资格体系标准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基本条件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专业标准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参考项等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任职资格体系标准开发</w:t>
      </w:r>
      <w:r>
        <w:rPr>
          <w:rFonts w:hint="default" w:ascii="微软雅黑" w:hAnsi="微软雅黑" w:eastAsia="微软雅黑" w:cs="STHeiti"/>
          <w:kern w:val="0"/>
          <w:lang w:eastAsia="zh-Hans"/>
        </w:rPr>
        <w:t>5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步法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基本条件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学历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资质证书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专业经验如何运用在任职资格标准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专业标准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知识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技能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行为要项如何运用在任职资格标准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参考项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价值观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品德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素养如何运用在任职资格标准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after="240"/>
        <w:jc w:val="left"/>
        <w:rPr>
          <w:rFonts w:hint="eastAsia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</w:rPr>
        <w:t>◇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做认证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如何设计认证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怎么组织评审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任职资格体系认证的原则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流程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内容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任职资格体系认证的工具与方法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任职资格体系认证的知识技能经验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行为标准如何评审</w:t>
      </w:r>
      <w:r>
        <w:rPr>
          <w:rFonts w:hint="default" w:ascii="微软雅黑" w:hAnsi="微软雅黑" w:eastAsia="微软雅黑" w:cs="STHeiti"/>
          <w:kern w:val="0"/>
          <w:lang w:eastAsia="zh-Hans"/>
        </w:rPr>
        <w:t>？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任职资格体系认证的“三权分立”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申请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评审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决策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after="240"/>
        <w:jc w:val="left"/>
        <w:rPr>
          <w:rFonts w:hint="eastAsia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</w:rPr>
        <w:t>◇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强应用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任职资格体系应用于选用育留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任职资格体系应用于培训课程体系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任职资格体系应用于学习地图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任职资格体系应用于职业发展与晋升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任职资格体系应用于薪酬体系</w:t>
      </w:r>
    </w:p>
    <w:p>
      <w:pPr>
        <w:widowControl/>
        <w:autoSpaceDE w:val="0"/>
        <w:autoSpaceDN w:val="0"/>
        <w:adjustRightInd w:val="0"/>
        <w:spacing w:after="240"/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</w:pP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第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  <w:t>六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章：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  <w:t>经验篇</w:t>
      </w:r>
      <w:r>
        <w:rPr>
          <w:rFonts w:hint="default" w:ascii="微软雅黑" w:hAnsi="微软雅黑" w:eastAsia="微软雅黑" w:cs="STHeiti"/>
          <w:b/>
          <w:bCs/>
          <w:color w:val="00005A"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 w:cs="STHeiti"/>
          <w:b/>
          <w:bCs/>
          <w:color w:val="00005A"/>
          <w:kern w:val="0"/>
          <w:sz w:val="28"/>
          <w:szCs w:val="28"/>
          <w:lang w:val="en-US" w:eastAsia="zh-Hans"/>
        </w:rPr>
        <w:t>胜任力模型与任职资格体系到底有何不同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两者共同点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都是人才标准工具</w:t>
      </w:r>
      <w:r>
        <w:rPr>
          <w:rFonts w:hint="default" w:ascii="微软雅黑" w:hAnsi="微软雅黑" w:eastAsia="微软雅黑" w:cs="STHeiti"/>
          <w:kern w:val="0"/>
          <w:lang w:eastAsia="zh-Hans"/>
        </w:rPr>
        <w:t>、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成果物很相似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两者不同点一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应用的侧重点不同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两者不同点二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构建的逻辑与思路不同</w:t>
      </w:r>
    </w:p>
    <w:p>
      <w:pPr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840" w:leftChars="0" w:hanging="420" w:firstLineChars="0"/>
        <w:jc w:val="left"/>
        <w:rPr>
          <w:rFonts w:hint="default" w:ascii="微软雅黑" w:hAnsi="微软雅黑" w:eastAsia="微软雅黑" w:cs="STHeiti"/>
          <w:kern w:val="0"/>
          <w:lang w:val="en-US" w:eastAsia="zh-Hans"/>
        </w:rPr>
      </w:pPr>
      <w:r>
        <w:rPr>
          <w:rFonts w:hint="eastAsia" w:ascii="微软雅黑" w:hAnsi="微软雅黑" w:eastAsia="微软雅黑" w:cs="STHeiti"/>
          <w:kern w:val="0"/>
          <w:lang w:val="en-US" w:eastAsia="zh-Hans"/>
        </w:rPr>
        <w:t>两者不同点三</w:t>
      </w:r>
      <w:r>
        <w:rPr>
          <w:rFonts w:hint="default" w:ascii="微软雅黑" w:hAnsi="微软雅黑" w:eastAsia="微软雅黑" w:cs="STHeiti"/>
          <w:kern w:val="0"/>
          <w:lang w:eastAsia="zh-Hans"/>
        </w:rPr>
        <w:t>：</w:t>
      </w:r>
      <w:r>
        <w:rPr>
          <w:rFonts w:hint="eastAsia" w:ascii="微软雅黑" w:hAnsi="微软雅黑" w:eastAsia="微软雅黑" w:cs="STHeiti"/>
          <w:kern w:val="0"/>
          <w:lang w:val="en-US" w:eastAsia="zh-Hans"/>
        </w:rPr>
        <w:t>构建的操作方法与工具不同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讲师介绍/Lecturer</w:t>
      </w:r>
    </w:p>
    <w:p>
      <w:pPr>
        <w:spacing w:beforeAutospacing="0" w:afterAutospacing="0" w:line="360" w:lineRule="auto"/>
        <w:jc w:val="left"/>
        <w:rPr>
          <w:rFonts w:ascii="微软雅黑" w:hAnsi="微软雅黑" w:eastAsia="微软雅黑"/>
          <w:b/>
          <w:color w:val="262626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林丽萍老师</w:t>
      </w:r>
    </w:p>
    <w:p>
      <w:pPr>
        <w:rPr>
          <w:rFonts w:ascii="微软雅黑" w:hAnsi="微软雅黑" w:eastAsia="微软雅黑" w:cs="微软雅黑"/>
          <w:b/>
          <w:color w:val="000000"/>
          <w:sz w:val="22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  <w:lang w:eastAsia="zh-CN"/>
        </w:rPr>
        <w:drawing>
          <wp:inline distT="0" distB="0" distL="114300" distR="114300">
            <wp:extent cx="2059940" cy="2171700"/>
            <wp:effectExtent l="0" t="0" r="16510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Autospacing="0" w:afterAutospacing="0" w:line="360" w:lineRule="auto"/>
        <w:jc w:val="left"/>
        <w:rPr>
          <w:rFonts w:ascii="微软雅黑" w:hAnsi="微软雅黑" w:eastAsia="微软雅黑"/>
          <w:color w:val="262626"/>
          <w:sz w:val="24"/>
          <w:szCs w:val="24"/>
        </w:rPr>
      </w:pPr>
      <w:bookmarkStart w:id="1" w:name="_GoBack"/>
      <w:bookmarkEnd w:id="1"/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曾任互联网教育集团</w:t>
      </w:r>
      <w:r>
        <w:rPr>
          <w:rFonts w:ascii="微软雅黑" w:hAnsi="微软雅黑" w:eastAsia="微软雅黑"/>
          <w:color w:val="262626"/>
          <w:sz w:val="24"/>
          <w:szCs w:val="24"/>
        </w:rPr>
        <w:t>HRVP</w:t>
      </w:r>
    </w:p>
    <w:p>
      <w:pPr>
        <w:spacing w:beforeAutospacing="0" w:afterAutospacing="0" w:line="360" w:lineRule="auto"/>
        <w:jc w:val="left"/>
        <w:rPr>
          <w:rFonts w:ascii="微软雅黑" w:hAnsi="微软雅黑" w:eastAsia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曾任</w:t>
      </w:r>
      <w:r>
        <w:rPr>
          <w:rFonts w:ascii="微软雅黑" w:hAnsi="微软雅黑" w:eastAsia="微软雅黑"/>
          <w:color w:val="262626"/>
          <w:sz w:val="24"/>
          <w:szCs w:val="24"/>
        </w:rPr>
        <w:t>500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强上市新能源集团</w:t>
      </w:r>
      <w:r>
        <w:rPr>
          <w:rFonts w:ascii="微软雅黑" w:hAnsi="微软雅黑" w:eastAsia="微软雅黑"/>
          <w:color w:val="262626"/>
          <w:sz w:val="24"/>
          <w:szCs w:val="24"/>
        </w:rPr>
        <w:t>HRD</w:t>
      </w:r>
    </w:p>
    <w:p>
      <w:pPr>
        <w:spacing w:beforeAutospacing="0" w:afterAutospacing="0" w:line="360" w:lineRule="auto"/>
        <w:jc w:val="left"/>
        <w:rPr>
          <w:rFonts w:ascii="微软雅黑" w:hAnsi="微软雅黑" w:eastAsia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美国</w:t>
      </w:r>
      <w:r>
        <w:rPr>
          <w:rFonts w:ascii="微软雅黑" w:hAnsi="微软雅黑" w:eastAsia="微软雅黑"/>
          <w:color w:val="262626"/>
          <w:sz w:val="24"/>
          <w:szCs w:val="24"/>
        </w:rPr>
        <w:t>CTI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认证</w:t>
      </w:r>
      <w:r>
        <w:rPr>
          <w:rFonts w:ascii="微软雅黑" w:hAnsi="微软雅黑" w:eastAsia="微软雅黑"/>
          <w:color w:val="262626"/>
          <w:sz w:val="24"/>
          <w:szCs w:val="24"/>
        </w:rPr>
        <w:t>“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共创式教练</w:t>
      </w:r>
      <w:r>
        <w:rPr>
          <w:rFonts w:ascii="微软雅黑" w:hAnsi="微软雅黑" w:eastAsia="微软雅黑"/>
          <w:color w:val="262626"/>
          <w:sz w:val="24"/>
          <w:szCs w:val="24"/>
        </w:rPr>
        <w:t>”</w:t>
      </w:r>
    </w:p>
    <w:p>
      <w:pPr>
        <w:spacing w:beforeAutospacing="0" w:afterAutospacing="0" w:line="360" w:lineRule="auto"/>
        <w:jc w:val="left"/>
        <w:rPr>
          <w:rFonts w:ascii="微软雅黑" w:hAnsi="微软雅黑" w:eastAsia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国家二级心理咨询师、人社部认证职业生涯规划师</w:t>
      </w:r>
    </w:p>
    <w:p>
      <w:pPr>
        <w:spacing w:beforeAutospacing="0" w:afterAutospacing="0" w:line="360" w:lineRule="auto"/>
        <w:jc w:val="left"/>
        <w:rPr>
          <w:rFonts w:ascii="微软雅黑" w:hAnsi="微软雅黑" w:eastAsia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上海交通大学工商管理硕士、客座讲师</w:t>
      </w:r>
    </w:p>
    <w:p>
      <w:pPr>
        <w:spacing w:beforeAutospacing="0" w:afterAutospacing="0" w:line="360" w:lineRule="auto"/>
        <w:rPr>
          <w:rFonts w:ascii="微软雅黑" w:hAnsi="微软雅黑" w:eastAsia="微软雅黑"/>
          <w:color w:val="262626"/>
          <w:sz w:val="24"/>
          <w:szCs w:val="24"/>
        </w:rPr>
      </w:pPr>
    </w:p>
    <w:p>
      <w:pPr>
        <w:spacing w:beforeAutospacing="0" w:afterAutospacing="0" w:line="360" w:lineRule="auto"/>
        <w:rPr>
          <w:rFonts w:ascii="微软雅黑" w:hAnsi="微软雅黑" w:eastAsia="微软雅黑"/>
          <w:b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262626"/>
          <w:sz w:val="24"/>
          <w:szCs w:val="24"/>
        </w:rPr>
        <w:t>行业经验：</w:t>
      </w:r>
    </w:p>
    <w:p>
      <w:pPr>
        <w:spacing w:beforeAutospacing="0" w:afterAutospacing="0" w:line="360" w:lineRule="auto"/>
        <w:rPr>
          <w:rFonts w:ascii="微软雅黑" w:hAnsi="微软雅黑" w:eastAsia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林丽萍老师曾任互联网集团公司</w:t>
      </w:r>
      <w:r>
        <w:rPr>
          <w:rFonts w:ascii="微软雅黑" w:hAnsi="微软雅黑" w:eastAsia="微软雅黑"/>
          <w:color w:val="262626"/>
          <w:sz w:val="24"/>
          <w:szCs w:val="24"/>
        </w:rPr>
        <w:t>HRVP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，曾任</w:t>
      </w:r>
      <w:r>
        <w:rPr>
          <w:rFonts w:ascii="微软雅黑" w:hAnsi="微软雅黑" w:eastAsia="微软雅黑"/>
          <w:color w:val="262626"/>
          <w:sz w:val="24"/>
          <w:szCs w:val="24"/>
        </w:rPr>
        <w:t>500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强上市新能源集团公司集团人力资源总监</w:t>
      </w:r>
      <w:r>
        <w:rPr>
          <w:rFonts w:ascii="微软雅黑" w:hAnsi="微软雅黑" w:eastAsia="微软雅黑"/>
          <w:color w:val="262626"/>
          <w:sz w:val="24"/>
          <w:szCs w:val="24"/>
        </w:rPr>
        <w:t>;17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年大型外企</w:t>
      </w:r>
      <w:r>
        <w:rPr>
          <w:rFonts w:ascii="微软雅黑" w:hAnsi="微软雅黑" w:eastAsia="微软雅黑"/>
          <w:color w:val="262626"/>
          <w:sz w:val="24"/>
          <w:szCs w:val="24"/>
        </w:rPr>
        <w:t>/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民企人力资源管理经验，操盘过</w:t>
      </w:r>
      <w:r>
        <w:rPr>
          <w:rFonts w:ascii="微软雅黑" w:hAnsi="微软雅黑" w:eastAsia="微软雅黑"/>
          <w:color w:val="262626"/>
          <w:sz w:val="24"/>
          <w:szCs w:val="24"/>
        </w:rPr>
        <w:t>5.4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亿人力成本管控及优化项目、大型集团公司组织架构梳理及三定</w:t>
      </w:r>
      <w:r>
        <w:rPr>
          <w:rFonts w:ascii="微软雅黑" w:hAnsi="微软雅黑" w:eastAsia="微软雅黑"/>
          <w:color w:val="262626"/>
          <w:sz w:val="24"/>
          <w:szCs w:val="24"/>
        </w:rPr>
        <w:t>(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定人定岗定级</w:t>
      </w:r>
      <w:r>
        <w:rPr>
          <w:rFonts w:ascii="微软雅黑" w:hAnsi="微软雅黑" w:eastAsia="微软雅黑"/>
          <w:color w:val="262626"/>
          <w:sz w:val="24"/>
          <w:szCs w:val="24"/>
        </w:rPr>
        <w:t>)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项目、企业文化从</w:t>
      </w:r>
      <w:r>
        <w:rPr>
          <w:rFonts w:ascii="微软雅黑" w:hAnsi="微软雅黑" w:eastAsia="微软雅黑"/>
          <w:color w:val="262626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到</w:t>
      </w:r>
      <w:r>
        <w:rPr>
          <w:rFonts w:ascii="微软雅黑" w:hAnsi="微软雅黑" w:eastAsia="微软雅黑"/>
          <w:color w:val="262626"/>
          <w:sz w:val="24"/>
          <w:szCs w:val="24"/>
        </w:rPr>
        <w:t>1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搭建及落地项目、薪酬绩效体系搭建及落地、中高管定制培养项目</w:t>
      </w:r>
      <w:r>
        <w:rPr>
          <w:rFonts w:ascii="微软雅黑" w:hAnsi="微软雅黑" w:eastAsia="微软雅黑"/>
          <w:color w:val="262626"/>
          <w:sz w:val="24"/>
          <w:szCs w:val="24"/>
        </w:rPr>
        <w:t>;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专业领域擅长人力资源成本管控、组织优化、中高管人才培养项目设计、绩效体系</w:t>
      </w:r>
      <w:r>
        <w:rPr>
          <w:rFonts w:ascii="微软雅黑" w:hAnsi="微软雅黑" w:eastAsia="微软雅黑"/>
          <w:color w:val="262626"/>
          <w:sz w:val="24"/>
          <w:szCs w:val="24"/>
        </w:rPr>
        <w:t>;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涉及互联网教育、能源、半导体、汽车、地产、大型零售点、金融、农业等众多行业。</w:t>
      </w:r>
    </w:p>
    <w:p>
      <w:pPr>
        <w:spacing w:beforeAutospacing="0" w:afterAutospacing="0" w:line="360" w:lineRule="auto"/>
        <w:rPr>
          <w:rFonts w:ascii="微软雅黑" w:hAnsi="微软雅黑" w:eastAsia="微软雅黑"/>
          <w:color w:val="262626"/>
          <w:sz w:val="24"/>
          <w:szCs w:val="24"/>
        </w:rPr>
      </w:pPr>
    </w:p>
    <w:p>
      <w:pPr>
        <w:spacing w:beforeAutospacing="0" w:afterAutospacing="0" w:line="360" w:lineRule="auto"/>
        <w:rPr>
          <w:rFonts w:ascii="微软雅黑" w:hAnsi="微软雅黑" w:eastAsia="微软雅黑"/>
          <w:b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262626"/>
          <w:sz w:val="24"/>
          <w:szCs w:val="24"/>
        </w:rPr>
        <w:t>主讲课程：</w:t>
      </w:r>
    </w:p>
    <w:p>
      <w:pPr>
        <w:spacing w:beforeAutospacing="0" w:afterAutospacing="0" w:line="360" w:lineRule="auto"/>
        <w:rPr>
          <w:rFonts w:ascii="微软雅黑" w:hAnsi="微软雅黑" w:eastAsia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《</w:t>
      </w:r>
      <w:r>
        <w:rPr>
          <w:rFonts w:ascii="微软雅黑" w:hAnsi="微软雅黑" w:eastAsia="微软雅黑"/>
          <w:color w:val="262626"/>
          <w:sz w:val="24"/>
          <w:szCs w:val="24"/>
        </w:rPr>
        <w:t>HRBP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的实践与创新》</w:t>
      </w:r>
      <w:r>
        <w:rPr>
          <w:rFonts w:ascii="微软雅黑" w:hAnsi="微软雅黑" w:eastAsia="微软雅黑"/>
          <w:color w:val="262626"/>
          <w:sz w:val="24"/>
          <w:szCs w:val="24"/>
        </w:rPr>
        <w:t>(2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天公开课</w:t>
      </w:r>
      <w:r>
        <w:rPr>
          <w:rFonts w:ascii="微软雅黑" w:hAnsi="微软雅黑" w:eastAsia="微软雅黑"/>
          <w:color w:val="262626"/>
          <w:sz w:val="24"/>
          <w:szCs w:val="24"/>
        </w:rPr>
        <w:t>/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企业内训</w:t>
      </w:r>
      <w:r>
        <w:rPr>
          <w:rFonts w:ascii="微软雅黑" w:hAnsi="微软雅黑" w:eastAsia="微软雅黑"/>
          <w:color w:val="262626"/>
          <w:sz w:val="24"/>
          <w:szCs w:val="24"/>
        </w:rPr>
        <w:t>)</w:t>
      </w:r>
    </w:p>
    <w:p>
      <w:pPr>
        <w:spacing w:beforeAutospacing="0" w:afterAutospacing="0" w:line="360" w:lineRule="auto"/>
        <w:rPr>
          <w:rFonts w:ascii="微软雅黑" w:hAnsi="微软雅黑" w:eastAsia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《构建高竞争力的人才培养体系》</w:t>
      </w:r>
      <w:r>
        <w:rPr>
          <w:rFonts w:ascii="微软雅黑" w:hAnsi="微软雅黑" w:eastAsia="微软雅黑"/>
          <w:color w:val="262626"/>
          <w:sz w:val="24"/>
          <w:szCs w:val="24"/>
        </w:rPr>
        <w:t>(2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天公开课</w:t>
      </w:r>
      <w:r>
        <w:rPr>
          <w:rFonts w:ascii="微软雅黑" w:hAnsi="微软雅黑" w:eastAsia="微软雅黑"/>
          <w:color w:val="262626"/>
          <w:sz w:val="24"/>
          <w:szCs w:val="24"/>
        </w:rPr>
        <w:t>/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企业内训</w:t>
      </w:r>
      <w:r>
        <w:rPr>
          <w:rFonts w:ascii="微软雅黑" w:hAnsi="微软雅黑" w:eastAsia="微软雅黑"/>
          <w:color w:val="262626"/>
          <w:sz w:val="24"/>
          <w:szCs w:val="24"/>
        </w:rPr>
        <w:t>)</w:t>
      </w:r>
    </w:p>
    <w:p>
      <w:pPr>
        <w:spacing w:beforeAutospacing="0" w:afterAutospacing="0" w:line="360" w:lineRule="auto"/>
        <w:rPr>
          <w:rFonts w:ascii="微软雅黑" w:hAnsi="微软雅黑" w:eastAsia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《手把手教你做胜任力敏捷建模》</w:t>
      </w:r>
      <w:r>
        <w:rPr>
          <w:rFonts w:ascii="微软雅黑" w:hAnsi="微软雅黑" w:eastAsia="微软雅黑"/>
          <w:color w:val="262626"/>
          <w:sz w:val="24"/>
          <w:szCs w:val="24"/>
        </w:rPr>
        <w:t>(2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天公开课</w:t>
      </w:r>
      <w:r>
        <w:rPr>
          <w:rFonts w:ascii="微软雅黑" w:hAnsi="微软雅黑" w:eastAsia="微软雅黑"/>
          <w:color w:val="262626"/>
          <w:sz w:val="24"/>
          <w:szCs w:val="24"/>
        </w:rPr>
        <w:t>/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企业工作坊</w:t>
      </w:r>
      <w:r>
        <w:rPr>
          <w:rFonts w:ascii="微软雅黑" w:hAnsi="微软雅黑" w:eastAsia="微软雅黑"/>
          <w:color w:val="262626"/>
          <w:sz w:val="24"/>
          <w:szCs w:val="24"/>
        </w:rPr>
        <w:t>)</w:t>
      </w:r>
    </w:p>
    <w:p>
      <w:pPr>
        <w:spacing w:beforeAutospacing="0" w:afterAutospacing="0" w:line="360" w:lineRule="auto"/>
        <w:rPr>
          <w:rFonts w:ascii="微软雅黑" w:hAnsi="微软雅黑" w:eastAsia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《人才盘点与继任者计划</w:t>
      </w:r>
      <w:r>
        <w:rPr>
          <w:rFonts w:ascii="微软雅黑" w:hAnsi="微软雅黑" w:eastAsia="微软雅黑"/>
          <w:color w:val="262626"/>
          <w:sz w:val="24"/>
          <w:szCs w:val="24"/>
        </w:rPr>
        <w:t>---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方法论与最佳实践》</w:t>
      </w:r>
      <w:r>
        <w:rPr>
          <w:rFonts w:ascii="微软雅黑" w:hAnsi="微软雅黑" w:eastAsia="微软雅黑"/>
          <w:color w:val="262626"/>
          <w:sz w:val="24"/>
          <w:szCs w:val="24"/>
        </w:rPr>
        <w:t>(2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天公开课</w:t>
      </w:r>
      <w:r>
        <w:rPr>
          <w:rFonts w:ascii="微软雅黑" w:hAnsi="微软雅黑" w:eastAsia="微软雅黑"/>
          <w:color w:val="262626"/>
          <w:sz w:val="24"/>
          <w:szCs w:val="24"/>
        </w:rPr>
        <w:t>/</w:t>
      </w:r>
      <w:r>
        <w:rPr>
          <w:rFonts w:hint="eastAsia" w:ascii="微软雅黑" w:hAnsi="微软雅黑" w:eastAsia="微软雅黑" w:cs="宋体"/>
          <w:color w:val="262626"/>
          <w:sz w:val="24"/>
          <w:szCs w:val="24"/>
        </w:rPr>
        <w:t>企业工作坊</w:t>
      </w:r>
      <w:r>
        <w:rPr>
          <w:rFonts w:ascii="微软雅黑" w:hAnsi="微软雅黑" w:eastAsia="微软雅黑"/>
          <w:color w:val="262626"/>
          <w:sz w:val="24"/>
          <w:szCs w:val="24"/>
        </w:rPr>
        <w:t>)</w:t>
      </w:r>
    </w:p>
    <w:p/>
    <w:sectPr>
      <w:headerReference r:id="rId4" w:type="first"/>
      <w:headerReference r:id="rId3" w:type="default"/>
      <w:type w:val="continuous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Heiti">
    <w:altName w:val="宋体"/>
    <w:panose1 w:val="02010600040101010101"/>
    <w:charset w:val="86"/>
    <w:family w:val="swiss"/>
    <w:pitch w:val="default"/>
    <w:sig w:usb0="00000000" w:usb1="00000000" w:usb2="00000000" w:usb3="00000000" w:csb0="00160000" w:csb1="00000000"/>
  </w:font>
  <w:font w:name="Times">
    <w:altName w:val="Times New Roman"/>
    <w:panose1 w:val="00000500000000020000"/>
    <w:charset w:val="4D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D8D8D8" w:themeColor="background1" w:themeShade="D9" w:sz="6" w:space="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E6CB8"/>
    <w:multiLevelType w:val="singleLevel"/>
    <w:tmpl w:val="BFFE6CB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FD67E89A"/>
    <w:multiLevelType w:val="singleLevel"/>
    <w:tmpl w:val="FD67E89A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2">
    <w:nsid w:val="00000001"/>
    <w:multiLevelType w:val="multilevel"/>
    <w:tmpl w:val="00000001"/>
    <w:lvl w:ilvl="0" w:tentative="0">
      <w:start w:val="0"/>
      <w:numFmt w:val="bullet"/>
      <w:lvlText w:val="."/>
      <w:lvlJc w:val="left"/>
      <w:pPr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34305F7"/>
    <w:multiLevelType w:val="multilevel"/>
    <w:tmpl w:val="234305F7"/>
    <w:lvl w:ilvl="0" w:tentative="0">
      <w:start w:val="8"/>
      <w:numFmt w:val="bullet"/>
      <w:lvlText w:val="◇"/>
      <w:lvlJc w:val="left"/>
      <w:pPr>
        <w:ind w:left="360" w:hanging="360"/>
      </w:pPr>
      <w:rPr>
        <w:rFonts w:hint="eastAsia" w:ascii="等线" w:hAnsi="等线" w:eastAsia="等线" w:cs="STHeiti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OTVjN2RhYTBmYWMwOTc3NWVmZTAxMzA1ZDdmMjIifQ=="/>
  </w:docVars>
  <w:rsids>
    <w:rsidRoot w:val="00000000"/>
    <w:rsid w:val="1AA04031"/>
    <w:rsid w:val="494B577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qFormat/>
    <w:uiPriority w:val="99"/>
    <w:rPr>
      <w:sz w:val="18"/>
      <w:szCs w:val="18"/>
    </w:rPr>
  </w:style>
  <w:style w:type="character" w:customStyle="1" w:styleId="9">
    <w:name w:val="页脚 字符"/>
    <w:basedOn w:val="7"/>
    <w:qFormat/>
    <w:uiPriority w:val="99"/>
    <w:rPr>
      <w:sz w:val="18"/>
      <w:szCs w:val="18"/>
    </w:rPr>
  </w:style>
  <w:style w:type="table" w:customStyle="1" w:styleId="10">
    <w:name w:val="无格式表格 11"/>
    <w:basedOn w:val="5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a23f-6d5e-4603-83fc-20e6d9c0822f}">
  <ds:schemaRefs/>
</ds:datastoreItem>
</file>

<file path=customXml/itemProps2.xml><?xml version="1.0" encoding="utf-8"?>
<ds:datastoreItem xmlns:ds="http://schemas.openxmlformats.org/officeDocument/2006/customXml" ds:itemID="{eb13f2b9-7468-40d8-bb6f-8a24ebb0c5ed}">
  <ds:schemaRefs/>
</ds:datastoreItem>
</file>

<file path=customXml/itemProps3.xml><?xml version="1.0" encoding="utf-8"?>
<ds:datastoreItem xmlns:ds="http://schemas.openxmlformats.org/officeDocument/2006/customXml" ds:itemID="{46ba7dd2-3d0e-4d58-88cf-ebcd9aff8a11}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2021-12-30T11:55:00Z</dcterms:created>
  <dc:creator>Shen Penny</dc:creator>
  <cp:lastModifiedBy>章跃龙</cp:lastModifiedBy>
  <dcterms:modified xsi:type="dcterms:W3CDTF">2023-11-02T07:24:08Z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DE04D4F9F3634A22A23AA6F5EBAFCCB4_13</vt:lpwstr>
  </property>
</Properties>
</file>