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微软雅黑" w:hAnsi="微软雅黑" w:eastAsia="微软雅黑"/>
          <w:sz w:val="20"/>
          <w:szCs w:val="20"/>
        </w:rPr>
      </w:pPr>
      <w:bookmarkStart w:id="0" w:name="_Hlk91793999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360" w:lineRule="auto"/>
        <w:jc w:val="center"/>
      </w:pPr>
      <w:r>
        <w:rPr>
          <w:rFonts w:hint="eastAsia" w:ascii="微软雅黑" w:hAnsi="微软雅黑" w:eastAsia="微软雅黑" w:cs="Times New Roman"/>
          <w:color w:val="404040" w:themeColor="text1" w:themeTint="BF"/>
          <w:kern w:val="2"/>
          <w:sz w:val="44"/>
          <w:szCs w:val="44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关键岗位人才盘点与人才梯队建设</w:t>
      </w:r>
    </w:p>
    <w:p>
      <w:pPr>
        <w:snapToGrid w:val="0"/>
        <w:rPr>
          <w:rFonts w:ascii="微软雅黑" w:hAnsi="微软雅黑" w:eastAsia="微软雅黑"/>
          <w:sz w:val="20"/>
          <w:szCs w:val="20"/>
        </w:rPr>
      </w:pPr>
      <w:bookmarkStart w:id="1" w:name="_GoBack"/>
      <w:bookmarkEnd w:id="1"/>
    </w:p>
    <w:tbl>
      <w:tblPr>
        <w:tblStyle w:val="7"/>
        <w:tblW w:w="0" w:type="auto"/>
        <w:jc w:val="center"/>
        <w:tblBorders>
          <w:top w:val="single" w:color="D8D8D8" w:themeColor="background1" w:themeShade="D9" w:sz="4" w:space="0"/>
          <w:left w:val="single" w:color="D8D8D8" w:themeColor="background1" w:themeShade="D9" w:sz="4" w:space="0"/>
          <w:bottom w:val="single" w:color="D8D8D8" w:themeColor="background1" w:themeShade="D9" w:sz="4" w:space="0"/>
          <w:right w:val="single" w:color="D8D8D8" w:themeColor="background1" w:themeShade="D9" w:sz="4" w:space="0"/>
          <w:insideH w:val="single" w:color="D8D8D8" w:themeColor="background1" w:themeShade="D9" w:sz="4" w:space="0"/>
          <w:insideV w:val="single" w:color="D8D8D8" w:themeColor="background1" w:themeShade="D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3402"/>
      </w:tblGrid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253" w:type="dxa"/>
            <w:vAlign w:val="center"/>
          </w:tcPr>
          <w:p>
            <w:pPr>
              <w:snapToGrid w:val="0"/>
              <w:rPr>
                <w:rFonts w:hint="default" w:ascii="微软雅黑" w:hAnsi="微软雅黑" w:eastAsia="微软雅黑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讲师</w:t>
            </w:r>
            <w:r>
              <w:rPr>
                <w:rFonts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/Lecturer</w:t>
            </w: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：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元晓敏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费用</w:t>
            </w:r>
            <w:r>
              <w:rPr>
                <w:rFonts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/Price</w:t>
            </w: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：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¥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5280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元</w:t>
            </w:r>
            <w:r>
              <w:rPr>
                <w:rFonts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/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655" w:type="dxa"/>
            <w:gridSpan w:val="2"/>
            <w:vAlign w:val="center"/>
          </w:tcPr>
          <w:p>
            <w:pPr>
              <w:snapToGrid w:val="0"/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企业团报/提前15天报名课联系顾问了解优惠价</w:t>
            </w:r>
          </w:p>
        </w:tc>
      </w:tr>
    </w:tbl>
    <w:p>
      <w:pPr>
        <w:snapToGrid w:val="0"/>
        <w:spacing w:line="288" w:lineRule="auto"/>
        <w:rPr>
          <w:rFonts w:ascii="微软雅黑" w:hAnsi="微软雅黑" w:eastAsia="微软雅黑" w:cs="微软雅黑"/>
          <w:color w:val="404040" w:themeColor="text1" w:themeTint="BF"/>
          <w:kern w:val="0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napToGrid w:val="0"/>
        <w:spacing w:line="288" w:lineRule="auto"/>
        <w:rPr>
          <w:rFonts w:ascii="微软雅黑" w:hAnsi="微软雅黑" w:eastAsia="微软雅黑" w:cs="微软雅黑"/>
          <w:color w:val="404040" w:themeColor="text1" w:themeTint="BF"/>
          <w:kern w:val="0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napToGrid w:val="0"/>
        <w:rPr>
          <w:rFonts w:ascii="微软雅黑" w:hAnsi="微软雅黑" w:eastAsia="微软雅黑" w:cs="微软雅黑"/>
          <w:color w:val="2E74B5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bCs/>
          <w:color w:val="2E74B5"/>
          <w:kern w:val="0"/>
          <w:sz w:val="26"/>
          <w:szCs w:val="26"/>
        </w:rPr>
        <w:t>课程排期/</w:t>
      </w:r>
      <w:r>
        <w:rPr>
          <w:rFonts w:ascii="微软雅黑" w:hAnsi="微软雅黑" w:eastAsia="微软雅黑" w:cs="宋体"/>
          <w:b/>
          <w:bCs/>
          <w:color w:val="2E74B5"/>
          <w:kern w:val="0"/>
          <w:sz w:val="26"/>
          <w:szCs w:val="26"/>
        </w:rPr>
        <w:t>Scheduling</w:t>
      </w:r>
    </w:p>
    <w:p>
      <w:pPr>
        <w:pStyle w:val="12"/>
        <w:ind w:firstLine="0" w:firstLineChars="0"/>
        <w:rPr>
          <w:rFonts w:ascii="微软雅黑" w:hAnsi="微软雅黑" w:eastAsia="微软雅黑"/>
          <w:color w:val="595959"/>
          <w:sz w:val="16"/>
          <w:szCs w:val="16"/>
        </w:rPr>
      </w:pPr>
    </w:p>
    <w:p>
      <w:r>
        <w:rPr>
          <w:rFonts w:hint="eastAsia" w:ascii="微软雅黑" w:hAnsi="微软雅黑" w:eastAsia="微软雅黑" w:cs="微软雅黑"/>
          <w:b/>
          <w:color w:val="000000"/>
          <w:sz w:val="20"/>
          <w:lang w:val="en-US" w:eastAsia="zh-CN"/>
        </w:rPr>
        <w:t>深圳</w:t>
      </w:r>
      <w:r>
        <w:rPr>
          <w:rFonts w:ascii="微软雅黑" w:hAnsi="微软雅黑" w:eastAsia="微软雅黑" w:cs="微软雅黑"/>
          <w:b/>
          <w:color w:val="000000"/>
          <w:sz w:val="20"/>
        </w:rPr>
        <w:t>：202</w:t>
      </w:r>
      <w:r>
        <w:rPr>
          <w:rFonts w:hint="eastAsia" w:ascii="微软雅黑" w:hAnsi="微软雅黑" w:eastAsia="微软雅黑" w:cs="微软雅黑"/>
          <w:b/>
          <w:color w:val="000000"/>
          <w:sz w:val="20"/>
          <w:lang w:val="en-US" w:eastAsia="zh-CN"/>
        </w:rPr>
        <w:t>4</w:t>
      </w:r>
      <w:r>
        <w:rPr>
          <w:rFonts w:ascii="微软雅黑" w:hAnsi="微软雅黑" w:eastAsia="微软雅黑" w:cs="微软雅黑"/>
          <w:b/>
          <w:color w:val="000000"/>
          <w:sz w:val="20"/>
        </w:rPr>
        <w:t>年0</w:t>
      </w:r>
      <w:r>
        <w:rPr>
          <w:rFonts w:hint="eastAsia" w:ascii="微软雅黑" w:hAnsi="微软雅黑" w:eastAsia="微软雅黑" w:cs="微软雅黑"/>
          <w:b/>
          <w:color w:val="000000"/>
          <w:sz w:val="20"/>
          <w:lang w:val="en-US" w:eastAsia="zh-CN"/>
        </w:rPr>
        <w:t>5</w:t>
      </w:r>
      <w:r>
        <w:rPr>
          <w:rFonts w:ascii="微软雅黑" w:hAnsi="微软雅黑" w:eastAsia="微软雅黑" w:cs="微软雅黑"/>
          <w:b/>
          <w:color w:val="000000"/>
          <w:sz w:val="20"/>
        </w:rPr>
        <w:t>月</w:t>
      </w:r>
      <w:r>
        <w:rPr>
          <w:rFonts w:hint="eastAsia" w:ascii="微软雅黑" w:hAnsi="微软雅黑" w:eastAsia="微软雅黑" w:cs="微软雅黑"/>
          <w:b/>
          <w:color w:val="000000"/>
          <w:sz w:val="20"/>
          <w:lang w:val="en-US" w:eastAsia="zh-CN"/>
        </w:rPr>
        <w:t>24</w:t>
      </w:r>
      <w:r>
        <w:rPr>
          <w:rFonts w:ascii="微软雅黑" w:hAnsi="微软雅黑" w:eastAsia="微软雅黑" w:cs="微软雅黑"/>
          <w:b/>
          <w:color w:val="000000"/>
          <w:sz w:val="20"/>
        </w:rPr>
        <w:t>日-</w:t>
      </w:r>
      <w:r>
        <w:rPr>
          <w:rFonts w:hint="eastAsia" w:ascii="微软雅黑" w:hAnsi="微软雅黑" w:eastAsia="微软雅黑" w:cs="微软雅黑"/>
          <w:b/>
          <w:color w:val="000000"/>
          <w:sz w:val="20"/>
          <w:lang w:val="en-US" w:eastAsia="zh-CN"/>
        </w:rPr>
        <w:t>25</w:t>
      </w:r>
      <w:r>
        <w:rPr>
          <w:rFonts w:ascii="微软雅黑" w:hAnsi="微软雅黑" w:eastAsia="微软雅黑" w:cs="微软雅黑"/>
          <w:b/>
          <w:color w:val="000000"/>
          <w:sz w:val="20"/>
        </w:rPr>
        <w:t>日</w:t>
      </w:r>
    </w:p>
    <w:p/>
    <w:p>
      <w:r>
        <w:rPr>
          <w:rFonts w:ascii="微软雅黑" w:hAnsi="微软雅黑" w:eastAsia="微软雅黑" w:cs="微软雅黑"/>
          <w:b/>
          <w:color w:val="2E74B5"/>
          <w:sz w:val="26"/>
        </w:rPr>
        <w:t>课程概述/Overview</w:t>
      </w:r>
    </w:p>
    <w:p>
      <w:r>
        <w:rPr>
          <w:rFonts w:ascii="微软雅黑" w:hAnsi="微软雅黑" w:eastAsia="微软雅黑" w:cs="微软雅黑"/>
          <w:b/>
          <w:color w:val="000000"/>
          <w:sz w:val="22"/>
        </w:rPr>
        <w:t>课程背景：</w:t>
      </w:r>
    </w:p>
    <w:p>
      <w:r>
        <w:rPr>
          <w:rFonts w:hint="eastAsia" w:ascii="微软雅黑" w:hAnsi="微软雅黑" w:eastAsia="微软雅黑" w:cs="微软雅黑"/>
          <w:sz w:val="20"/>
        </w:rPr>
        <w:t>伴随着经济环境不确定性的增加，组织内部缺乏人才账本、管理人才断层、高潜人才大量流失等状况频发，企业和业务部门普遍感受到了严峻的人才挑战，要解决人才需求旺盛和人才供给短缺间的矛盾，就必须建立一套持续稳定的人才供应链生态圈，打造一支内部“来之能战，战之必胜”的人才队伍，人对了，事基本就成了，人才的选拔尤其重要，而梯队人才队伍建设是战略落地和业务目标达成的关键，只有全力投入识别、选拔、培养和评估未来人才的企业，才能够应对来自市场竞争和人才竞争的双重挑战，持续保持领先。</w:t>
      </w:r>
    </w:p>
    <w:p/>
    <w:p>
      <w:r>
        <w:rPr>
          <w:rFonts w:hint="eastAsia" w:ascii="微软雅黑" w:hAnsi="微软雅黑" w:eastAsia="微软雅黑" w:cs="微软雅黑"/>
          <w:b/>
          <w:color w:val="000000"/>
          <w:sz w:val="22"/>
          <w:lang w:val="en-US" w:eastAsia="zh-CN"/>
        </w:rPr>
        <w:t>课程收益</w:t>
      </w:r>
      <w:r>
        <w:rPr>
          <w:rFonts w:ascii="微软雅黑" w:hAnsi="微软雅黑" w:eastAsia="微软雅黑" w:cs="微软雅黑"/>
          <w:b/>
          <w:color w:val="000000"/>
          <w:sz w:val="22"/>
        </w:rPr>
        <w:t>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能够站在组织的视角，厘清组织战略与人才战略的关系；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建立组织人才梯队和人才管理的全局性和系统性思维；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了解企业内部实施人才盘点的底层逻辑和价值；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能够运用业务语言与业务部门达成共识，赢得业务的理解和支持；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能够建立和澄清人才标准、在人才盘点中使用合适的评价方法和工具；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识别内部关键岗位并掌握关键人才加速成长和发展的有效策略；</w:t>
      </w:r>
    </w:p>
    <w:p>
      <w:pPr>
        <w:numPr>
          <w:ilvl w:val="0"/>
          <w:numId w:val="1"/>
        </w:numPr>
        <w:ind w:left="425" w:leftChars="0" w:hanging="425" w:firstLineChars="0"/>
      </w:pPr>
      <w:r>
        <w:rPr>
          <w:rFonts w:hint="eastAsia" w:ascii="微软雅黑" w:hAnsi="微软雅黑" w:eastAsia="微软雅黑" w:cs="微软雅黑"/>
          <w:sz w:val="20"/>
        </w:rPr>
        <w:t>掌握一套实用落地、实操性强的人才盘点与梯队建设实践工具和方法。</w:t>
      </w:r>
    </w:p>
    <w:p>
      <w:pPr>
        <w:rPr>
          <w:rFonts w:ascii="微软雅黑" w:hAnsi="微软雅黑" w:eastAsia="微软雅黑" w:cs="微软雅黑"/>
          <w:b/>
          <w:color w:val="000000"/>
          <w:sz w:val="22"/>
        </w:rPr>
      </w:pPr>
    </w:p>
    <w:p>
      <w:r>
        <w:rPr>
          <w:rFonts w:ascii="微软雅黑" w:hAnsi="微软雅黑" w:eastAsia="微软雅黑" w:cs="微软雅黑"/>
          <w:b/>
          <w:color w:val="000000"/>
          <w:sz w:val="22"/>
        </w:rPr>
        <w:t>课程</w:t>
      </w:r>
      <w:r>
        <w:rPr>
          <w:rFonts w:hint="eastAsia" w:ascii="微软雅黑" w:hAnsi="微软雅黑" w:eastAsia="微软雅黑" w:cs="微软雅黑"/>
          <w:b/>
          <w:color w:val="000000"/>
          <w:sz w:val="22"/>
          <w:lang w:val="en-US" w:eastAsia="zh-CN"/>
        </w:rPr>
        <w:t>亮点</w:t>
      </w:r>
      <w:r>
        <w:rPr>
          <w:rFonts w:ascii="微软雅黑" w:hAnsi="微软雅黑" w:eastAsia="微软雅黑" w:cs="微软雅黑"/>
          <w:b/>
          <w:color w:val="000000"/>
          <w:sz w:val="22"/>
        </w:rPr>
        <w:t>: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系统方法：</w:t>
      </w:r>
      <w:r>
        <w:rPr>
          <w:rFonts w:hint="eastAsia" w:ascii="微软雅黑" w:hAnsi="微软雅黑" w:eastAsia="微软雅黑" w:cs="微软雅黑"/>
          <w:sz w:val="20"/>
        </w:rPr>
        <w:t>从底层逻辑到顶层设计，掌握从0-1构建人才梯队的方法流程；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紧贴业务：</w:t>
      </w:r>
      <w:r>
        <w:rPr>
          <w:rFonts w:hint="eastAsia" w:ascii="微软雅黑" w:hAnsi="微软雅黑" w:eastAsia="微软雅黑" w:cs="微软雅黑"/>
          <w:sz w:val="20"/>
        </w:rPr>
        <w:t>站在组织和业务视角，运用业务语言推动人才盘点和梯队建设在企业落地；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案例丰富：</w:t>
      </w:r>
      <w:r>
        <w:rPr>
          <w:rFonts w:hint="eastAsia" w:ascii="微软雅黑" w:hAnsi="微软雅黑" w:eastAsia="微软雅黑" w:cs="微软雅黑"/>
          <w:sz w:val="20"/>
        </w:rPr>
        <w:t>融入全球TOP企业最佳实践，用真实、场景化的案例实用易懂的传递给学员；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实战落地：</w:t>
      </w:r>
      <w:r>
        <w:rPr>
          <w:rFonts w:hint="eastAsia" w:ascii="微软雅黑" w:hAnsi="微软雅黑" w:eastAsia="微软雅黑" w:cs="微软雅黑"/>
          <w:sz w:val="20"/>
        </w:rPr>
        <w:t>提供一套完整落地工具包，易学易懂，拿来即用。</w:t>
      </w:r>
    </w:p>
    <w:p/>
    <w:p/>
    <w:p>
      <w:r>
        <w:rPr>
          <w:rFonts w:hint="eastAsia" w:ascii="微软雅黑" w:hAnsi="微软雅黑" w:eastAsia="微软雅黑" w:cs="微软雅黑"/>
          <w:b/>
          <w:color w:val="000000"/>
          <w:sz w:val="22"/>
          <w:lang w:val="en-US" w:eastAsia="zh-CN"/>
        </w:rPr>
        <w:t>学习对象</w:t>
      </w:r>
      <w:r>
        <w:rPr>
          <w:rFonts w:ascii="微软雅黑" w:hAnsi="微软雅黑" w:eastAsia="微软雅黑" w:cs="微软雅黑"/>
          <w:b/>
          <w:color w:val="000000"/>
          <w:sz w:val="22"/>
        </w:rPr>
        <w:t>:</w:t>
      </w:r>
    </w:p>
    <w:p>
      <w:pPr>
        <w:pStyle w:val="5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360" w:lineRule="auto"/>
        <w:ind w:left="425" w:leftChars="0" w:hanging="425" w:firstLineChars="0"/>
        <w:rPr>
          <w:rFonts w:hint="eastAsia" w:ascii="微软雅黑" w:hAnsi="微软雅黑" w:eastAsia="微软雅黑" w:cs="微软雅黑"/>
          <w:kern w:val="2"/>
          <w:sz w:val="20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0"/>
          <w:szCs w:val="22"/>
          <w:lang w:val="en-US" w:eastAsia="zh-CN" w:bidi="ar-SA"/>
        </w:rPr>
        <w:t>人力资源各层级管理者；</w:t>
      </w:r>
    </w:p>
    <w:p>
      <w:pPr>
        <w:pStyle w:val="5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360" w:lineRule="auto"/>
        <w:ind w:left="425" w:leftChars="0" w:hanging="425" w:firstLineChars="0"/>
        <w:rPr>
          <w:rFonts w:hint="eastAsia" w:ascii="微软雅黑" w:hAnsi="微软雅黑" w:eastAsia="微软雅黑" w:cs="微软雅黑"/>
          <w:kern w:val="2"/>
          <w:sz w:val="20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0"/>
          <w:szCs w:val="22"/>
          <w:lang w:val="en-US" w:eastAsia="zh-CN" w:bidi="ar-SA"/>
        </w:rPr>
        <w:t>各部门中高层管理人员；</w:t>
      </w:r>
    </w:p>
    <w:p>
      <w:pPr>
        <w:pStyle w:val="5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360" w:lineRule="auto"/>
        <w:ind w:left="425" w:leftChars="0" w:hanging="425" w:firstLineChars="0"/>
        <w:rPr>
          <w:rFonts w:hint="eastAsia" w:ascii="微软雅黑" w:hAnsi="微软雅黑" w:eastAsia="微软雅黑" w:cs="微软雅黑"/>
          <w:kern w:val="2"/>
          <w:sz w:val="20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0"/>
          <w:szCs w:val="22"/>
          <w:lang w:val="en-US" w:eastAsia="zh-CN" w:bidi="ar-SA"/>
        </w:rPr>
        <w:t>培训、学习发展、人才发展、组织发展等相关人员</w:t>
      </w:r>
    </w:p>
    <w:p/>
    <w:p/>
    <w:p>
      <w:r>
        <w:rPr>
          <w:rFonts w:ascii="微软雅黑" w:hAnsi="微软雅黑" w:eastAsia="微软雅黑" w:cs="微软雅黑"/>
          <w:b/>
          <w:color w:val="2E74B5"/>
          <w:sz w:val="26"/>
        </w:rPr>
        <w:t>课程大纲/Outline</w:t>
      </w:r>
    </w:p>
    <w:p>
      <w:r>
        <w:rPr>
          <w:rFonts w:ascii="微软雅黑" w:hAnsi="微软雅黑" w:eastAsia="微软雅黑" w:cs="微软雅黑"/>
          <w:b/>
          <w:color w:val="000000"/>
          <w:sz w:val="22"/>
        </w:rPr>
        <w:t>单元一、招聘面面观</w:t>
      </w: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课程导入：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企业关键岗位人才储备数据洞察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企业在人才梯队建设中的问题和挑战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组织期待的人才梯队特征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案例：人才管理中不容忽视的真相</w:t>
      </w:r>
    </w:p>
    <w:p>
      <w:pPr>
        <w:rPr>
          <w:rFonts w:hint="eastAsia" w:ascii="微软雅黑" w:hAnsi="微软雅黑" w:eastAsia="微软雅黑" w:cs="微软雅黑"/>
          <w:sz w:val="20"/>
        </w:rPr>
      </w:pP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模块一：人才梯队管理体系和关键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什么是人才梯队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人才供应链管理生态圈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人才梯队建设成功影响因素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人才梯队建设5大管理体系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人才梯队建设的逻辑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人才梯队建设中各方职责</w:t>
      </w: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模块二：组织与人才需求规划分析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组织战略和业务需求分析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从组织战略到人才战略的逻辑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从未来业务看组织关键人才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从未来业务看组织人才结构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正确认识人才盘点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什么是人才盘点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人才盘点的价值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人才盘点的6大关键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人才盘点范围和内容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从经营和业务视角看人才盘点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不同场景的人才盘点内容及重点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组织关键岗位识别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锁定“少数关键”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什么是关键岗位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从组织战略到关键岗位识别逻辑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关键岗位判定维度和标准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关键岗位匹配度分析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人才结构分析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人才结构分析3大维度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警惕6种病态人才结构</w:t>
      </w: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模块三：人才盘点评估内容和方法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标准体系建设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构建关键人才画像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敏捷能力建模方法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领导力通用能力模型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绩效评估常见问题及解决策略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通用潜力模型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“能力标准”和“绩效评估”不健全时，如何评估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不同企业人才评估维度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评价体系建设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绩效评估关键和方法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能力评估关键和方法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潜力评估关键和方法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360度全景评估设定与定位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能力评分关键要点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测评工具选择要点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关键岗位盘点体系建设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经典九宫格&amp;高潜九宫格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高潜九宫格使用5大策略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继任者&amp;高潜人才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关键岗位继任计划分析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关键人才岗位风险分析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关键人才准备度分析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盘点数据分析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个体数据对比分析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输出个人发展报告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团队数据对比分析</w:t>
      </w: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模块四：构建人才盘点运营体系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盘点会议前准备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人才盘点赋能启动会的价值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如何开好人才盘点赋能启动会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盘点会议准备清单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业务部门人才盘点会资料准备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建立“员工发展档案表”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实施人才盘点会议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盘点会议流程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打造盘点会议公正客观场域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盘点会议中各方角色分工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业务部门汇报内容标准和规范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人才盘点会议结果5大关键输出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盘点会议后措施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盘点结果反馈方式及反馈内容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人才盘点结果6大应用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案例：某多元化企业人才盘点应用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九宫格加薪及发展策略</w:t>
      </w: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模块五：梯队人才管理与人才培养发展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建立人才入库机制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目标岗位与后备岗位范围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人才储备数量分析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明确入库标准和组织内部评价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构建分层分类人才池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梯队人才加速培养机制</w:t>
      </w:r>
    </w:p>
    <w:p>
      <w:pPr>
        <w:numPr>
          <w:ilvl w:val="0"/>
          <w:numId w:val="22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九宫格中不同人群发展策略</w:t>
      </w:r>
    </w:p>
    <w:p>
      <w:pPr>
        <w:numPr>
          <w:ilvl w:val="0"/>
          <w:numId w:val="22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不同层级学员发展重点及发展方式</w:t>
      </w:r>
    </w:p>
    <w:p>
      <w:pPr>
        <w:numPr>
          <w:ilvl w:val="0"/>
          <w:numId w:val="22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不同梯队人才发展项目设计关键</w:t>
      </w:r>
    </w:p>
    <w:p>
      <w:pPr>
        <w:numPr>
          <w:ilvl w:val="0"/>
          <w:numId w:val="22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个人发展计划IDP制定和落地</w:t>
      </w:r>
    </w:p>
    <w:p>
      <w:pPr>
        <w:numPr>
          <w:ilvl w:val="0"/>
          <w:numId w:val="22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“训练战”循环赋能人才培养模式</w:t>
      </w:r>
    </w:p>
    <w:p>
      <w:pPr>
        <w:numPr>
          <w:ilvl w:val="0"/>
          <w:numId w:val="22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“经验学习”快速复制人才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梯队人才发展项目案例</w:t>
      </w:r>
    </w:p>
    <w:p>
      <w:pPr>
        <w:numPr>
          <w:ilvl w:val="0"/>
          <w:numId w:val="23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案例1：某上市新能源企业管培生培养发展项目</w:t>
      </w:r>
    </w:p>
    <w:p>
      <w:pPr>
        <w:numPr>
          <w:ilvl w:val="0"/>
          <w:numId w:val="23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案例2：某变革转型期企业青年人才培养项目</w:t>
      </w:r>
    </w:p>
    <w:p>
      <w:pPr>
        <w:numPr>
          <w:ilvl w:val="0"/>
          <w:numId w:val="23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案例3：某大型物流企业中层业务关键人才培养项目</w:t>
      </w:r>
    </w:p>
    <w:p>
      <w:pPr>
        <w:numPr>
          <w:ilvl w:val="0"/>
          <w:numId w:val="23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案例4：某多元化企业中层人员IDP实施项目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人才库的管理和更新</w:t>
      </w:r>
    </w:p>
    <w:p>
      <w:pPr>
        <w:numPr>
          <w:ilvl w:val="0"/>
          <w:numId w:val="24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人才培养机制</w:t>
      </w:r>
    </w:p>
    <w:p>
      <w:pPr>
        <w:numPr>
          <w:ilvl w:val="0"/>
          <w:numId w:val="24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人才任用机制</w:t>
      </w:r>
    </w:p>
    <w:p>
      <w:pPr>
        <w:numPr>
          <w:ilvl w:val="0"/>
          <w:numId w:val="24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人才内部流动机制</w:t>
      </w:r>
    </w:p>
    <w:p>
      <w:pPr>
        <w:numPr>
          <w:ilvl w:val="0"/>
          <w:numId w:val="24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人才保护机制</w:t>
      </w:r>
    </w:p>
    <w:p>
      <w:pPr>
        <w:numPr>
          <w:ilvl w:val="0"/>
          <w:numId w:val="24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人才库退出机制</w:t>
      </w:r>
    </w:p>
    <w:p>
      <w:pPr>
        <w:numPr>
          <w:ilvl w:val="0"/>
          <w:numId w:val="24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人才出库机制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业务战略下的人才梯队建设有效性衡量指标设定</w:t>
      </w: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课程工具模板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《岗位影响力及风险评估表》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《关键岗位人才盘点表》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《高潜人才潜力评估表》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《空缺关键岗位填补策略表》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《个人盘点报告模板》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《员工发展档案表》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《关键岗位“在职者”分析表》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《关键岗位“继任者”分析表》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《个人发展IDP表》</w:t>
      </w:r>
    </w:p>
    <w:p/>
    <w:p/>
    <w:p/>
    <w:p>
      <w:r>
        <w:rPr>
          <w:rFonts w:ascii="微软雅黑" w:hAnsi="微软雅黑" w:eastAsia="微软雅黑" w:cs="微软雅黑"/>
          <w:b/>
          <w:color w:val="2E74B5"/>
          <w:sz w:val="26"/>
        </w:rPr>
        <w:t>讲师介绍/Lecturer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360" w:lineRule="auto"/>
        <w:jc w:val="left"/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ascii="微软雅黑" w:hAnsi="微软雅黑" w:eastAsia="微软雅黑" w:cs="微软雅黑"/>
          <w:b/>
          <w:color w:val="000000"/>
          <w:sz w:val="22"/>
        </w:rPr>
        <w:t>元晓敏</w:t>
      </w:r>
      <w:r>
        <w:rPr>
          <w:rFonts w:hint="eastAsia" w:ascii="微软雅黑" w:hAnsi="微软雅黑" w:eastAsia="微软雅黑" w:cs="微软雅黑"/>
          <w:b/>
          <w:color w:val="000000"/>
          <w:sz w:val="22"/>
        </w:rPr>
        <w:t>老师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360" w:lineRule="auto"/>
        <w:jc w:val="left"/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drawing>
          <wp:inline distT="0" distB="0" distL="114300" distR="114300">
            <wp:extent cx="1802130" cy="2282825"/>
            <wp:effectExtent l="0" t="0" r="762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元晓敏老师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原千亿级上市企业全球总部学习与发展总监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20年企业人才发展与管理经验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3家企业大学运营及管理经验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领导力与人才发展高级顾问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组织经验萃取与课程开发专家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“中国绿色能源产教融合发展联盟“智库专家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2020年、2021年“我是好培经”全国大赛辅导导师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西安交通大学毕业</w:t>
      </w: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讲师资历：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先后任职于500强半导体、汽车、新能源巨头等全球性TOP企业总部，担任学习与发展总监、企业大学运营管理总监、领导力学院院长、企业大学负责人等岗位。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负责多个组织级领导力学习项目设计开发和落地，筹建的企业大学和主导的学习项目曾多次获得“中国最佳学习型组织”、“中国最具成长性企业大学”、“中国优秀企业大学”、“中国学习与发展价值大奖”、“数字化最佳企业实践”、“中国人才发展菁英奖”等多项殊荣。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任职3家企业大学期间，带领团队完成企业大学5中心（案例中心、测评中心、行动学习中心、认证中心、运营中心） 的重要筹建和运营管理工作，并获得唯一一个职能部门“全球年度最佳团队”荣誉。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元老师拥有超过20年甲方丰富的实践工作经验外，还曾担任乙方知名培训机构人才研究院院长及产品总监等岗位，赋能内部培训顾问和销售团队成长，开发特色培训产品，为客户提供人才和培训综合性解决方案等。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由于她的经历和专业，她被聘为“中国培训经理人俱乐部华东总会特聘专家”，并作为2020年和2021年中国好培经“大赛两届全国辅导导师，同时还被聘为“中国绿色能源产教融合发展联盟“智库专家。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多家上市公司领导力与人才发展高级咨询顾问，先后成功帮助多家企业搭建战略性领导力发展体系、人才梯队体系、组织经验萃取、案例中心体系搭建、课程开发等项目，多门版权课程开发者及项目导师。</w:t>
      </w: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专注领域：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领导力发展、人才管理与开发、人才梯队建设、培训体系搭建、组织经验萃取等领域的诊断、咨询、培训、课程设计、辅导等多种方式</w:t>
      </w: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主讲课程：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版权课：《百炼成金——3P经验萃取©》、《拍案成课——5C情境案例课程开发©》、《蝶变——管理者16场情境修炼©》、《匠营——敏捷学习项目设计©》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品牌课：《组织与人才战略》、《关键岗位人才梯队建设与人才盘点》、《敏捷人才发展项目设计与落地》、《团队赋能与辅导激励》、《人才快速培养与复制体系打造》、《关键人才培养-IDP的实操及落地》、《师课共创——从经验到萃取的课程开发》、《五维一体培训体系搭建》、《关键跨越——管理者角色认知与转型》等</w:t>
      </w: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授课风格：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系统性强：思维敏锐、具有高效的逻辑分析能力，注重项目过程中的系统性规划和思考，推动实现项目过程中内容建构的体系化，为客户输出成体系的系统性的成果。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实践性强：讲课深入浅出，条理清楚，层层剖析，环环相扣，内容富有深度，实战性强。通过与学员互动，分析案例，以最精彩的讲授研讨方式，将课程的基础理论内涵和应用模式外延呈现给学员。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落地性强：注重培训成果落地导向，强调学以致用。并且能将丰富的真实案例和具体方式方法引入项目，让客户在充分认知现实情况的基础上获得更多的资讯与借鉴，并在项目中通过互动、反思、模拟、练习，确保项目成果的落地可行。</w:t>
      </w: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部分服务企业：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国药控股、京新药业、青峰医药、药明康德、迦南科技、上海烟草集团、上海电气、世贸集团、携程、国家电网、同程艺龙、深圳能源、中国电信、伊利集团、金龙汽车、中国一汽、中信戴卡股份、厦门钨业股份、浙江国贸集团、苏州交发集团、顾家家居、中国建材集团、一汽大众、杭州圣奥集团、万丰奥特控股、上海悸动餐饮、苏泊尔、阿里巴巴、九阳股份、娃哈哈、中国银行、台州银行、厦门国际银行、西部证券、东吴证券、中原银行、上海农商银行、长沙农村商业银行、中国平安、英迈中国、天合光能、晶科能源、隆基绿能、尚德电力、宁德时代、正泰电器、老板电器、公牛集团、佳通轮胎、中国民航、中华保险、中国邮政储蓄银行、中国移动、广西锡山矿业、中国水泥、美年大健康、杭州贝咖实业、中通快运、中电海康、江苏常高新集团等</w:t>
      </w:r>
    </w:p>
    <w:sectPr>
      <w:headerReference r:id="rId4" w:type="first"/>
      <w:headerReference r:id="rId3" w:type="default"/>
      <w:type w:val="continuous"/>
      <w:pgSz w:w="11906" w:h="16838"/>
      <w:pgMar w:top="1440" w:right="1080" w:bottom="1440" w:left="108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D8D8D8" w:themeColor="background1" w:themeShade="D9" w:sz="6" w:space="8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2AA388"/>
    <w:multiLevelType w:val="singleLevel"/>
    <w:tmpl w:val="842AA388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B5F787A0"/>
    <w:multiLevelType w:val="singleLevel"/>
    <w:tmpl w:val="B5F787A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C171FF41"/>
    <w:multiLevelType w:val="singleLevel"/>
    <w:tmpl w:val="C171FF4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C6C1AD4D"/>
    <w:multiLevelType w:val="singleLevel"/>
    <w:tmpl w:val="C6C1AD4D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>
    <w:nsid w:val="CE6AB110"/>
    <w:multiLevelType w:val="singleLevel"/>
    <w:tmpl w:val="CE6AB110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>
    <w:nsid w:val="D09B663F"/>
    <w:multiLevelType w:val="singleLevel"/>
    <w:tmpl w:val="D09B663F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>
    <w:nsid w:val="DA0B5D56"/>
    <w:multiLevelType w:val="singleLevel"/>
    <w:tmpl w:val="DA0B5D56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7">
    <w:nsid w:val="0359C74E"/>
    <w:multiLevelType w:val="singleLevel"/>
    <w:tmpl w:val="0359C74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0639EECE"/>
    <w:multiLevelType w:val="singleLevel"/>
    <w:tmpl w:val="0639EECE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9">
    <w:nsid w:val="0A084443"/>
    <w:multiLevelType w:val="singleLevel"/>
    <w:tmpl w:val="0A084443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0">
    <w:nsid w:val="1B39A914"/>
    <w:multiLevelType w:val="singleLevel"/>
    <w:tmpl w:val="1B39A91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22D3CF89"/>
    <w:multiLevelType w:val="singleLevel"/>
    <w:tmpl w:val="22D3CF8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240006AD"/>
    <w:multiLevelType w:val="singleLevel"/>
    <w:tmpl w:val="240006AD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3">
    <w:nsid w:val="2AAB5097"/>
    <w:multiLevelType w:val="singleLevel"/>
    <w:tmpl w:val="2AAB509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2C082217"/>
    <w:multiLevelType w:val="singleLevel"/>
    <w:tmpl w:val="2C08221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2D42C9C6"/>
    <w:multiLevelType w:val="singleLevel"/>
    <w:tmpl w:val="2D42C9C6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6">
    <w:nsid w:val="302EFB65"/>
    <w:multiLevelType w:val="singleLevel"/>
    <w:tmpl w:val="302EFB65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7">
    <w:nsid w:val="305B9073"/>
    <w:multiLevelType w:val="singleLevel"/>
    <w:tmpl w:val="305B907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">
    <w:nsid w:val="35677CB8"/>
    <w:multiLevelType w:val="singleLevel"/>
    <w:tmpl w:val="35677CB8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9">
    <w:nsid w:val="4D963DA1"/>
    <w:multiLevelType w:val="singleLevel"/>
    <w:tmpl w:val="4D963DA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0">
    <w:nsid w:val="525322DC"/>
    <w:multiLevelType w:val="singleLevel"/>
    <w:tmpl w:val="525322D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1">
    <w:nsid w:val="62B7DF18"/>
    <w:multiLevelType w:val="singleLevel"/>
    <w:tmpl w:val="62B7DF18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2">
    <w:nsid w:val="76D7878A"/>
    <w:multiLevelType w:val="singleLevel"/>
    <w:tmpl w:val="76D7878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3">
    <w:nsid w:val="7D0A609C"/>
    <w:multiLevelType w:val="singleLevel"/>
    <w:tmpl w:val="7D0A609C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1"/>
  </w:num>
  <w:num w:numId="5">
    <w:abstractNumId w:val="17"/>
  </w:num>
  <w:num w:numId="6">
    <w:abstractNumId w:val="14"/>
  </w:num>
  <w:num w:numId="7">
    <w:abstractNumId w:val="18"/>
  </w:num>
  <w:num w:numId="8">
    <w:abstractNumId w:val="3"/>
  </w:num>
  <w:num w:numId="9">
    <w:abstractNumId w:val="6"/>
  </w:num>
  <w:num w:numId="10">
    <w:abstractNumId w:val="12"/>
  </w:num>
  <w:num w:numId="11">
    <w:abstractNumId w:val="11"/>
  </w:num>
  <w:num w:numId="12">
    <w:abstractNumId w:val="21"/>
  </w:num>
  <w:num w:numId="13">
    <w:abstractNumId w:val="5"/>
  </w:num>
  <w:num w:numId="14">
    <w:abstractNumId w:val="9"/>
  </w:num>
  <w:num w:numId="15">
    <w:abstractNumId w:val="15"/>
  </w:num>
  <w:num w:numId="16">
    <w:abstractNumId w:val="10"/>
  </w:num>
  <w:num w:numId="17">
    <w:abstractNumId w:val="23"/>
  </w:num>
  <w:num w:numId="18">
    <w:abstractNumId w:val="19"/>
  </w:num>
  <w:num w:numId="19">
    <w:abstractNumId w:val="0"/>
  </w:num>
  <w:num w:numId="20">
    <w:abstractNumId w:val="7"/>
  </w:num>
  <w:num w:numId="21">
    <w:abstractNumId w:val="8"/>
  </w:num>
  <w:num w:numId="22">
    <w:abstractNumId w:val="16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hOTVjN2RhYTBmYWMwOTc3NWVmZTAxMzA1ZDdmMjIifQ=="/>
  </w:docVars>
  <w:rsids>
    <w:rsidRoot w:val="00000000"/>
    <w:rsid w:val="10516B38"/>
    <w:rsid w:val="1AA04031"/>
    <w:rsid w:val="454D4212"/>
    <w:rsid w:val="6B0D1BCA"/>
    <w:rsid w:val="6CB95AD6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nhideWhenUsed="0" w:uiPriority="99" w:semiHidden="0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qFormat/>
    <w:uiPriority w:val="99"/>
    <w:rPr>
      <w:sz w:val="18"/>
      <w:szCs w:val="18"/>
    </w:rPr>
  </w:style>
  <w:style w:type="character" w:customStyle="1" w:styleId="10">
    <w:name w:val="页脚 字符"/>
    <w:basedOn w:val="8"/>
    <w:qFormat/>
    <w:uiPriority w:val="99"/>
    <w:rPr>
      <w:sz w:val="18"/>
      <w:szCs w:val="18"/>
    </w:rPr>
  </w:style>
  <w:style w:type="table" w:customStyle="1" w:styleId="11">
    <w:name w:val="无格式表格 11"/>
    <w:basedOn w:val="6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Penny</dc:creator>
  <cp:lastModifiedBy>Shen Penny</cp:lastModifiedBy>
  <cp:revision>229</cp:revision>
  <dcterms:created xsi:type="dcterms:W3CDTF">2021-12-30T11:55:00Z</dcterms:created>
  <dcterms:modified xsi:type="dcterms:W3CDTF">2023-01-13T01:40:00Z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E1FDD09F4F6D45E0A9385DA46B82129B</vt:lpwstr>
  </property>
</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0a23f-6d5e-4603-83fc-20e6d9c0822f}">
  <ds:schemaRefs/>
</ds:datastoreItem>
</file>

<file path=customXml/itemProps2.xml><?xml version="1.0" encoding="utf-8"?>
<ds:datastoreItem xmlns:ds="http://schemas.openxmlformats.org/officeDocument/2006/customXml" ds:itemID="{eb13f2b9-7468-40d8-bb6f-8a24ebb0c5ed}">
  <ds:schemaRefs/>
</ds:datastoreItem>
</file>

<file path=customXml/itemProps3.xml><?xml version="1.0" encoding="utf-8"?>
<ds:datastoreItem xmlns:ds="http://schemas.openxmlformats.org/officeDocument/2006/customXml" ds:itemID="{46ba7dd2-3d0e-4d58-88cf-ebcd9aff8a11}">
  <ds:schemaRefs/>
</ds:datastoreItem>
</file>

<file path=customXml/itemProps4.xml><?xml version="1.0" encoding="utf-8"?>
<ds:datastoreItem xmlns:ds="http://schemas.openxmlformats.org/officeDocument/2006/customXml" ds:itemID="{4943E5E0-F2EA-4BA1-BC14-B3A66A82A1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69</Characters>
  <Lines>1</Lines>
  <Paragraphs>1</Paragraphs>
  <TotalTime>19</TotalTime>
  <ScaleCrop>false</ScaleCrop>
  <LinksUpToDate>false</LinksUpToDate>
  <CharactersWithSpaces>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2021-12-30T11:55:00Z</dcterms:created>
  <dc:creator>Shen Penny</dc:creator>
  <cp:lastModifiedBy>章跃龙</cp:lastModifiedBy>
  <dcterms:modified xsi:type="dcterms:W3CDTF">2023-11-02T06:58:46Z</dcterms:modified>
  <cp:revision>229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DE04D4F9F3634A22A23AA6F5EBAFCCB4_13</vt:lpwstr>
  </property>
</Properties>
</file>