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B01D8" w14:textId="49FDF54F" w:rsidR="00B64F67" w:rsidRPr="00497A32" w:rsidRDefault="0021793D" w:rsidP="001301D8">
      <w:pPr>
        <w:jc w:val="center"/>
        <w:rPr>
          <w:rFonts w:ascii="微软雅黑" w:eastAsia="微软雅黑" w:hAnsi="微软雅黑" w:cs="Arial Unicode MS"/>
          <w:b/>
          <w:bCs/>
          <w:color w:val="FF0000"/>
          <w:kern w:val="0"/>
          <w:sz w:val="52"/>
          <w:szCs w:val="52"/>
          <w:u w:color="008CB4"/>
          <w:bdr w:val="nil"/>
          <w:lang w:eastAsia="zh-TW"/>
          <w14:textOutline w14:w="12700" w14:cap="flat" w14:cmpd="sng" w14:algn="ctr">
            <w14:noFill/>
            <w14:prstDash w14:val="solid"/>
            <w14:miter w14:lim="400000"/>
          </w14:textOutline>
        </w:rPr>
      </w:pPr>
      <w:r w:rsidRPr="00497A32">
        <w:rPr>
          <w:rFonts w:ascii="微软雅黑" w:eastAsia="微软雅黑" w:hAnsi="微软雅黑" w:cs="Arial Unicode MS" w:hint="eastAsia"/>
          <w:b/>
          <w:bCs/>
          <w:color w:val="FF0000"/>
          <w:kern w:val="0"/>
          <w:sz w:val="52"/>
          <w:szCs w:val="52"/>
          <w:u w:color="008CB4"/>
          <w:bdr w:val="nil"/>
          <w:lang w:eastAsia="zh-TW"/>
          <w14:textOutline w14:w="12700" w14:cap="flat" w14:cmpd="sng" w14:algn="ctr">
            <w14:noFill/>
            <w14:prstDash w14:val="solid"/>
            <w14:miter w14:lim="400000"/>
          </w14:textOutline>
        </w:rPr>
        <w:t>进出口业务合规管理与案例分析&amp;沙盘演练</w:t>
      </w:r>
    </w:p>
    <w:p w14:paraId="45F273F7" w14:textId="78CCDC89" w:rsidR="00B64F67" w:rsidRPr="00140D0A" w:rsidRDefault="00B64F67">
      <w:pPr>
        <w:rPr>
          <w:rFonts w:ascii="微软雅黑" w:eastAsia="微软雅黑" w:hAnsi="微软雅黑" w:cstheme="majorEastAsia"/>
          <w:b/>
          <w:sz w:val="21"/>
          <w:szCs w:val="21"/>
        </w:rPr>
      </w:pPr>
    </w:p>
    <w:p w14:paraId="298931F2" w14:textId="779AED73" w:rsidR="000C321C" w:rsidRDefault="001301D8">
      <w:pPr>
        <w:spacing w:line="360" w:lineRule="auto"/>
        <w:jc w:val="left"/>
        <w:rPr>
          <w:rFonts w:ascii="微软雅黑" w:eastAsia="微软雅黑" w:hAnsi="微软雅黑"/>
          <w:b/>
          <w:bCs/>
          <w:sz w:val="24"/>
          <w:szCs w:val="24"/>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【培训时间】</w:t>
      </w:r>
      <w:r w:rsidR="00497A32" w:rsidRPr="00497A32">
        <w:rPr>
          <w:rFonts w:ascii="微软雅黑" w:eastAsia="微软雅黑" w:hAnsi="微软雅黑" w:hint="eastAsia"/>
          <w:b/>
          <w:bCs/>
          <w:sz w:val="24"/>
          <w:szCs w:val="24"/>
        </w:rPr>
        <w:t>202</w:t>
      </w:r>
      <w:r w:rsidR="000C321C">
        <w:rPr>
          <w:rFonts w:ascii="微软雅黑" w:eastAsia="微软雅黑" w:hAnsi="微软雅黑"/>
          <w:b/>
          <w:bCs/>
          <w:sz w:val="24"/>
          <w:szCs w:val="24"/>
        </w:rPr>
        <w:t>4</w:t>
      </w:r>
      <w:r w:rsidR="00497A32" w:rsidRPr="00497A32">
        <w:rPr>
          <w:rFonts w:ascii="微软雅黑" w:eastAsia="微软雅黑" w:hAnsi="微软雅黑" w:hint="eastAsia"/>
          <w:b/>
          <w:bCs/>
          <w:sz w:val="24"/>
          <w:szCs w:val="24"/>
        </w:rPr>
        <w:t>年</w:t>
      </w:r>
      <w:r w:rsidR="000C321C">
        <w:rPr>
          <w:rFonts w:ascii="微软雅黑" w:eastAsia="微软雅黑" w:hAnsi="微软雅黑"/>
          <w:b/>
          <w:bCs/>
          <w:sz w:val="24"/>
          <w:szCs w:val="24"/>
        </w:rPr>
        <w:t>9</w:t>
      </w:r>
      <w:r w:rsidR="00497A32" w:rsidRPr="00497A32">
        <w:rPr>
          <w:rFonts w:ascii="微软雅黑" w:eastAsia="微软雅黑" w:hAnsi="微软雅黑" w:hint="eastAsia"/>
          <w:b/>
          <w:bCs/>
          <w:sz w:val="24"/>
          <w:szCs w:val="24"/>
        </w:rPr>
        <w:t>月</w:t>
      </w:r>
      <w:r w:rsidR="000C321C">
        <w:rPr>
          <w:rFonts w:ascii="微软雅黑" w:eastAsia="微软雅黑" w:hAnsi="微软雅黑"/>
          <w:b/>
          <w:bCs/>
          <w:sz w:val="24"/>
          <w:szCs w:val="24"/>
        </w:rPr>
        <w:t>26</w:t>
      </w:r>
      <w:r w:rsidR="00497A32" w:rsidRPr="00497A32">
        <w:rPr>
          <w:rFonts w:ascii="微软雅黑" w:eastAsia="微软雅黑" w:hAnsi="微软雅黑" w:hint="eastAsia"/>
          <w:b/>
          <w:bCs/>
          <w:sz w:val="24"/>
          <w:szCs w:val="24"/>
        </w:rPr>
        <w:t>-2</w:t>
      </w:r>
      <w:r w:rsidR="000C321C">
        <w:rPr>
          <w:rFonts w:ascii="微软雅黑" w:eastAsia="微软雅黑" w:hAnsi="微软雅黑"/>
          <w:b/>
          <w:bCs/>
          <w:sz w:val="24"/>
          <w:szCs w:val="24"/>
        </w:rPr>
        <w:t>7</w:t>
      </w:r>
      <w:r w:rsidR="000C321C">
        <w:rPr>
          <w:rFonts w:ascii="微软雅黑" w:eastAsia="微软雅黑" w:hAnsi="微软雅黑" w:hint="eastAsia"/>
          <w:b/>
          <w:bCs/>
          <w:sz w:val="24"/>
          <w:szCs w:val="24"/>
        </w:rPr>
        <w:t>（周四~周五）广州</w:t>
      </w:r>
      <w:r w:rsidR="00497A32" w:rsidRPr="00497A32">
        <w:rPr>
          <w:rFonts w:ascii="微软雅黑" w:eastAsia="微软雅黑" w:hAnsi="微软雅黑" w:hint="eastAsia"/>
          <w:b/>
          <w:bCs/>
          <w:sz w:val="24"/>
          <w:szCs w:val="24"/>
        </w:rPr>
        <w:t xml:space="preserve">/直播同步（腾讯会议） </w:t>
      </w:r>
    </w:p>
    <w:p w14:paraId="1A12098F" w14:textId="279AF68E" w:rsidR="00B64F67" w:rsidRPr="00457ACD" w:rsidRDefault="001301D8">
      <w:pPr>
        <w:spacing w:line="360" w:lineRule="auto"/>
        <w:jc w:val="left"/>
        <w:rPr>
          <w:rFonts w:ascii="微软雅黑" w:eastAsia="微软雅黑" w:hAnsi="微软雅黑"/>
          <w:sz w:val="24"/>
          <w:szCs w:val="24"/>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【培训费用】</w:t>
      </w:r>
      <w:r w:rsidRPr="00457ACD">
        <w:rPr>
          <w:rFonts w:ascii="微软雅黑" w:eastAsia="微软雅黑" w:hAnsi="微软雅黑" w:cstheme="majorEastAsia" w:hint="eastAsia"/>
          <w:sz w:val="24"/>
          <w:szCs w:val="24"/>
        </w:rPr>
        <w:t>¥4</w:t>
      </w:r>
      <w:r w:rsidR="000C321C">
        <w:rPr>
          <w:rFonts w:ascii="微软雅黑" w:eastAsia="微软雅黑" w:hAnsi="微软雅黑" w:cstheme="majorEastAsia"/>
          <w:sz w:val="24"/>
          <w:szCs w:val="24"/>
        </w:rPr>
        <w:t>50</w:t>
      </w:r>
      <w:r w:rsidRPr="00457ACD">
        <w:rPr>
          <w:rFonts w:ascii="微软雅黑" w:eastAsia="微软雅黑" w:hAnsi="微软雅黑" w:cstheme="majorEastAsia" w:hint="eastAsia"/>
          <w:sz w:val="24"/>
          <w:szCs w:val="24"/>
        </w:rPr>
        <w:t>0元/人（包含：培训费、</w:t>
      </w:r>
      <w:r w:rsidR="00457ACD" w:rsidRPr="00457ACD">
        <w:rPr>
          <w:rFonts w:ascii="微软雅黑" w:eastAsia="微软雅黑" w:hAnsi="微软雅黑" w:cstheme="majorEastAsia" w:hint="eastAsia"/>
          <w:sz w:val="24"/>
          <w:szCs w:val="24"/>
        </w:rPr>
        <w:t>午餐，</w:t>
      </w:r>
      <w:r w:rsidRPr="00457ACD">
        <w:rPr>
          <w:rFonts w:ascii="微软雅黑" w:eastAsia="微软雅黑" w:hAnsi="微软雅黑" w:cstheme="majorEastAsia" w:hint="eastAsia"/>
          <w:sz w:val="24"/>
          <w:szCs w:val="24"/>
        </w:rPr>
        <w:t xml:space="preserve">教材、发票）         </w:t>
      </w:r>
    </w:p>
    <w:p w14:paraId="576F4DE1" w14:textId="0D64E02E" w:rsidR="00497A32" w:rsidRPr="00644A1F" w:rsidRDefault="001301D8">
      <w:pPr>
        <w:spacing w:line="360" w:lineRule="auto"/>
        <w:jc w:val="left"/>
        <w:rPr>
          <w:rFonts w:ascii="微软雅黑" w:eastAsia="微软雅黑" w:hAnsi="微软雅黑" w:hint="eastAsia"/>
          <w:sz w:val="24"/>
          <w:szCs w:val="24"/>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【培训对象】</w:t>
      </w:r>
      <w:r w:rsidRPr="00457ACD">
        <w:rPr>
          <w:rFonts w:ascii="微软雅黑" w:eastAsia="微软雅黑" w:hAnsi="微软雅黑" w:hint="eastAsia"/>
          <w:sz w:val="24"/>
          <w:szCs w:val="24"/>
        </w:rPr>
        <w:t>涉外企业总经理、副总经理、贸易合规总监、审计总监等高级管理人员</w:t>
      </w:r>
      <w:r w:rsidRPr="00457ACD">
        <w:rPr>
          <w:rFonts w:ascii="微软雅黑" w:eastAsia="微软雅黑" w:hAnsi="微软雅黑"/>
          <w:sz w:val="24"/>
          <w:szCs w:val="24"/>
        </w:rPr>
        <w:t>物流、财务、关务、</w:t>
      </w:r>
      <w:r w:rsidRPr="00457ACD">
        <w:rPr>
          <w:rFonts w:ascii="微软雅黑" w:eastAsia="微软雅黑" w:hAnsi="微软雅黑" w:hint="eastAsia"/>
          <w:sz w:val="24"/>
          <w:szCs w:val="24"/>
        </w:rPr>
        <w:t>采购</w:t>
      </w:r>
      <w:r w:rsidRPr="00457ACD">
        <w:rPr>
          <w:rFonts w:ascii="微软雅黑" w:eastAsia="微软雅黑" w:hAnsi="微软雅黑"/>
          <w:sz w:val="24"/>
          <w:szCs w:val="24"/>
        </w:rPr>
        <w:t>、审计</w:t>
      </w:r>
      <w:r w:rsidRPr="00457ACD">
        <w:rPr>
          <w:rFonts w:ascii="微软雅黑" w:eastAsia="微软雅黑" w:hAnsi="微软雅黑" w:hint="eastAsia"/>
          <w:sz w:val="24"/>
          <w:szCs w:val="24"/>
        </w:rPr>
        <w:t>、合规等部门</w:t>
      </w:r>
      <w:r w:rsidRPr="00457ACD">
        <w:rPr>
          <w:rFonts w:ascii="微软雅黑" w:eastAsia="微软雅黑" w:hAnsi="微软雅黑"/>
          <w:sz w:val="24"/>
          <w:szCs w:val="24"/>
        </w:rPr>
        <w:t>相关负责人员</w:t>
      </w:r>
      <w:r w:rsidRPr="00457ACD">
        <w:rPr>
          <w:rFonts w:ascii="微软雅黑" w:eastAsia="微软雅黑" w:hAnsi="微软雅黑" w:hint="eastAsia"/>
          <w:sz w:val="24"/>
          <w:szCs w:val="24"/>
        </w:rPr>
        <w:t>。</w:t>
      </w:r>
    </w:p>
    <w:p w14:paraId="093CA97F" w14:textId="7FDE0173" w:rsidR="00B64F67" w:rsidRPr="00457ACD" w:rsidRDefault="001301D8" w:rsidP="001301D8">
      <w:pPr>
        <w:spacing w:line="360" w:lineRule="auto"/>
        <w:jc w:val="left"/>
        <w:rPr>
          <w:rFonts w:ascii="微软雅黑" w:eastAsia="微软雅黑" w:hAnsi="微软雅黑"/>
          <w:sz w:val="24"/>
          <w:szCs w:val="24"/>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【认证费用】</w:t>
      </w:r>
      <w:r w:rsidRPr="00457ACD">
        <w:rPr>
          <w:rFonts w:ascii="微软雅黑" w:eastAsia="微软雅黑" w:hAnsi="微软雅黑" w:cs="黑体" w:hint="eastAsia"/>
          <w:b/>
          <w:sz w:val="24"/>
          <w:szCs w:val="24"/>
        </w:rPr>
        <w:t>RMB2580元/人（ACI美国认证协会-注册高级国际物流经理）</w:t>
      </w:r>
      <w:r w:rsidRPr="00457ACD">
        <w:rPr>
          <w:rFonts w:ascii="微软雅黑" w:eastAsia="微软雅黑" w:hAnsi="微软雅黑" w:cs="黑体" w:hint="eastAsia"/>
          <w:b/>
          <w:sz w:val="24"/>
          <w:szCs w:val="24"/>
        </w:rPr>
        <w:br/>
        <w:t xml:space="preserve">              </w:t>
      </w:r>
      <w:r w:rsidRPr="00457ACD">
        <w:rPr>
          <w:rFonts w:ascii="微软雅黑" w:eastAsia="微软雅黑" w:hAnsi="微软雅黑" w:cs="黑体"/>
          <w:b/>
          <w:sz w:val="24"/>
          <w:szCs w:val="24"/>
        </w:rPr>
        <w:t xml:space="preserve"> </w:t>
      </w:r>
      <w:r w:rsidRPr="00457ACD">
        <w:rPr>
          <w:rFonts w:ascii="微软雅黑" w:eastAsia="微软雅黑" w:hAnsi="微软雅黑" w:cs="黑体" w:hint="eastAsia"/>
          <w:b/>
          <w:sz w:val="24"/>
          <w:szCs w:val="24"/>
        </w:rPr>
        <w:t>RMB2580元/人（ACI美国认证协会-注册高级国际贸易管理师）</w:t>
      </w:r>
    </w:p>
    <w:p w14:paraId="49F0A85D" w14:textId="0333A11C" w:rsidR="00457ACD" w:rsidRPr="00457ACD" w:rsidRDefault="00457ACD" w:rsidP="00457ACD">
      <w:pPr>
        <w:pStyle w:val="Afd"/>
        <w:pBdr>
          <w:bottom w:val="dotted" w:sz="8" w:space="0" w:color="476D99"/>
        </w:pBdr>
        <w:spacing w:before="80" w:after="120"/>
        <w:outlineLvl w:val="0"/>
        <w:rPr>
          <w:rFonts w:ascii="微软雅黑" w:eastAsia="微软雅黑" w:hAnsi="微软雅黑" w:hint="default"/>
          <w:b/>
          <w:bCs/>
          <w:color w:val="008CB4"/>
          <w:u w:color="008CB4"/>
        </w:rPr>
      </w:pPr>
      <w:r w:rsidRPr="00457ACD">
        <w:rPr>
          <w:rFonts w:ascii="微软雅黑" w:eastAsia="微软雅黑" w:hAnsi="微软雅黑"/>
          <w:b/>
          <w:bCs/>
          <w:color w:val="008CB4"/>
          <w:u w:color="008CB4"/>
        </w:rPr>
        <w:t>【课程背景】</w:t>
      </w:r>
    </w:p>
    <w:p w14:paraId="63D55ADE" w14:textId="77777777" w:rsidR="00311303" w:rsidRPr="00311303" w:rsidRDefault="00311303" w:rsidP="00311303">
      <w:pPr>
        <w:spacing w:line="360" w:lineRule="auto"/>
        <w:ind w:firstLineChars="200" w:firstLine="480"/>
        <w:jc w:val="left"/>
        <w:rPr>
          <w:rFonts w:ascii="微软雅黑" w:eastAsia="微软雅黑" w:hAnsi="微软雅黑" w:cs="宋体"/>
          <w:color w:val="000000"/>
          <w:kern w:val="0"/>
          <w:sz w:val="24"/>
          <w:szCs w:val="24"/>
        </w:rPr>
      </w:pPr>
      <w:proofErr w:type="gramStart"/>
      <w:r w:rsidRPr="00311303">
        <w:rPr>
          <w:rFonts w:ascii="微软雅黑" w:eastAsia="微软雅黑" w:hAnsi="微软雅黑" w:cs="宋体" w:hint="eastAsia"/>
          <w:color w:val="000000"/>
          <w:kern w:val="0"/>
          <w:sz w:val="24"/>
          <w:szCs w:val="24"/>
        </w:rPr>
        <w:t>随着关检机构</w:t>
      </w:r>
      <w:proofErr w:type="gramEnd"/>
      <w:r w:rsidRPr="00311303">
        <w:rPr>
          <w:rFonts w:ascii="微软雅黑" w:eastAsia="微软雅黑" w:hAnsi="微软雅黑" w:cs="宋体" w:hint="eastAsia"/>
          <w:color w:val="000000"/>
          <w:kern w:val="0"/>
          <w:sz w:val="24"/>
          <w:szCs w:val="24"/>
        </w:rPr>
        <w:t>融合的不断加深，传统海关监管程序与检验检疫的监管逻辑逐渐协调，</w:t>
      </w:r>
      <w:proofErr w:type="gramStart"/>
      <w:r w:rsidRPr="00311303">
        <w:rPr>
          <w:rFonts w:ascii="微软雅黑" w:eastAsia="微软雅黑" w:hAnsi="微软雅黑" w:cs="宋体" w:hint="eastAsia"/>
          <w:color w:val="000000"/>
          <w:kern w:val="0"/>
          <w:sz w:val="24"/>
          <w:szCs w:val="24"/>
        </w:rPr>
        <w:t>涉检行政</w:t>
      </w:r>
      <w:proofErr w:type="gramEnd"/>
      <w:r w:rsidRPr="00311303">
        <w:rPr>
          <w:rFonts w:ascii="微软雅黑" w:eastAsia="微软雅黑" w:hAnsi="微软雅黑" w:cs="宋体" w:hint="eastAsia"/>
          <w:color w:val="000000"/>
          <w:kern w:val="0"/>
          <w:sz w:val="24"/>
          <w:szCs w:val="24"/>
        </w:rPr>
        <w:t>处罚的力度不断加强，进出口企业对国际贸易和进出口活动中</w:t>
      </w:r>
      <w:proofErr w:type="gramStart"/>
      <w:r w:rsidRPr="00311303">
        <w:rPr>
          <w:rFonts w:ascii="微软雅黑" w:eastAsia="微软雅黑" w:hAnsi="微软雅黑" w:cs="宋体" w:hint="eastAsia"/>
          <w:color w:val="000000"/>
          <w:kern w:val="0"/>
          <w:sz w:val="24"/>
          <w:szCs w:val="24"/>
        </w:rPr>
        <w:t>的涉检申报</w:t>
      </w:r>
      <w:proofErr w:type="gramEnd"/>
      <w:r w:rsidRPr="00311303">
        <w:rPr>
          <w:rFonts w:ascii="微软雅黑" w:eastAsia="微软雅黑" w:hAnsi="微软雅黑" w:cs="宋体" w:hint="eastAsia"/>
          <w:color w:val="000000"/>
          <w:kern w:val="0"/>
          <w:sz w:val="24"/>
          <w:szCs w:val="24"/>
        </w:rPr>
        <w:t>应当加以重视。</w:t>
      </w:r>
    </w:p>
    <w:p w14:paraId="0B0BF20F" w14:textId="77777777" w:rsidR="00311303" w:rsidRPr="00311303" w:rsidRDefault="00311303" w:rsidP="00311303">
      <w:pPr>
        <w:spacing w:line="360" w:lineRule="auto"/>
        <w:jc w:val="left"/>
        <w:rPr>
          <w:rFonts w:ascii="微软雅黑" w:eastAsia="微软雅黑" w:hAnsi="微软雅黑" w:cs="宋体"/>
          <w:color w:val="000000"/>
          <w:kern w:val="0"/>
          <w:sz w:val="24"/>
          <w:szCs w:val="24"/>
        </w:rPr>
      </w:pPr>
      <w:r w:rsidRPr="00311303">
        <w:rPr>
          <w:rFonts w:ascii="微软雅黑" w:eastAsia="微软雅黑" w:hAnsi="微软雅黑" w:cs="宋体" w:hint="eastAsia"/>
          <w:color w:val="000000"/>
          <w:kern w:val="0"/>
          <w:sz w:val="24"/>
          <w:szCs w:val="24"/>
        </w:rPr>
        <w:t>进出口企业合</w:t>
      </w:r>
      <w:proofErr w:type="gramStart"/>
      <w:r w:rsidRPr="00311303">
        <w:rPr>
          <w:rFonts w:ascii="微软雅黑" w:eastAsia="微软雅黑" w:hAnsi="微软雅黑" w:cs="宋体" w:hint="eastAsia"/>
          <w:color w:val="000000"/>
          <w:kern w:val="0"/>
          <w:sz w:val="24"/>
          <w:szCs w:val="24"/>
        </w:rPr>
        <w:t>规</w:t>
      </w:r>
      <w:proofErr w:type="gramEnd"/>
      <w:r w:rsidRPr="00311303">
        <w:rPr>
          <w:rFonts w:ascii="微软雅黑" w:eastAsia="微软雅黑" w:hAnsi="微软雅黑" w:cs="宋体" w:hint="eastAsia"/>
          <w:color w:val="000000"/>
          <w:kern w:val="0"/>
          <w:sz w:val="24"/>
          <w:szCs w:val="24"/>
        </w:rPr>
        <w:t>的本质在于通过建立一种防范、识别和应对违法违规行为的机制，对于企业的运作和经营形成完善的规章制度，对于容易出现合</w:t>
      </w:r>
      <w:proofErr w:type="gramStart"/>
      <w:r w:rsidRPr="00311303">
        <w:rPr>
          <w:rFonts w:ascii="微软雅黑" w:eastAsia="微软雅黑" w:hAnsi="微软雅黑" w:cs="宋体" w:hint="eastAsia"/>
          <w:color w:val="000000"/>
          <w:kern w:val="0"/>
          <w:sz w:val="24"/>
          <w:szCs w:val="24"/>
        </w:rPr>
        <w:t>规</w:t>
      </w:r>
      <w:proofErr w:type="gramEnd"/>
      <w:r w:rsidRPr="00311303">
        <w:rPr>
          <w:rFonts w:ascii="微软雅黑" w:eastAsia="微软雅黑" w:hAnsi="微软雅黑" w:cs="宋体" w:hint="eastAsia"/>
          <w:color w:val="000000"/>
          <w:kern w:val="0"/>
          <w:sz w:val="24"/>
          <w:szCs w:val="24"/>
        </w:rPr>
        <w:t>风险的业务方面更要制定合理的机制，排查存在的风险。</w:t>
      </w:r>
    </w:p>
    <w:p w14:paraId="40DD50E2" w14:textId="77777777" w:rsidR="00311303" w:rsidRDefault="00311303" w:rsidP="00311303">
      <w:pPr>
        <w:spacing w:line="360" w:lineRule="auto"/>
        <w:ind w:firstLineChars="200" w:firstLine="480"/>
        <w:jc w:val="left"/>
        <w:rPr>
          <w:rFonts w:ascii="微软雅黑" w:eastAsia="微软雅黑" w:hAnsi="微软雅黑" w:cs="宋体"/>
          <w:color w:val="000000"/>
          <w:kern w:val="0"/>
          <w:sz w:val="24"/>
          <w:szCs w:val="24"/>
        </w:rPr>
      </w:pPr>
      <w:r w:rsidRPr="00311303">
        <w:rPr>
          <w:rFonts w:ascii="微软雅黑" w:eastAsia="微软雅黑" w:hAnsi="微软雅黑" w:cs="宋体" w:hint="eastAsia"/>
          <w:color w:val="000000"/>
          <w:kern w:val="0"/>
          <w:sz w:val="24"/>
          <w:szCs w:val="24"/>
        </w:rPr>
        <w:t>基于以上背景，本课程将通过案例分析及沙盘演练带大家梳理企业进出口业务合</w:t>
      </w:r>
      <w:proofErr w:type="gramStart"/>
      <w:r w:rsidRPr="00311303">
        <w:rPr>
          <w:rFonts w:ascii="微软雅黑" w:eastAsia="微软雅黑" w:hAnsi="微软雅黑" w:cs="宋体" w:hint="eastAsia"/>
          <w:color w:val="000000"/>
          <w:kern w:val="0"/>
          <w:sz w:val="24"/>
          <w:szCs w:val="24"/>
        </w:rPr>
        <w:t>规</w:t>
      </w:r>
      <w:proofErr w:type="gramEnd"/>
      <w:r w:rsidRPr="00311303">
        <w:rPr>
          <w:rFonts w:ascii="微软雅黑" w:eastAsia="微软雅黑" w:hAnsi="微软雅黑" w:cs="宋体" w:hint="eastAsia"/>
          <w:color w:val="000000"/>
          <w:kern w:val="0"/>
          <w:sz w:val="24"/>
          <w:szCs w:val="24"/>
        </w:rPr>
        <w:t>管理要点，助力企业关务合</w:t>
      </w:r>
      <w:proofErr w:type="gramStart"/>
      <w:r w:rsidRPr="00311303">
        <w:rPr>
          <w:rFonts w:ascii="微软雅黑" w:eastAsia="微软雅黑" w:hAnsi="微软雅黑" w:cs="宋体" w:hint="eastAsia"/>
          <w:color w:val="000000"/>
          <w:kern w:val="0"/>
          <w:sz w:val="24"/>
          <w:szCs w:val="24"/>
        </w:rPr>
        <w:t>规</w:t>
      </w:r>
      <w:proofErr w:type="gramEnd"/>
      <w:r w:rsidRPr="00311303">
        <w:rPr>
          <w:rFonts w:ascii="微软雅黑" w:eastAsia="微软雅黑" w:hAnsi="微软雅黑" w:cs="宋体" w:hint="eastAsia"/>
          <w:color w:val="000000"/>
          <w:kern w:val="0"/>
          <w:sz w:val="24"/>
          <w:szCs w:val="24"/>
        </w:rPr>
        <w:t>体系建设。</w:t>
      </w:r>
    </w:p>
    <w:p w14:paraId="6452ABD4" w14:textId="3483D709" w:rsidR="001301D8" w:rsidRPr="00457ACD" w:rsidRDefault="001301D8" w:rsidP="00311303">
      <w:pPr>
        <w:spacing w:line="360" w:lineRule="auto"/>
        <w:jc w:val="left"/>
        <w:rPr>
          <w:rFonts w:ascii="微软雅黑" w:eastAsia="微软雅黑" w:hAnsi="微软雅黑" w:cs="Arial Unicode MS"/>
          <w:b/>
          <w:bCs/>
          <w:color w:val="008CB4"/>
          <w:kern w:val="0"/>
          <w:sz w:val="24"/>
          <w:szCs w:val="24"/>
          <w:u w:color="008CB4"/>
          <w:bdr w:val="nil"/>
          <w:lang w:val="zh-TW" w:eastAsia="zh-TW"/>
          <w14:textOutline w14:w="12700" w14:cap="flat" w14:cmpd="sng" w14:algn="ctr">
            <w14:noFill/>
            <w14:prstDash w14:val="solid"/>
            <w14:miter w14:lim="400000"/>
          </w14:textOutline>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【课程收益】</w:t>
      </w:r>
    </w:p>
    <w:p w14:paraId="135CA2B4" w14:textId="77777777" w:rsidR="00497A32" w:rsidRPr="00497A32" w:rsidRDefault="00497A32" w:rsidP="00497A32">
      <w:pPr>
        <w:spacing w:line="380" w:lineRule="exact"/>
        <w:rPr>
          <w:rFonts w:ascii="微软雅黑" w:eastAsia="微软雅黑" w:hAnsi="微软雅黑" w:cs="宋体"/>
          <w:color w:val="000000"/>
          <w:kern w:val="0"/>
          <w:sz w:val="24"/>
          <w:szCs w:val="24"/>
        </w:rPr>
      </w:pPr>
      <w:r w:rsidRPr="00497A32">
        <w:rPr>
          <w:rFonts w:ascii="微软雅黑" w:eastAsia="微软雅黑" w:hAnsi="微软雅黑" w:cs="宋体" w:hint="eastAsia"/>
          <w:color w:val="000000"/>
          <w:kern w:val="0"/>
          <w:sz w:val="24"/>
          <w:szCs w:val="24"/>
        </w:rPr>
        <w:t>1、掌握企业关务运作的各项费用，有效控制关务运作成本</w:t>
      </w:r>
    </w:p>
    <w:p w14:paraId="63DA94CD" w14:textId="77777777" w:rsidR="00497A32" w:rsidRPr="00497A32" w:rsidRDefault="00497A32" w:rsidP="00497A32">
      <w:pPr>
        <w:spacing w:line="380" w:lineRule="exact"/>
        <w:rPr>
          <w:rFonts w:ascii="微软雅黑" w:eastAsia="微软雅黑" w:hAnsi="微软雅黑" w:cs="宋体"/>
          <w:color w:val="000000"/>
          <w:kern w:val="0"/>
          <w:sz w:val="24"/>
          <w:szCs w:val="24"/>
        </w:rPr>
      </w:pPr>
      <w:r w:rsidRPr="00497A32">
        <w:rPr>
          <w:rFonts w:ascii="微软雅黑" w:eastAsia="微软雅黑" w:hAnsi="微软雅黑" w:cs="宋体" w:hint="eastAsia"/>
          <w:color w:val="000000"/>
          <w:kern w:val="0"/>
          <w:sz w:val="24"/>
          <w:szCs w:val="24"/>
        </w:rPr>
        <w:t>2、通过企业关务合</w:t>
      </w:r>
      <w:proofErr w:type="gramStart"/>
      <w:r w:rsidRPr="00497A32">
        <w:rPr>
          <w:rFonts w:ascii="微软雅黑" w:eastAsia="微软雅黑" w:hAnsi="微软雅黑" w:cs="宋体" w:hint="eastAsia"/>
          <w:color w:val="000000"/>
          <w:kern w:val="0"/>
          <w:sz w:val="24"/>
          <w:szCs w:val="24"/>
        </w:rPr>
        <w:t>规</w:t>
      </w:r>
      <w:proofErr w:type="gramEnd"/>
      <w:r w:rsidRPr="00497A32">
        <w:rPr>
          <w:rFonts w:ascii="微软雅黑" w:eastAsia="微软雅黑" w:hAnsi="微软雅黑" w:cs="宋体" w:hint="eastAsia"/>
          <w:color w:val="000000"/>
          <w:kern w:val="0"/>
          <w:sz w:val="24"/>
          <w:szCs w:val="24"/>
        </w:rPr>
        <w:t>管理、实现贸易赋能</w:t>
      </w:r>
    </w:p>
    <w:p w14:paraId="538B6C44" w14:textId="77777777" w:rsidR="00497A32" w:rsidRPr="00497A32" w:rsidRDefault="00497A32" w:rsidP="00497A32">
      <w:pPr>
        <w:spacing w:line="380" w:lineRule="exact"/>
        <w:rPr>
          <w:rFonts w:ascii="微软雅黑" w:eastAsia="微软雅黑" w:hAnsi="微软雅黑" w:cs="宋体"/>
          <w:color w:val="000000"/>
          <w:kern w:val="0"/>
          <w:sz w:val="24"/>
          <w:szCs w:val="24"/>
        </w:rPr>
      </w:pPr>
      <w:r w:rsidRPr="00497A32">
        <w:rPr>
          <w:rFonts w:ascii="微软雅黑" w:eastAsia="微软雅黑" w:hAnsi="微软雅黑" w:cs="宋体" w:hint="eastAsia"/>
          <w:color w:val="000000"/>
          <w:kern w:val="0"/>
          <w:sz w:val="24"/>
          <w:szCs w:val="24"/>
        </w:rPr>
        <w:t>3、合理运用海关政策，助力企业经济利润最大化</w:t>
      </w:r>
    </w:p>
    <w:p w14:paraId="26C546D8" w14:textId="77777777" w:rsidR="00497A32" w:rsidRPr="00497A32" w:rsidRDefault="00497A32" w:rsidP="00497A32">
      <w:pPr>
        <w:spacing w:line="380" w:lineRule="exact"/>
        <w:rPr>
          <w:rFonts w:ascii="微软雅黑" w:eastAsia="微软雅黑" w:hAnsi="微软雅黑" w:cs="宋体"/>
          <w:color w:val="000000"/>
          <w:kern w:val="0"/>
          <w:sz w:val="24"/>
          <w:szCs w:val="24"/>
        </w:rPr>
      </w:pPr>
      <w:r w:rsidRPr="00497A32">
        <w:rPr>
          <w:rFonts w:ascii="微软雅黑" w:eastAsia="微软雅黑" w:hAnsi="微软雅黑" w:cs="宋体" w:hint="eastAsia"/>
          <w:color w:val="000000"/>
          <w:kern w:val="0"/>
          <w:sz w:val="24"/>
          <w:szCs w:val="24"/>
        </w:rPr>
        <w:t>4、建设企业关务贸易合</w:t>
      </w:r>
      <w:proofErr w:type="gramStart"/>
      <w:r w:rsidRPr="00497A32">
        <w:rPr>
          <w:rFonts w:ascii="微软雅黑" w:eastAsia="微软雅黑" w:hAnsi="微软雅黑" w:cs="宋体" w:hint="eastAsia"/>
          <w:color w:val="000000"/>
          <w:kern w:val="0"/>
          <w:sz w:val="24"/>
          <w:szCs w:val="24"/>
        </w:rPr>
        <w:t>规</w:t>
      </w:r>
      <w:proofErr w:type="gramEnd"/>
      <w:r w:rsidRPr="00497A32">
        <w:rPr>
          <w:rFonts w:ascii="微软雅黑" w:eastAsia="微软雅黑" w:hAnsi="微软雅黑" w:cs="宋体" w:hint="eastAsia"/>
          <w:color w:val="000000"/>
          <w:kern w:val="0"/>
          <w:sz w:val="24"/>
          <w:szCs w:val="24"/>
        </w:rPr>
        <w:t>体系，真正做到各部门配合紧密、企业全员参与关务风险管理制度。</w:t>
      </w:r>
    </w:p>
    <w:p w14:paraId="793B93A6" w14:textId="77777777" w:rsidR="00497A32" w:rsidRPr="00497A32" w:rsidRDefault="00497A32" w:rsidP="00497A32">
      <w:pPr>
        <w:spacing w:line="380" w:lineRule="exact"/>
        <w:rPr>
          <w:rFonts w:ascii="微软雅黑" w:eastAsia="微软雅黑" w:hAnsi="微软雅黑" w:cs="宋体"/>
          <w:color w:val="000000"/>
          <w:kern w:val="0"/>
          <w:sz w:val="24"/>
          <w:szCs w:val="24"/>
        </w:rPr>
      </w:pPr>
      <w:r w:rsidRPr="00497A32">
        <w:rPr>
          <w:rFonts w:ascii="微软雅黑" w:eastAsia="微软雅黑" w:hAnsi="微软雅黑" w:cs="宋体" w:hint="eastAsia"/>
          <w:color w:val="000000"/>
          <w:kern w:val="0"/>
          <w:sz w:val="24"/>
          <w:szCs w:val="24"/>
        </w:rPr>
        <w:t>5、提前规避企业关务风险，让通关更加便利化</w:t>
      </w:r>
    </w:p>
    <w:p w14:paraId="30265C68" w14:textId="7D9C3692" w:rsidR="00B64F67" w:rsidRPr="00497A32" w:rsidRDefault="00497A32" w:rsidP="00497A32">
      <w:pPr>
        <w:spacing w:line="380" w:lineRule="exact"/>
        <w:rPr>
          <w:rFonts w:ascii="微软雅黑" w:eastAsia="微软雅黑" w:hAnsi="微软雅黑"/>
          <w:b/>
          <w:bCs/>
          <w:iCs/>
          <w:color w:val="548DD4" w:themeColor="text2" w:themeTint="99"/>
          <w:sz w:val="24"/>
          <w:szCs w:val="24"/>
          <w:u w:val="single"/>
        </w:rPr>
      </w:pPr>
      <w:r w:rsidRPr="00497A32">
        <w:rPr>
          <w:rFonts w:ascii="微软雅黑" w:eastAsia="微软雅黑" w:hAnsi="微软雅黑" w:cs="宋体" w:hint="eastAsia"/>
          <w:color w:val="000000"/>
          <w:kern w:val="0"/>
          <w:sz w:val="24"/>
          <w:szCs w:val="24"/>
        </w:rPr>
        <w:t>6、提升企业关务个人竞争力，使自己成为行业最杰出的复合型精英人才</w:t>
      </w:r>
    </w:p>
    <w:p w14:paraId="708759BC" w14:textId="26C90EA7" w:rsidR="00B64F67" w:rsidRPr="00457ACD" w:rsidRDefault="001301D8" w:rsidP="001301D8">
      <w:pPr>
        <w:spacing w:line="360" w:lineRule="auto"/>
        <w:jc w:val="left"/>
        <w:rPr>
          <w:rFonts w:ascii="微软雅黑" w:eastAsia="微软雅黑" w:hAnsi="微软雅黑" w:cs="Arial Unicode MS"/>
          <w:b/>
          <w:bCs/>
          <w:color w:val="008CB4"/>
          <w:kern w:val="0"/>
          <w:sz w:val="24"/>
          <w:szCs w:val="24"/>
          <w:u w:color="008CB4"/>
          <w:bdr w:val="nil"/>
          <w:lang w:val="zh-TW" w:eastAsia="zh-TW"/>
          <w14:textOutline w14:w="12700" w14:cap="flat" w14:cmpd="sng" w14:algn="ctr">
            <w14:noFill/>
            <w14:prstDash w14:val="solid"/>
            <w14:miter w14:lim="400000"/>
          </w14:textOutline>
        </w:rPr>
      </w:pPr>
      <w:r w:rsidRPr="00457ACD">
        <w:rPr>
          <w:rFonts w:ascii="微软雅黑" w:eastAsia="微软雅黑" w:hAnsi="微软雅黑" w:cs="Arial Unicode MS" w:hint="eastAsia"/>
          <w:b/>
          <w:bCs/>
          <w:color w:val="008CB4"/>
          <w:kern w:val="0"/>
          <w:sz w:val="24"/>
          <w:szCs w:val="24"/>
          <w:u w:color="008CB4"/>
          <w:bdr w:val="nil"/>
          <w:lang w:val="zh-TW" w:eastAsia="zh-TW"/>
          <w14:textOutline w14:w="12700" w14:cap="flat" w14:cmpd="sng" w14:algn="ctr">
            <w14:noFill/>
            <w14:prstDash w14:val="solid"/>
            <w14:miter w14:lim="400000"/>
          </w14:textOutline>
        </w:rPr>
        <w:t>【课程大纲】</w:t>
      </w:r>
    </w:p>
    <w:p w14:paraId="300AD114" w14:textId="77777777" w:rsidR="00497A32" w:rsidRPr="00497A32" w:rsidRDefault="00497A32" w:rsidP="00497A32">
      <w:pPr>
        <w:widowControl/>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b/>
          <w:bCs/>
          <w:color w:val="FF2941"/>
          <w:spacing w:val="8"/>
          <w:kern w:val="0"/>
          <w:sz w:val="24"/>
          <w:szCs w:val="24"/>
        </w:rPr>
        <w:t>第一天：</w:t>
      </w:r>
      <w:r w:rsidRPr="00497A32">
        <w:rPr>
          <w:rFonts w:ascii="微软雅黑" w:eastAsia="微软雅黑" w:hAnsi="微软雅黑" w:cs="宋体"/>
          <w:spacing w:val="8"/>
          <w:kern w:val="0"/>
          <w:sz w:val="24"/>
          <w:szCs w:val="24"/>
        </w:rPr>
        <w:t xml:space="preserve"> </w:t>
      </w:r>
    </w:p>
    <w:p w14:paraId="2A03A763" w14:textId="77777777" w:rsidR="00497A32" w:rsidRPr="00497A32" w:rsidRDefault="00497A32" w:rsidP="00497A32">
      <w:pPr>
        <w:pStyle w:val="afc"/>
        <w:widowControl/>
        <w:numPr>
          <w:ilvl w:val="0"/>
          <w:numId w:val="1"/>
        </w:numPr>
        <w:shd w:val="clear" w:color="auto" w:fill="FFFFFF"/>
        <w:snapToGrid w:val="0"/>
        <w:spacing w:line="276" w:lineRule="auto"/>
        <w:ind w:firstLineChars="0"/>
        <w:jc w:val="left"/>
        <w:rPr>
          <w:rStyle w:val="htmltxt1"/>
          <w:rFonts w:ascii="微软雅黑" w:eastAsia="微软雅黑" w:hAnsi="微软雅黑"/>
          <w:b/>
          <w:color w:val="auto"/>
          <w:sz w:val="24"/>
          <w:szCs w:val="24"/>
        </w:rPr>
      </w:pPr>
      <w:r w:rsidRPr="00497A32">
        <w:rPr>
          <w:rStyle w:val="htmltxt1"/>
          <w:rFonts w:ascii="微软雅黑" w:eastAsia="微软雅黑" w:hAnsi="微软雅黑" w:hint="eastAsia"/>
          <w:b/>
          <w:color w:val="auto"/>
          <w:sz w:val="24"/>
          <w:szCs w:val="24"/>
        </w:rPr>
        <w:t>进出口通关环境分析与海关征税基础知识</w:t>
      </w:r>
    </w:p>
    <w:p w14:paraId="69394080"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1）海关基本职能解读</w:t>
      </w:r>
    </w:p>
    <w:p w14:paraId="546C6FE6"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lastRenderedPageBreak/>
        <w:t>2）海关通关一体化发展与监管思路</w:t>
      </w:r>
    </w:p>
    <w:p w14:paraId="5F0DBEFE"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3）海关一体化两个中心的分工与协助</w:t>
      </w:r>
    </w:p>
    <w:p w14:paraId="2D64FA74"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4）通关一体化下的海关稽查趋势</w:t>
      </w:r>
    </w:p>
    <w:p w14:paraId="15E9085D"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5)海关征税与完税价格</w:t>
      </w:r>
    </w:p>
    <w:p w14:paraId="27F2918F"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6)监管方式与征免性质</w:t>
      </w:r>
    </w:p>
    <w:p w14:paraId="1FC6D027"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spacing w:val="8"/>
          <w:kern w:val="0"/>
          <w:sz w:val="24"/>
          <w:szCs w:val="24"/>
        </w:rPr>
        <w:t>7</w:t>
      </w:r>
      <w:r w:rsidRPr="00497A32">
        <w:rPr>
          <w:rFonts w:ascii="微软雅黑" w:eastAsia="微软雅黑" w:hAnsi="微软雅黑" w:cs="宋体" w:hint="eastAsia"/>
          <w:spacing w:val="8"/>
          <w:kern w:val="0"/>
          <w:sz w:val="24"/>
          <w:szCs w:val="24"/>
        </w:rPr>
        <w:t>)《海关进出口货物征税管理办法》</w:t>
      </w:r>
    </w:p>
    <w:p w14:paraId="292C1A4C"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p>
    <w:p w14:paraId="1BF99CF2" w14:textId="77777777" w:rsidR="00497A32" w:rsidRPr="00497A32" w:rsidRDefault="00497A32" w:rsidP="00497A32">
      <w:pPr>
        <w:pStyle w:val="afc"/>
        <w:widowControl/>
        <w:numPr>
          <w:ilvl w:val="0"/>
          <w:numId w:val="1"/>
        </w:numPr>
        <w:shd w:val="clear" w:color="auto" w:fill="FFFFFF"/>
        <w:snapToGrid w:val="0"/>
        <w:spacing w:line="276" w:lineRule="auto"/>
        <w:ind w:firstLineChars="0"/>
        <w:jc w:val="left"/>
        <w:rPr>
          <w:rStyle w:val="htmltxt1"/>
          <w:rFonts w:ascii="微软雅黑" w:eastAsia="微软雅黑" w:hAnsi="微软雅黑"/>
          <w:b/>
          <w:color w:val="auto"/>
          <w:sz w:val="24"/>
          <w:szCs w:val="24"/>
        </w:rPr>
      </w:pPr>
      <w:r w:rsidRPr="00497A32">
        <w:rPr>
          <w:rStyle w:val="htmltxt1"/>
          <w:rFonts w:ascii="微软雅黑" w:eastAsia="微软雅黑" w:hAnsi="微软雅黑" w:hint="eastAsia"/>
          <w:b/>
          <w:color w:val="auto"/>
          <w:sz w:val="24"/>
          <w:szCs w:val="24"/>
        </w:rPr>
        <w:t xml:space="preserve">海关估价 </w:t>
      </w:r>
    </w:p>
    <w:p w14:paraId="5206A064"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1)确定海关完税价格</w:t>
      </w:r>
    </w:p>
    <w:p w14:paraId="63440A2C"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2)成交价格调整项目：特许权使用费等</w:t>
      </w:r>
    </w:p>
    <w:p w14:paraId="44471EC3"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3)成交价格成立条件：特殊关系等</w:t>
      </w:r>
    </w:p>
    <w:p w14:paraId="77740471"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4)运保费与滞期费</w:t>
      </w:r>
    </w:p>
    <w:p w14:paraId="38DB4894"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5)特殊事项：折扣、赔偿、赠品、保修、佣金等</w:t>
      </w:r>
    </w:p>
    <w:p w14:paraId="4F7C3466"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6)典型案例解读</w:t>
      </w:r>
    </w:p>
    <w:p w14:paraId="6AF316B4"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p>
    <w:p w14:paraId="0ABAD594" w14:textId="77777777" w:rsidR="00497A32" w:rsidRPr="00497A32" w:rsidRDefault="00497A32" w:rsidP="00497A32">
      <w:pPr>
        <w:pStyle w:val="afc"/>
        <w:widowControl/>
        <w:numPr>
          <w:ilvl w:val="0"/>
          <w:numId w:val="1"/>
        </w:numPr>
        <w:shd w:val="clear" w:color="auto" w:fill="FFFFFF"/>
        <w:snapToGrid w:val="0"/>
        <w:spacing w:line="276" w:lineRule="auto"/>
        <w:ind w:firstLineChars="0"/>
        <w:jc w:val="left"/>
        <w:rPr>
          <w:rStyle w:val="htmltxt1"/>
          <w:rFonts w:ascii="微软雅黑" w:eastAsia="微软雅黑" w:hAnsi="微软雅黑"/>
          <w:b/>
          <w:color w:val="auto"/>
          <w:sz w:val="24"/>
          <w:szCs w:val="24"/>
        </w:rPr>
      </w:pPr>
      <w:r w:rsidRPr="00497A32">
        <w:rPr>
          <w:rStyle w:val="htmltxt1"/>
          <w:rFonts w:ascii="微软雅黑" w:eastAsia="微软雅黑" w:hAnsi="微软雅黑" w:hint="eastAsia"/>
          <w:b/>
          <w:color w:val="auto"/>
          <w:sz w:val="24"/>
          <w:szCs w:val="24"/>
        </w:rPr>
        <w:t xml:space="preserve">原产地管理 </w:t>
      </w:r>
    </w:p>
    <w:p w14:paraId="3CA04EAE"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1)《进出口货物原产地条例》</w:t>
      </w:r>
    </w:p>
    <w:p w14:paraId="6CF740BA"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2)《中华人民共和国海关进出口货物优惠原产地管理规定》</w:t>
      </w:r>
    </w:p>
    <w:p w14:paraId="647AFF67"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3)特定原产地规则——以RCEP为例</w:t>
      </w:r>
    </w:p>
    <w:p w14:paraId="5DA4F88B"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4)原产地</w:t>
      </w:r>
      <w:proofErr w:type="gramStart"/>
      <w:r w:rsidRPr="00497A32">
        <w:rPr>
          <w:rFonts w:ascii="微软雅黑" w:eastAsia="微软雅黑" w:hAnsi="微软雅黑" w:cs="宋体" w:hint="eastAsia"/>
          <w:spacing w:val="8"/>
          <w:kern w:val="0"/>
          <w:sz w:val="24"/>
          <w:szCs w:val="24"/>
        </w:rPr>
        <w:t>享惠应用</w:t>
      </w:r>
      <w:proofErr w:type="gramEnd"/>
      <w:r w:rsidRPr="00497A32">
        <w:rPr>
          <w:rFonts w:ascii="微软雅黑" w:eastAsia="微软雅黑" w:hAnsi="微软雅黑" w:cs="宋体" w:hint="eastAsia"/>
          <w:spacing w:val="8"/>
          <w:kern w:val="0"/>
          <w:sz w:val="24"/>
          <w:szCs w:val="24"/>
        </w:rPr>
        <w:t>案例</w:t>
      </w:r>
    </w:p>
    <w:p w14:paraId="1CDFDC71"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5)原产地违规案例</w:t>
      </w:r>
    </w:p>
    <w:p w14:paraId="53189CC3"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p>
    <w:p w14:paraId="7242CA24" w14:textId="77777777" w:rsidR="00497A32" w:rsidRPr="00497A32" w:rsidRDefault="00497A32" w:rsidP="00497A32">
      <w:pPr>
        <w:pStyle w:val="afc"/>
        <w:widowControl/>
        <w:numPr>
          <w:ilvl w:val="0"/>
          <w:numId w:val="1"/>
        </w:numPr>
        <w:shd w:val="clear" w:color="auto" w:fill="FFFFFF"/>
        <w:snapToGrid w:val="0"/>
        <w:spacing w:line="276" w:lineRule="auto"/>
        <w:ind w:firstLineChars="0"/>
        <w:jc w:val="left"/>
        <w:rPr>
          <w:rStyle w:val="htmltxt1"/>
          <w:rFonts w:ascii="微软雅黑" w:eastAsia="微软雅黑" w:hAnsi="微软雅黑"/>
          <w:b/>
          <w:color w:val="auto"/>
          <w:sz w:val="24"/>
          <w:szCs w:val="24"/>
        </w:rPr>
      </w:pPr>
      <w:r w:rsidRPr="00497A32">
        <w:rPr>
          <w:rStyle w:val="htmltxt1"/>
          <w:rFonts w:ascii="微软雅黑" w:eastAsia="微软雅黑" w:hAnsi="微软雅黑" w:hint="eastAsia"/>
          <w:b/>
          <w:color w:val="auto"/>
          <w:sz w:val="24"/>
          <w:szCs w:val="24"/>
        </w:rPr>
        <w:t xml:space="preserve">海关保税与减免税监管 </w:t>
      </w:r>
    </w:p>
    <w:p w14:paraId="0751B71A"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1)《海关加工贸易货物监管办法》</w:t>
      </w:r>
    </w:p>
    <w:p w14:paraId="64EA02D6"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2)《海关审定内销保税货物完税价格办法》</w:t>
      </w:r>
    </w:p>
    <w:p w14:paraId="007BB3E6"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-加工贸易制成品（残次品）</w:t>
      </w:r>
    </w:p>
    <w:p w14:paraId="24B11E1A"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-加工贸易边角料、副产品</w:t>
      </w:r>
    </w:p>
    <w:p w14:paraId="39DC90FB"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-特殊监管区域保税货物内销</w:t>
      </w:r>
    </w:p>
    <w:p w14:paraId="5DB2C1BD"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3)《海关进出口货物减免税管理办法》</w:t>
      </w:r>
    </w:p>
    <w:p w14:paraId="2DBF5C02"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4)典型案例分析</w:t>
      </w:r>
    </w:p>
    <w:p w14:paraId="2139853B"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p>
    <w:p w14:paraId="36B8ED5E" w14:textId="77777777" w:rsidR="00497A32" w:rsidRPr="00497A32" w:rsidRDefault="00497A32" w:rsidP="00497A32">
      <w:pPr>
        <w:pStyle w:val="afc"/>
        <w:widowControl/>
        <w:numPr>
          <w:ilvl w:val="0"/>
          <w:numId w:val="1"/>
        </w:numPr>
        <w:shd w:val="clear" w:color="auto" w:fill="FFFFFF"/>
        <w:snapToGrid w:val="0"/>
        <w:spacing w:line="276" w:lineRule="auto"/>
        <w:ind w:firstLineChars="0"/>
        <w:jc w:val="left"/>
        <w:rPr>
          <w:rStyle w:val="htmltxt1"/>
          <w:rFonts w:ascii="微软雅黑" w:eastAsia="微软雅黑" w:hAnsi="微软雅黑"/>
          <w:b/>
          <w:color w:val="auto"/>
          <w:sz w:val="24"/>
          <w:szCs w:val="24"/>
        </w:rPr>
      </w:pPr>
      <w:r w:rsidRPr="00497A32">
        <w:rPr>
          <w:rStyle w:val="htmltxt1"/>
          <w:rFonts w:ascii="微软雅黑" w:eastAsia="微软雅黑" w:hAnsi="微软雅黑" w:hint="eastAsia"/>
          <w:b/>
          <w:color w:val="auto"/>
          <w:sz w:val="24"/>
          <w:szCs w:val="24"/>
        </w:rPr>
        <w:t xml:space="preserve">特殊贸易方式申报与税金管理 </w:t>
      </w:r>
    </w:p>
    <w:p w14:paraId="6F770D2E"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1)</w:t>
      </w:r>
      <w:proofErr w:type="gramStart"/>
      <w:r w:rsidRPr="00497A32">
        <w:rPr>
          <w:rFonts w:ascii="微软雅黑" w:eastAsia="微软雅黑" w:hAnsi="微软雅黑" w:cs="宋体" w:hint="eastAsia"/>
          <w:spacing w:val="8"/>
          <w:kern w:val="0"/>
          <w:sz w:val="24"/>
          <w:szCs w:val="24"/>
        </w:rPr>
        <w:t>不</w:t>
      </w:r>
      <w:proofErr w:type="gramEnd"/>
      <w:r w:rsidRPr="00497A32">
        <w:rPr>
          <w:rFonts w:ascii="微软雅黑" w:eastAsia="微软雅黑" w:hAnsi="微软雅黑" w:cs="宋体" w:hint="eastAsia"/>
          <w:spacing w:val="8"/>
          <w:kern w:val="0"/>
          <w:sz w:val="24"/>
          <w:szCs w:val="24"/>
        </w:rPr>
        <w:t>作价设备</w:t>
      </w:r>
    </w:p>
    <w:p w14:paraId="45419C57"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lastRenderedPageBreak/>
        <w:t>2)租赁</w:t>
      </w:r>
    </w:p>
    <w:p w14:paraId="01178E8D"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3)退运</w:t>
      </w:r>
    </w:p>
    <w:p w14:paraId="7FC45BA2"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4)包装</w:t>
      </w:r>
    </w:p>
    <w:p w14:paraId="2AFC60B2"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5)修理物品</w:t>
      </w:r>
    </w:p>
    <w:p w14:paraId="2F166202"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p>
    <w:p w14:paraId="08BABC4C" w14:textId="77777777" w:rsidR="00497A32" w:rsidRPr="00497A32" w:rsidRDefault="00497A32" w:rsidP="00497A32">
      <w:pPr>
        <w:widowControl/>
        <w:shd w:val="clear" w:color="auto" w:fill="FFFFFF"/>
        <w:snapToGrid w:val="0"/>
        <w:spacing w:line="276" w:lineRule="auto"/>
        <w:rPr>
          <w:rFonts w:ascii="微软雅黑" w:eastAsia="微软雅黑" w:hAnsi="微软雅黑" w:cs="宋体"/>
          <w:b/>
          <w:bCs/>
          <w:color w:val="FF0000"/>
          <w:spacing w:val="8"/>
          <w:kern w:val="0"/>
          <w:sz w:val="24"/>
          <w:szCs w:val="24"/>
        </w:rPr>
      </w:pPr>
      <w:r w:rsidRPr="00497A32">
        <w:rPr>
          <w:rFonts w:ascii="微软雅黑" w:eastAsia="微软雅黑" w:hAnsi="微软雅黑" w:cs="宋体" w:hint="eastAsia"/>
          <w:b/>
          <w:bCs/>
          <w:color w:val="FF0000"/>
          <w:spacing w:val="8"/>
          <w:kern w:val="0"/>
          <w:sz w:val="24"/>
          <w:szCs w:val="24"/>
        </w:rPr>
        <w:t>第二天</w:t>
      </w:r>
    </w:p>
    <w:p w14:paraId="7ED673B7" w14:textId="77777777" w:rsidR="00497A32" w:rsidRPr="00497A32" w:rsidRDefault="00497A32" w:rsidP="00497A32">
      <w:pPr>
        <w:widowControl/>
        <w:shd w:val="clear" w:color="auto" w:fill="FFFFFF"/>
        <w:snapToGrid w:val="0"/>
        <w:spacing w:line="276" w:lineRule="auto"/>
        <w:rPr>
          <w:rFonts w:ascii="微软雅黑" w:eastAsia="微软雅黑" w:hAnsi="微软雅黑" w:cs="宋体"/>
          <w:b/>
          <w:bCs/>
          <w:spacing w:val="8"/>
          <w:kern w:val="0"/>
          <w:sz w:val="24"/>
          <w:szCs w:val="24"/>
        </w:rPr>
      </w:pPr>
    </w:p>
    <w:p w14:paraId="042237F5" w14:textId="77777777" w:rsidR="00497A32" w:rsidRPr="00497A32" w:rsidRDefault="00497A32" w:rsidP="00497A32">
      <w:pPr>
        <w:pStyle w:val="afc"/>
        <w:widowControl/>
        <w:numPr>
          <w:ilvl w:val="0"/>
          <w:numId w:val="2"/>
        </w:numPr>
        <w:shd w:val="clear" w:color="auto" w:fill="FFFFFF"/>
        <w:snapToGrid w:val="0"/>
        <w:spacing w:line="276" w:lineRule="auto"/>
        <w:ind w:firstLineChars="0"/>
        <w:rPr>
          <w:rStyle w:val="htmltxt1"/>
          <w:rFonts w:ascii="微软雅黑" w:eastAsia="微软雅黑" w:hAnsi="微软雅黑"/>
          <w:b/>
          <w:sz w:val="24"/>
          <w:szCs w:val="24"/>
        </w:rPr>
      </w:pPr>
      <w:r w:rsidRPr="00497A32">
        <w:rPr>
          <w:rStyle w:val="htmltxt1"/>
          <w:rFonts w:ascii="微软雅黑" w:eastAsia="微软雅黑" w:hAnsi="微软雅黑" w:hint="eastAsia"/>
          <w:b/>
          <w:sz w:val="24"/>
          <w:szCs w:val="24"/>
        </w:rPr>
        <w:t>海关稽查与主动披露</w:t>
      </w:r>
    </w:p>
    <w:p w14:paraId="2FC96AE0"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1)海关稽查基础知识</w:t>
      </w:r>
    </w:p>
    <w:p w14:paraId="5D15E80B"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2)海关稽查重点领域</w:t>
      </w:r>
    </w:p>
    <w:p w14:paraId="2C73D194"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3)海关稽查经典案例</w:t>
      </w:r>
    </w:p>
    <w:p w14:paraId="723BDD99"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4)主动披露</w:t>
      </w:r>
    </w:p>
    <w:p w14:paraId="7DB137AE"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-相关法规</w:t>
      </w:r>
    </w:p>
    <w:p w14:paraId="12B20D38"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-操作流程</w:t>
      </w:r>
    </w:p>
    <w:p w14:paraId="53B1CC53"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-注意事项</w:t>
      </w:r>
    </w:p>
    <w:p w14:paraId="66F861B8"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p>
    <w:p w14:paraId="61C9BA51" w14:textId="77777777" w:rsidR="00497A32" w:rsidRPr="00497A32" w:rsidRDefault="00497A32" w:rsidP="00497A32">
      <w:pPr>
        <w:pStyle w:val="afc"/>
        <w:widowControl/>
        <w:numPr>
          <w:ilvl w:val="0"/>
          <w:numId w:val="2"/>
        </w:numPr>
        <w:shd w:val="clear" w:color="auto" w:fill="FFFFFF"/>
        <w:snapToGrid w:val="0"/>
        <w:spacing w:line="276" w:lineRule="auto"/>
        <w:ind w:firstLineChars="0"/>
        <w:rPr>
          <w:rStyle w:val="htmltxt1"/>
          <w:rFonts w:ascii="微软雅黑" w:eastAsia="微软雅黑" w:hAnsi="微软雅黑"/>
          <w:b/>
          <w:sz w:val="24"/>
          <w:szCs w:val="24"/>
        </w:rPr>
      </w:pPr>
      <w:r w:rsidRPr="00497A32">
        <w:rPr>
          <w:rStyle w:val="htmltxt1"/>
          <w:rFonts w:ascii="微软雅黑" w:eastAsia="微软雅黑" w:hAnsi="微软雅黑" w:hint="eastAsia"/>
          <w:b/>
          <w:sz w:val="24"/>
          <w:szCs w:val="24"/>
        </w:rPr>
        <w:t xml:space="preserve">合理运用海关政策 </w:t>
      </w:r>
    </w:p>
    <w:p w14:paraId="12FD938A"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1)海关预裁定</w:t>
      </w:r>
    </w:p>
    <w:p w14:paraId="2511CE01"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-相关法规</w:t>
      </w:r>
    </w:p>
    <w:p w14:paraId="3718D108"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-操作流程</w:t>
      </w:r>
    </w:p>
    <w:p w14:paraId="4E18037C"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-注意事项</w:t>
      </w:r>
    </w:p>
    <w:p w14:paraId="0A4A9540"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2)属地纳税人管理</w:t>
      </w:r>
    </w:p>
    <w:p w14:paraId="6A4C6C9F"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p>
    <w:p w14:paraId="10F00EB2" w14:textId="77777777" w:rsidR="00497A32" w:rsidRPr="00497A32" w:rsidRDefault="00497A32" w:rsidP="00497A32">
      <w:pPr>
        <w:pStyle w:val="afc"/>
        <w:widowControl/>
        <w:numPr>
          <w:ilvl w:val="0"/>
          <w:numId w:val="2"/>
        </w:numPr>
        <w:shd w:val="clear" w:color="auto" w:fill="FFFFFF"/>
        <w:snapToGrid w:val="0"/>
        <w:spacing w:line="276" w:lineRule="auto"/>
        <w:ind w:firstLineChars="0"/>
        <w:rPr>
          <w:rStyle w:val="htmltxt1"/>
          <w:rFonts w:ascii="微软雅黑" w:eastAsia="微软雅黑" w:hAnsi="微软雅黑"/>
          <w:b/>
          <w:sz w:val="24"/>
          <w:szCs w:val="24"/>
        </w:rPr>
      </w:pPr>
      <w:r w:rsidRPr="00497A32">
        <w:rPr>
          <w:rStyle w:val="htmltxt1"/>
          <w:rFonts w:ascii="微软雅黑" w:eastAsia="微软雅黑" w:hAnsi="微软雅黑" w:hint="eastAsia"/>
          <w:b/>
          <w:sz w:val="24"/>
          <w:szCs w:val="24"/>
        </w:rPr>
        <w:t xml:space="preserve">RCEP背景下关贸筹划价值创造路径探讨 </w:t>
      </w:r>
    </w:p>
    <w:p w14:paraId="64706A99"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1)节省税费支出</w:t>
      </w:r>
    </w:p>
    <w:p w14:paraId="47B668AA"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2)定向市场开发</w:t>
      </w:r>
    </w:p>
    <w:p w14:paraId="3BDA2FFA"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3)全球产业链布局</w:t>
      </w:r>
    </w:p>
    <w:p w14:paraId="3C6F6B14"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p>
    <w:p w14:paraId="196BAF44" w14:textId="77777777" w:rsidR="00497A32" w:rsidRPr="00497A32" w:rsidRDefault="00497A32" w:rsidP="00497A32">
      <w:pPr>
        <w:pStyle w:val="afc"/>
        <w:widowControl/>
        <w:numPr>
          <w:ilvl w:val="0"/>
          <w:numId w:val="2"/>
        </w:numPr>
        <w:shd w:val="clear" w:color="auto" w:fill="FFFFFF"/>
        <w:snapToGrid w:val="0"/>
        <w:spacing w:line="276" w:lineRule="auto"/>
        <w:ind w:firstLineChars="0"/>
        <w:rPr>
          <w:rStyle w:val="htmltxt1"/>
          <w:rFonts w:ascii="微软雅黑" w:eastAsia="微软雅黑" w:hAnsi="微软雅黑"/>
          <w:b/>
          <w:sz w:val="24"/>
          <w:szCs w:val="24"/>
        </w:rPr>
      </w:pPr>
      <w:r w:rsidRPr="00497A32">
        <w:rPr>
          <w:rStyle w:val="htmltxt1"/>
          <w:rFonts w:ascii="微软雅黑" w:eastAsia="微软雅黑" w:hAnsi="微软雅黑" w:hint="eastAsia"/>
          <w:b/>
          <w:sz w:val="24"/>
          <w:szCs w:val="24"/>
        </w:rPr>
        <w:t xml:space="preserve">知识产权海关保护 </w:t>
      </w:r>
    </w:p>
    <w:p w14:paraId="532F84BD"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1)《中华人民共和国知识产权海关保护条例》</w:t>
      </w:r>
    </w:p>
    <w:p w14:paraId="610439F9"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2)海关知识产权备案</w:t>
      </w:r>
    </w:p>
    <w:p w14:paraId="7A30F433"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3)案例分享</w:t>
      </w:r>
    </w:p>
    <w:p w14:paraId="43153433"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p>
    <w:p w14:paraId="1F80631E" w14:textId="77777777" w:rsidR="00497A32" w:rsidRPr="00497A32" w:rsidRDefault="00497A32" w:rsidP="00497A32">
      <w:pPr>
        <w:pStyle w:val="afc"/>
        <w:widowControl/>
        <w:numPr>
          <w:ilvl w:val="0"/>
          <w:numId w:val="2"/>
        </w:numPr>
        <w:shd w:val="clear" w:color="auto" w:fill="FFFFFF"/>
        <w:snapToGrid w:val="0"/>
        <w:spacing w:line="276" w:lineRule="auto"/>
        <w:ind w:firstLineChars="0"/>
        <w:rPr>
          <w:rStyle w:val="htmltxt1"/>
          <w:rFonts w:ascii="微软雅黑" w:eastAsia="微软雅黑" w:hAnsi="微软雅黑"/>
          <w:b/>
          <w:sz w:val="24"/>
          <w:szCs w:val="24"/>
        </w:rPr>
      </w:pPr>
      <w:r w:rsidRPr="00497A32">
        <w:rPr>
          <w:rStyle w:val="htmltxt1"/>
          <w:rFonts w:ascii="微软雅黑" w:eastAsia="微软雅黑" w:hAnsi="微软雅黑" w:hint="eastAsia"/>
          <w:b/>
          <w:sz w:val="24"/>
          <w:szCs w:val="24"/>
        </w:rPr>
        <w:lastRenderedPageBreak/>
        <w:t xml:space="preserve">海关企业信用管理 </w:t>
      </w:r>
    </w:p>
    <w:p w14:paraId="1B674088"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1)《海关注册登记和备案企业信用管理办法》</w:t>
      </w:r>
    </w:p>
    <w:p w14:paraId="63235195"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2)《海关高级认证企业标准》</w:t>
      </w:r>
    </w:p>
    <w:p w14:paraId="5CFDB976"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3)涉税要素申报规范要求</w:t>
      </w:r>
    </w:p>
    <w:p w14:paraId="0CC0D922"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4)AEO</w:t>
      </w:r>
      <w:proofErr w:type="gramStart"/>
      <w:r w:rsidRPr="00497A32">
        <w:rPr>
          <w:rFonts w:ascii="微软雅黑" w:eastAsia="微软雅黑" w:hAnsi="微软雅黑" w:cs="宋体" w:hint="eastAsia"/>
          <w:spacing w:val="8"/>
          <w:kern w:val="0"/>
          <w:sz w:val="24"/>
          <w:szCs w:val="24"/>
        </w:rPr>
        <w:t>企业享惠案例</w:t>
      </w:r>
      <w:proofErr w:type="gramEnd"/>
    </w:p>
    <w:p w14:paraId="5D56AB17"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p>
    <w:p w14:paraId="60EE84F8" w14:textId="77777777" w:rsidR="00497A32" w:rsidRPr="00497A32" w:rsidRDefault="00497A32" w:rsidP="00497A32">
      <w:pPr>
        <w:pStyle w:val="afc"/>
        <w:widowControl/>
        <w:numPr>
          <w:ilvl w:val="0"/>
          <w:numId w:val="2"/>
        </w:numPr>
        <w:shd w:val="clear" w:color="auto" w:fill="FFFFFF"/>
        <w:snapToGrid w:val="0"/>
        <w:spacing w:line="276" w:lineRule="auto"/>
        <w:ind w:firstLineChars="0"/>
        <w:rPr>
          <w:rStyle w:val="htmltxt1"/>
          <w:rFonts w:ascii="微软雅黑" w:eastAsia="微软雅黑" w:hAnsi="微软雅黑"/>
          <w:b/>
          <w:sz w:val="24"/>
          <w:szCs w:val="24"/>
        </w:rPr>
      </w:pPr>
      <w:r w:rsidRPr="00497A32">
        <w:rPr>
          <w:rStyle w:val="htmltxt1"/>
          <w:rFonts w:ascii="微软雅黑" w:eastAsia="微软雅黑" w:hAnsi="微软雅黑" w:hint="eastAsia"/>
          <w:b/>
          <w:sz w:val="24"/>
          <w:szCs w:val="24"/>
        </w:rPr>
        <w:t>关务合</w:t>
      </w:r>
      <w:proofErr w:type="gramStart"/>
      <w:r w:rsidRPr="00497A32">
        <w:rPr>
          <w:rStyle w:val="htmltxt1"/>
          <w:rFonts w:ascii="微软雅黑" w:eastAsia="微软雅黑" w:hAnsi="微软雅黑" w:hint="eastAsia"/>
          <w:b/>
          <w:sz w:val="24"/>
          <w:szCs w:val="24"/>
        </w:rPr>
        <w:t>规</w:t>
      </w:r>
      <w:proofErr w:type="gramEnd"/>
      <w:r w:rsidRPr="00497A32">
        <w:rPr>
          <w:rStyle w:val="htmltxt1"/>
          <w:rFonts w:ascii="微软雅黑" w:eastAsia="微软雅黑" w:hAnsi="微软雅黑" w:hint="eastAsia"/>
          <w:b/>
          <w:sz w:val="24"/>
          <w:szCs w:val="24"/>
        </w:rPr>
        <w:t xml:space="preserve">体系建设 </w:t>
      </w:r>
    </w:p>
    <w:p w14:paraId="39700259"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1)合</w:t>
      </w:r>
      <w:proofErr w:type="gramStart"/>
      <w:r w:rsidRPr="00497A32">
        <w:rPr>
          <w:rFonts w:ascii="微软雅黑" w:eastAsia="微软雅黑" w:hAnsi="微软雅黑" w:cs="宋体" w:hint="eastAsia"/>
          <w:spacing w:val="8"/>
          <w:kern w:val="0"/>
          <w:sz w:val="24"/>
          <w:szCs w:val="24"/>
        </w:rPr>
        <w:t>规</w:t>
      </w:r>
      <w:proofErr w:type="gramEnd"/>
      <w:r w:rsidRPr="00497A32">
        <w:rPr>
          <w:rFonts w:ascii="微软雅黑" w:eastAsia="微软雅黑" w:hAnsi="微软雅黑" w:cs="宋体" w:hint="eastAsia"/>
          <w:spacing w:val="8"/>
          <w:kern w:val="0"/>
          <w:sz w:val="24"/>
          <w:szCs w:val="24"/>
        </w:rPr>
        <w:t>体系框架</w:t>
      </w:r>
    </w:p>
    <w:p w14:paraId="1916EB86"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2)内部审计</w:t>
      </w:r>
    </w:p>
    <w:p w14:paraId="1F562955"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r w:rsidRPr="00497A32">
        <w:rPr>
          <w:rFonts w:ascii="微软雅黑" w:eastAsia="微软雅黑" w:hAnsi="微软雅黑" w:cs="宋体" w:hint="eastAsia"/>
          <w:spacing w:val="8"/>
          <w:kern w:val="0"/>
          <w:sz w:val="24"/>
          <w:szCs w:val="24"/>
        </w:rPr>
        <w:t>3)规范改进</w:t>
      </w:r>
    </w:p>
    <w:p w14:paraId="477C5774" w14:textId="77777777" w:rsidR="00497A32" w:rsidRPr="00497A32" w:rsidRDefault="00497A32" w:rsidP="00497A32">
      <w:pPr>
        <w:widowControl/>
        <w:shd w:val="clear" w:color="auto" w:fill="FFFFFF"/>
        <w:snapToGrid w:val="0"/>
        <w:spacing w:line="276" w:lineRule="auto"/>
        <w:rPr>
          <w:rFonts w:ascii="微软雅黑" w:eastAsia="微软雅黑" w:hAnsi="微软雅黑" w:cs="宋体"/>
          <w:spacing w:val="8"/>
          <w:kern w:val="0"/>
          <w:sz w:val="24"/>
          <w:szCs w:val="24"/>
        </w:rPr>
      </w:pPr>
    </w:p>
    <w:p w14:paraId="0833D21D" w14:textId="77777777" w:rsidR="00497A32" w:rsidRPr="00497A32" w:rsidRDefault="00497A32" w:rsidP="00497A32">
      <w:pPr>
        <w:pStyle w:val="afc"/>
        <w:widowControl/>
        <w:numPr>
          <w:ilvl w:val="0"/>
          <w:numId w:val="2"/>
        </w:numPr>
        <w:shd w:val="clear" w:color="auto" w:fill="FFFFFF"/>
        <w:snapToGrid w:val="0"/>
        <w:spacing w:line="276" w:lineRule="auto"/>
        <w:ind w:firstLineChars="0"/>
        <w:rPr>
          <w:rStyle w:val="htmltxt1"/>
          <w:rFonts w:ascii="微软雅黑" w:eastAsia="微软雅黑" w:hAnsi="微软雅黑"/>
          <w:b/>
          <w:color w:val="FF0000"/>
          <w:sz w:val="24"/>
          <w:szCs w:val="24"/>
        </w:rPr>
      </w:pPr>
      <w:r w:rsidRPr="00497A32">
        <w:rPr>
          <w:rStyle w:val="htmltxt1"/>
          <w:rFonts w:ascii="微软雅黑" w:eastAsia="微软雅黑" w:hAnsi="微软雅黑" w:hint="eastAsia"/>
          <w:b/>
          <w:color w:val="FF0000"/>
          <w:sz w:val="24"/>
          <w:szCs w:val="24"/>
        </w:rPr>
        <w:t xml:space="preserve">综合案例沙盘演练 </w:t>
      </w:r>
    </w:p>
    <w:p w14:paraId="47105543" w14:textId="77777777" w:rsidR="00497A32" w:rsidRDefault="00497A32" w:rsidP="00497A32">
      <w:pPr>
        <w:widowControl/>
        <w:shd w:val="clear" w:color="auto" w:fill="FFFFFF"/>
        <w:snapToGrid w:val="0"/>
        <w:spacing w:line="276" w:lineRule="auto"/>
        <w:rPr>
          <w:rFonts w:ascii="微软雅黑" w:eastAsia="微软雅黑" w:hAnsi="微软雅黑" w:cs="宋体"/>
          <w:color w:val="FF0000"/>
          <w:spacing w:val="8"/>
          <w:kern w:val="0"/>
          <w:sz w:val="24"/>
          <w:szCs w:val="24"/>
        </w:rPr>
      </w:pPr>
      <w:r w:rsidRPr="00497A32">
        <w:rPr>
          <w:rFonts w:ascii="微软雅黑" w:eastAsia="微软雅黑" w:hAnsi="微软雅黑" w:cs="宋体" w:hint="eastAsia"/>
          <w:color w:val="FF0000"/>
          <w:spacing w:val="8"/>
          <w:kern w:val="0"/>
          <w:sz w:val="24"/>
          <w:szCs w:val="24"/>
        </w:rPr>
        <w:t>结合企业实际设计综合案例指导学员实战演练</w:t>
      </w:r>
    </w:p>
    <w:p w14:paraId="38F7FDDC" w14:textId="246AC27B" w:rsidR="00B64F67" w:rsidRPr="00497A32" w:rsidRDefault="00497A32" w:rsidP="00497A32">
      <w:pPr>
        <w:pStyle w:val="Afd"/>
        <w:pBdr>
          <w:bottom w:val="dotted" w:sz="8" w:space="0" w:color="476D99"/>
        </w:pBdr>
        <w:spacing w:before="80" w:after="120"/>
        <w:outlineLvl w:val="0"/>
        <w:rPr>
          <w:rFonts w:ascii="微软雅黑" w:eastAsia="PMingLiU" w:hAnsi="微软雅黑" w:hint="default"/>
          <w:b/>
          <w:bCs/>
          <w:color w:val="008CB4"/>
          <w:u w:color="008CB4"/>
        </w:rPr>
      </w:pPr>
      <w:r w:rsidRPr="00457ACD">
        <w:rPr>
          <w:rFonts w:ascii="微软雅黑" w:eastAsia="微软雅黑" w:hAnsi="微软雅黑"/>
          <w:b/>
          <w:bCs/>
          <w:color w:val="008CB4"/>
          <w:u w:color="008CB4"/>
        </w:rPr>
        <w:t>【</w:t>
      </w:r>
      <w:r>
        <w:rPr>
          <w:rFonts w:ascii="微软雅黑" w:eastAsia="微软雅黑" w:hAnsi="微软雅黑"/>
          <w:b/>
          <w:bCs/>
          <w:color w:val="008CB4"/>
          <w:u w:color="008CB4"/>
        </w:rPr>
        <w:t>讲师介绍</w:t>
      </w:r>
      <w:r w:rsidRPr="00457ACD">
        <w:rPr>
          <w:rFonts w:ascii="微软雅黑" w:eastAsia="微软雅黑" w:hAnsi="微软雅黑"/>
          <w:b/>
          <w:bCs/>
          <w:color w:val="008CB4"/>
          <w:u w:color="008CB4"/>
        </w:rPr>
        <w:t>】</w:t>
      </w:r>
      <w:r>
        <w:rPr>
          <w:rFonts w:ascii="微软雅黑" w:eastAsia="微软雅黑" w:hAnsi="微软雅黑"/>
          <w:b/>
          <w:bCs/>
          <w:color w:val="008CB4"/>
          <w:u w:color="008CB4"/>
        </w:rPr>
        <w:t>孙怡</w:t>
      </w:r>
    </w:p>
    <w:p w14:paraId="0ED87607" w14:textId="710DE7CA" w:rsidR="00497A32" w:rsidRPr="00497A32" w:rsidRDefault="00497A32" w:rsidP="00497A32">
      <w:pPr>
        <w:jc w:val="left"/>
        <w:rPr>
          <w:rFonts w:ascii="微软雅黑" w:eastAsia="微软雅黑" w:hAnsi="微软雅黑" w:cs="黑体"/>
          <w:b/>
          <w:bCs/>
          <w:noProof/>
          <w:sz w:val="24"/>
          <w:szCs w:val="24"/>
        </w:rPr>
      </w:pPr>
      <w:r>
        <w:rPr>
          <w:noProof/>
        </w:rPr>
        <w:drawing>
          <wp:anchor distT="0" distB="0" distL="114300" distR="114300" simplePos="0" relativeHeight="251658240" behindDoc="1" locked="0" layoutInCell="1" allowOverlap="1" wp14:anchorId="7ABB38A1" wp14:editId="348F4A1F">
            <wp:simplePos x="0" y="0"/>
            <wp:positionH relativeFrom="column">
              <wp:posOffset>5612523</wp:posOffset>
            </wp:positionH>
            <wp:positionV relativeFrom="paragraph">
              <wp:posOffset>71733</wp:posOffset>
            </wp:positionV>
            <wp:extent cx="1169670" cy="1414780"/>
            <wp:effectExtent l="0" t="0" r="0" b="0"/>
            <wp:wrapTight wrapText="bothSides">
              <wp:wrapPolygon edited="0">
                <wp:start x="0" y="0"/>
                <wp:lineTo x="0" y="21232"/>
                <wp:lineTo x="21107" y="21232"/>
                <wp:lineTo x="21107" y="0"/>
                <wp:lineTo x="0" y="0"/>
              </wp:wrapPolygon>
            </wp:wrapTight>
            <wp:docPr id="5" name="Picture 7" descr="孙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7" descr="孙怡"/>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9670" cy="141478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497A32">
        <w:rPr>
          <w:rFonts w:ascii="微软雅黑" w:eastAsia="微软雅黑" w:hAnsi="微软雅黑" w:cs="黑体" w:hint="eastAsia"/>
          <w:b/>
          <w:bCs/>
          <w:noProof/>
          <w:sz w:val="24"/>
          <w:szCs w:val="24"/>
        </w:rPr>
        <w:t>工作经历：</w:t>
      </w:r>
      <w:r w:rsidRPr="00497A32">
        <w:rPr>
          <w:rFonts w:ascii="微软雅黑" w:eastAsia="微软雅黑" w:hAnsi="微软雅黑" w:cs="黑体" w:hint="eastAsia"/>
          <w:b/>
          <w:bCs/>
          <w:noProof/>
          <w:sz w:val="24"/>
          <w:szCs w:val="24"/>
        </w:rPr>
        <w:tab/>
      </w:r>
    </w:p>
    <w:p w14:paraId="7BC70A2A" w14:textId="050FBC8A"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北京德和衡（上海）律师事务所  合伙人、副主任</w:t>
      </w:r>
    </w:p>
    <w:p w14:paraId="1DDDEA8A"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中国注册会计师、特许公认会计师（ACCA）</w:t>
      </w:r>
    </w:p>
    <w:p w14:paraId="657B7E95"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孙怡律师于2018年加入德和衡成为专职律师，此前在海关系统工作，具有10年的海关法律事务和贸易合规实务经验，曾任海关公职律师；现任北京德和衡（上海）律师事务所副主任、上海律协国际贸易业务研究委员会委员，山东政法学院兼职教授、青岛市首批“国际经济特许人才专家”，同时拥有中国注册会计师资格、ACCA特许公认会计师资格。</w:t>
      </w:r>
    </w:p>
    <w:p w14:paraId="4DB3FAC9"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职业领域：</w:t>
      </w:r>
    </w:p>
    <w:p w14:paraId="0CA8D700" w14:textId="77777777" w:rsidR="00497A32" w:rsidRPr="00497A32" w:rsidRDefault="00497A32" w:rsidP="00497A32">
      <w:pPr>
        <w:jc w:val="left"/>
        <w:rPr>
          <w:rFonts w:ascii="微软雅黑" w:eastAsia="微软雅黑" w:hAnsi="微软雅黑" w:cs="黑体"/>
          <w:b/>
          <w:bCs/>
          <w:noProof/>
          <w:sz w:val="24"/>
          <w:szCs w:val="24"/>
        </w:rPr>
      </w:pPr>
      <w:r w:rsidRPr="00497A32">
        <w:rPr>
          <w:rFonts w:ascii="微软雅黑" w:eastAsia="微软雅黑" w:hAnsi="微软雅黑" w:cs="黑体" w:hint="eastAsia"/>
          <w:b/>
          <w:bCs/>
          <w:noProof/>
          <w:sz w:val="24"/>
          <w:szCs w:val="24"/>
        </w:rPr>
        <w:t>※ 海关法及进出口合规法律服务</w:t>
      </w:r>
    </w:p>
    <w:p w14:paraId="444CD6A5"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包括但不限于归类/估价/原产地等海关纳税争议解决、海关稽查与行政处罚法律救济、特许权使用费/转移定价/协助费用专项合规、进出口合规体系建设、进出口合规体检、主动披露、海关预裁定申请、AEO认证辅导、走私犯罪刑事辩护、知识产权海关保护等，可为客户面临的进出口环节海关估价与价格磋商、商品归类与原产地、企业海关信用管理、通关疑难问题、海关化验、进出口许可证、检验检疫、3C认证、加工贸易、保税物流模式、海关特殊监管区域法律咨询、工厂搬迁、深加工结转以及外</w:t>
      </w:r>
      <w:r w:rsidRPr="00497A32">
        <w:rPr>
          <w:rFonts w:ascii="微软雅黑" w:eastAsia="微软雅黑" w:hAnsi="微软雅黑" w:cs="黑体" w:hint="eastAsia"/>
          <w:noProof/>
          <w:sz w:val="24"/>
          <w:szCs w:val="24"/>
        </w:rPr>
        <w:lastRenderedPageBreak/>
        <w:t>发加工等实务问题提供个性化且富有成效的深度解决方案。</w:t>
      </w:r>
    </w:p>
    <w:p w14:paraId="52D341E5" w14:textId="77777777" w:rsidR="00497A32" w:rsidRPr="00497A32" w:rsidRDefault="00497A32" w:rsidP="00497A32">
      <w:pPr>
        <w:jc w:val="left"/>
        <w:rPr>
          <w:rFonts w:ascii="微软雅黑" w:eastAsia="微软雅黑" w:hAnsi="微软雅黑" w:cs="黑体"/>
          <w:b/>
          <w:bCs/>
          <w:noProof/>
          <w:sz w:val="24"/>
          <w:szCs w:val="24"/>
        </w:rPr>
      </w:pPr>
      <w:r w:rsidRPr="00497A32">
        <w:rPr>
          <w:rFonts w:ascii="微软雅黑" w:eastAsia="微软雅黑" w:hAnsi="微软雅黑" w:cs="黑体" w:hint="eastAsia"/>
          <w:b/>
          <w:bCs/>
          <w:noProof/>
          <w:sz w:val="24"/>
          <w:szCs w:val="24"/>
        </w:rPr>
        <w:t>※ 出口管制与经济制裁法律服务</w:t>
      </w:r>
    </w:p>
    <w:p w14:paraId="0D93D2C0"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包括但不限于为中国企业开展海外业务进行经济制裁和出口管制风险评估和防范、编制合规指引、搭建及完善出口内控合规体系、执行或指导内部合规审查、开展专项培训、起草和管理自愿披露、应对行政调查或处罚、进行替代供应链筹划与合规性评估、协助跨国公司处理中国出口管制法律以及技术进出口管制的咨询和许可证申请、开展与出口管制相关的人力资源管理、收并购尽职调查以评估承继者对过去违规行为承担责任的风险等。</w:t>
      </w:r>
    </w:p>
    <w:p w14:paraId="7B08BA15" w14:textId="77777777" w:rsidR="00497A32" w:rsidRPr="00497A32" w:rsidRDefault="00497A32" w:rsidP="00497A32">
      <w:pPr>
        <w:jc w:val="left"/>
        <w:rPr>
          <w:rFonts w:ascii="微软雅黑" w:eastAsia="微软雅黑" w:hAnsi="微软雅黑" w:cs="黑体"/>
          <w:b/>
          <w:bCs/>
          <w:noProof/>
          <w:sz w:val="24"/>
          <w:szCs w:val="24"/>
        </w:rPr>
      </w:pPr>
      <w:r w:rsidRPr="00497A32">
        <w:rPr>
          <w:rFonts w:ascii="微软雅黑" w:eastAsia="微软雅黑" w:hAnsi="微软雅黑" w:cs="黑体" w:hint="eastAsia"/>
          <w:b/>
          <w:bCs/>
          <w:noProof/>
          <w:sz w:val="24"/>
          <w:szCs w:val="24"/>
        </w:rPr>
        <w:t>※ 跨境贸易与投融资综合法律服务</w:t>
      </w:r>
    </w:p>
    <w:p w14:paraId="18D7A986"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包括但不限于交易架构设计、协助谈判、国际货物买卖争议解决与诉讼仲裁代理、物流以及供应链法律顾问及咨询、跨国投资和并购法律服务。</w:t>
      </w:r>
    </w:p>
    <w:p w14:paraId="248F30C1" w14:textId="77777777" w:rsidR="00497A32" w:rsidRPr="00497A32" w:rsidRDefault="00497A32" w:rsidP="00497A32">
      <w:pPr>
        <w:jc w:val="left"/>
        <w:rPr>
          <w:rFonts w:ascii="微软雅黑" w:eastAsia="微软雅黑" w:hAnsi="微软雅黑" w:cs="黑体"/>
          <w:b/>
          <w:bCs/>
          <w:noProof/>
          <w:sz w:val="24"/>
          <w:szCs w:val="24"/>
        </w:rPr>
      </w:pPr>
      <w:r w:rsidRPr="00497A32">
        <w:rPr>
          <w:rFonts w:ascii="微软雅黑" w:eastAsia="微软雅黑" w:hAnsi="微软雅黑" w:cs="黑体" w:hint="eastAsia"/>
          <w:b/>
          <w:bCs/>
          <w:noProof/>
          <w:sz w:val="24"/>
          <w:szCs w:val="24"/>
        </w:rPr>
        <w:t>※ 特定行业全流程法律服务</w:t>
      </w:r>
    </w:p>
    <w:p w14:paraId="244E22FF"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 xml:space="preserve">除以上专业领域外，孙律师还与团队成员共同深入研究跨境电、生物医药行业，可为此两个行业内各种类型、不同发展阶段、不同规模的企业及个人提供包括跨境贸易、跨境投融资、海关、知识产权、金融、税法、证券、数据合规、刑事等方面在内的全流程、多专业的“一站式”法律服务与资金、供应链解决方案，受到客户广泛好评。 </w:t>
      </w:r>
    </w:p>
    <w:p w14:paraId="64A16408" w14:textId="77777777" w:rsidR="00497A32" w:rsidRPr="00497A32" w:rsidRDefault="00497A32" w:rsidP="00497A32">
      <w:pPr>
        <w:jc w:val="left"/>
        <w:rPr>
          <w:rFonts w:ascii="微软雅黑" w:eastAsia="微软雅黑" w:hAnsi="微软雅黑" w:cs="黑体"/>
          <w:noProof/>
          <w:sz w:val="24"/>
          <w:szCs w:val="24"/>
        </w:rPr>
      </w:pPr>
    </w:p>
    <w:p w14:paraId="1E87671E"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※部分服务客户：</w:t>
      </w:r>
    </w:p>
    <w:p w14:paraId="7C2AF890" w14:textId="77777777" w:rsidR="00497A32" w:rsidRPr="00497A32" w:rsidRDefault="00497A32" w:rsidP="00497A32">
      <w:pPr>
        <w:jc w:val="left"/>
        <w:rPr>
          <w:rFonts w:ascii="微软雅黑" w:eastAsia="微软雅黑" w:hAnsi="微软雅黑" w:cs="黑体"/>
          <w:noProof/>
          <w:sz w:val="24"/>
          <w:szCs w:val="24"/>
        </w:rPr>
      </w:pPr>
      <w:r w:rsidRPr="00497A32">
        <w:rPr>
          <w:rFonts w:ascii="微软雅黑" w:eastAsia="微软雅黑" w:hAnsi="微软雅黑" w:cs="黑体" w:hint="eastAsia"/>
          <w:noProof/>
          <w:sz w:val="24"/>
          <w:szCs w:val="24"/>
        </w:rPr>
        <w:t>自从业以来，孙怡律师曾先后为招商局、中外运、中储、中水、上飞、唯品会、海克斯康、鲁抗医药、丰光精密、建邦科技等众多世界500强、大型央企国企、境内外上市公司等提供涵盖国际贸易、海关、海事海商及财税合规的一站式综合法律服务。</w:t>
      </w:r>
    </w:p>
    <w:sectPr w:rsidR="00497A32" w:rsidRPr="00497A32" w:rsidSect="001301D8">
      <w:headerReference w:type="even" r:id="rId10"/>
      <w:headerReference w:type="default" r:id="rId11"/>
      <w:footerReference w:type="even" r:id="rId12"/>
      <w:footerReference w:type="default" r:id="rId13"/>
      <w:pgSz w:w="11906" w:h="16838" w:code="9"/>
      <w:pgMar w:top="567" w:right="567" w:bottom="567" w:left="567" w:header="113" w:footer="113"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18DB0" w14:textId="77777777" w:rsidR="006E21AD" w:rsidRDefault="006E21AD">
      <w:r>
        <w:separator/>
      </w:r>
    </w:p>
  </w:endnote>
  <w:endnote w:type="continuationSeparator" w:id="0">
    <w:p w14:paraId="0A6DC686" w14:textId="77777777" w:rsidR="006E21AD" w:rsidRDefault="006E2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BCDF" w14:textId="77777777" w:rsidR="00B64F67" w:rsidRDefault="0021793D">
    <w:pPr>
      <w:pStyle w:val="a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1</w:t>
    </w:r>
    <w:r>
      <w:rPr>
        <w:rStyle w:val="af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7F60" w14:textId="77777777" w:rsidR="00B64F67" w:rsidRDefault="00B64F67">
    <w:pPr>
      <w:pStyle w:val="a9"/>
      <w:ind w:left="210"/>
      <w:jc w:val="center"/>
      <w:rPr>
        <w:rFonts w:ascii="宋体"/>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64821" w14:textId="77777777" w:rsidR="006E21AD" w:rsidRDefault="006E21AD">
      <w:r>
        <w:separator/>
      </w:r>
    </w:p>
  </w:footnote>
  <w:footnote w:type="continuationSeparator" w:id="0">
    <w:p w14:paraId="3DD752C5" w14:textId="77777777" w:rsidR="006E21AD" w:rsidRDefault="006E2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CEA1" w14:textId="77777777" w:rsidR="00B64F67" w:rsidRDefault="00B64F67">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8A6F" w14:textId="77777777" w:rsidR="00B64F67" w:rsidRDefault="00B64F67">
    <w:pPr>
      <w:pStyle w:val="ab"/>
      <w:pBdr>
        <w:bottom w:val="none" w:sz="0" w:space="0" w:color="auto"/>
      </w:pBdr>
      <w:tabs>
        <w:tab w:val="clear" w:pos="4153"/>
        <w:tab w:val="clear" w:pos="8306"/>
        <w:tab w:val="left" w:pos="5565"/>
        <w:tab w:val="left" w:pos="7875"/>
      </w:tabs>
      <w:adjustRightInd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24F4F"/>
    <w:multiLevelType w:val="hybridMultilevel"/>
    <w:tmpl w:val="AD18138E"/>
    <w:lvl w:ilvl="0" w:tplc="A24E2AD2">
      <w:start w:val="1"/>
      <w:numFmt w:val="japaneseCounting"/>
      <w:lvlText w:val="%1、"/>
      <w:lvlJc w:val="left"/>
      <w:pPr>
        <w:ind w:left="420" w:hanging="420"/>
      </w:pPr>
      <w:rPr>
        <w:rFonts w:hint="default"/>
        <w:b/>
        <w:sz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EAE4E88"/>
    <w:multiLevelType w:val="hybridMultilevel"/>
    <w:tmpl w:val="0DE2E0E0"/>
    <w:lvl w:ilvl="0" w:tplc="A24E2AD2">
      <w:start w:val="1"/>
      <w:numFmt w:val="japaneseCounting"/>
      <w:lvlText w:val="%1、"/>
      <w:lvlJc w:val="left"/>
      <w:pPr>
        <w:ind w:left="420" w:hanging="420"/>
      </w:pPr>
      <w:rPr>
        <w:rFonts w:hint="default"/>
        <w:b/>
        <w:sz w:val="2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1487084964">
    <w:abstractNumId w:val="1"/>
  </w:num>
  <w:num w:numId="2" w16cid:durableId="16807687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bordersDoNotSurroundHeader/>
  <w:bordersDoNotSurroundFooter/>
  <w:proofState w:spelling="clean" w:grammar="clean"/>
  <w:defaultTabStop w:val="420"/>
  <w:characterSpacingControl w:val="doNotCompress"/>
  <w:noLineBreaksAfter w:lang="zh-CN" w:val="$([{£¥·‘“〈《「『【〔〖〝﹙﹛﹝＄（．［｛￡￥"/>
  <w:noLineBreaksBefore w:lang="zh-CN" w:val="!%),.:;&gt;?]}¢¨°·ˇˉ―‖’”…‰′″›℃∶、。〃〉》」』】〕〗〞︶︺︾﹀﹄﹚﹜﹞！＂％＇），．：；？］｀｜｝～￠"/>
  <w:hdrShapeDefaults>
    <o:shapedefaults v:ext="edit" spidmax="2050" fillcolor="white" strokecolor="#002060">
      <v:fill color="white"/>
      <v:stroke color="#002060" weight=".25pt"/>
      <v:shadow on="t" type="perspective" color="white" opacity=".5" offset="1pt" offset2="-1pt,-2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GZlYzhiNzQwMmU0ZWIzNjU4ZDI0ODNjZDJmMzhmM2IifQ=="/>
  </w:docVars>
  <w:rsids>
    <w:rsidRoot w:val="003930F2"/>
    <w:rsid w:val="00036C79"/>
    <w:rsid w:val="00037631"/>
    <w:rsid w:val="00045A7B"/>
    <w:rsid w:val="00051D9B"/>
    <w:rsid w:val="00051FED"/>
    <w:rsid w:val="00057ACE"/>
    <w:rsid w:val="000602A4"/>
    <w:rsid w:val="00060401"/>
    <w:rsid w:val="0006043C"/>
    <w:rsid w:val="000611F3"/>
    <w:rsid w:val="00063442"/>
    <w:rsid w:val="00063522"/>
    <w:rsid w:val="00066F49"/>
    <w:rsid w:val="00070479"/>
    <w:rsid w:val="00070863"/>
    <w:rsid w:val="00083CBA"/>
    <w:rsid w:val="000846AE"/>
    <w:rsid w:val="00084AE6"/>
    <w:rsid w:val="00086859"/>
    <w:rsid w:val="00087CC6"/>
    <w:rsid w:val="0009548E"/>
    <w:rsid w:val="0009678E"/>
    <w:rsid w:val="000969A0"/>
    <w:rsid w:val="000A3DFC"/>
    <w:rsid w:val="000B22B2"/>
    <w:rsid w:val="000C016E"/>
    <w:rsid w:val="000C2A04"/>
    <w:rsid w:val="000C321C"/>
    <w:rsid w:val="000C6368"/>
    <w:rsid w:val="000C6389"/>
    <w:rsid w:val="000C7BCE"/>
    <w:rsid w:val="000D2B4C"/>
    <w:rsid w:val="000D7883"/>
    <w:rsid w:val="000E2209"/>
    <w:rsid w:val="000E7A64"/>
    <w:rsid w:val="000F1143"/>
    <w:rsid w:val="000F13BC"/>
    <w:rsid w:val="000F5CC9"/>
    <w:rsid w:val="000F6D68"/>
    <w:rsid w:val="00102400"/>
    <w:rsid w:val="001036ED"/>
    <w:rsid w:val="0010415D"/>
    <w:rsid w:val="0010652E"/>
    <w:rsid w:val="00110B1F"/>
    <w:rsid w:val="00112671"/>
    <w:rsid w:val="001135F1"/>
    <w:rsid w:val="0011644E"/>
    <w:rsid w:val="00120A0A"/>
    <w:rsid w:val="00124373"/>
    <w:rsid w:val="0012502A"/>
    <w:rsid w:val="00127188"/>
    <w:rsid w:val="001279C5"/>
    <w:rsid w:val="001300E5"/>
    <w:rsid w:val="001301D8"/>
    <w:rsid w:val="00135404"/>
    <w:rsid w:val="00140D0A"/>
    <w:rsid w:val="00142B81"/>
    <w:rsid w:val="001511A0"/>
    <w:rsid w:val="00153F5D"/>
    <w:rsid w:val="001567CC"/>
    <w:rsid w:val="0016306D"/>
    <w:rsid w:val="001632AD"/>
    <w:rsid w:val="001633C2"/>
    <w:rsid w:val="0016736F"/>
    <w:rsid w:val="00176DF7"/>
    <w:rsid w:val="00184E18"/>
    <w:rsid w:val="00185F91"/>
    <w:rsid w:val="0019109B"/>
    <w:rsid w:val="001945B9"/>
    <w:rsid w:val="001B12AF"/>
    <w:rsid w:val="001B4F11"/>
    <w:rsid w:val="001B57CA"/>
    <w:rsid w:val="001C6E3A"/>
    <w:rsid w:val="001D2B41"/>
    <w:rsid w:val="001D3BAF"/>
    <w:rsid w:val="001D54F5"/>
    <w:rsid w:val="001E51CB"/>
    <w:rsid w:val="001F55F6"/>
    <w:rsid w:val="001F670A"/>
    <w:rsid w:val="00200C99"/>
    <w:rsid w:val="00205A38"/>
    <w:rsid w:val="002063E3"/>
    <w:rsid w:val="0021302D"/>
    <w:rsid w:val="00216343"/>
    <w:rsid w:val="0021793D"/>
    <w:rsid w:val="00217B78"/>
    <w:rsid w:val="00222596"/>
    <w:rsid w:val="0022459D"/>
    <w:rsid w:val="00224739"/>
    <w:rsid w:val="00226985"/>
    <w:rsid w:val="00227C31"/>
    <w:rsid w:val="0023093F"/>
    <w:rsid w:val="00231F6C"/>
    <w:rsid w:val="002379FA"/>
    <w:rsid w:val="00240742"/>
    <w:rsid w:val="002421B6"/>
    <w:rsid w:val="00243BC0"/>
    <w:rsid w:val="00251365"/>
    <w:rsid w:val="00255F2F"/>
    <w:rsid w:val="0025750D"/>
    <w:rsid w:val="00264B0F"/>
    <w:rsid w:val="00267666"/>
    <w:rsid w:val="002743AD"/>
    <w:rsid w:val="0028566A"/>
    <w:rsid w:val="00287966"/>
    <w:rsid w:val="00297F29"/>
    <w:rsid w:val="002A0B6E"/>
    <w:rsid w:val="002A0E8D"/>
    <w:rsid w:val="002A0F5C"/>
    <w:rsid w:val="002A1F51"/>
    <w:rsid w:val="002B0C36"/>
    <w:rsid w:val="002B12A5"/>
    <w:rsid w:val="002B5BFC"/>
    <w:rsid w:val="002B6CD7"/>
    <w:rsid w:val="002B7121"/>
    <w:rsid w:val="002D1F04"/>
    <w:rsid w:val="002D23CA"/>
    <w:rsid w:val="002D5F70"/>
    <w:rsid w:val="002D618D"/>
    <w:rsid w:val="002E72EC"/>
    <w:rsid w:val="002F08A4"/>
    <w:rsid w:val="002F286B"/>
    <w:rsid w:val="002F518C"/>
    <w:rsid w:val="00301738"/>
    <w:rsid w:val="00301E42"/>
    <w:rsid w:val="00302B87"/>
    <w:rsid w:val="00303527"/>
    <w:rsid w:val="00304C8E"/>
    <w:rsid w:val="00311303"/>
    <w:rsid w:val="00312CEA"/>
    <w:rsid w:val="003272C6"/>
    <w:rsid w:val="00327AFE"/>
    <w:rsid w:val="0033106B"/>
    <w:rsid w:val="0033249B"/>
    <w:rsid w:val="00334A62"/>
    <w:rsid w:val="00336A2B"/>
    <w:rsid w:val="003405D5"/>
    <w:rsid w:val="00342491"/>
    <w:rsid w:val="00343E67"/>
    <w:rsid w:val="00352CD1"/>
    <w:rsid w:val="0036127C"/>
    <w:rsid w:val="003643F9"/>
    <w:rsid w:val="003651F3"/>
    <w:rsid w:val="003709F3"/>
    <w:rsid w:val="003755F5"/>
    <w:rsid w:val="003775A1"/>
    <w:rsid w:val="0038125B"/>
    <w:rsid w:val="003865B3"/>
    <w:rsid w:val="003930F2"/>
    <w:rsid w:val="0039448B"/>
    <w:rsid w:val="00395AE6"/>
    <w:rsid w:val="00396130"/>
    <w:rsid w:val="003A37BC"/>
    <w:rsid w:val="003A6810"/>
    <w:rsid w:val="003A75E4"/>
    <w:rsid w:val="003B089E"/>
    <w:rsid w:val="003B1826"/>
    <w:rsid w:val="003B6AA5"/>
    <w:rsid w:val="003B7213"/>
    <w:rsid w:val="003C1B89"/>
    <w:rsid w:val="003C2A2E"/>
    <w:rsid w:val="003D05DC"/>
    <w:rsid w:val="003D79E4"/>
    <w:rsid w:val="003E0ACD"/>
    <w:rsid w:val="003E61A1"/>
    <w:rsid w:val="003F0B8D"/>
    <w:rsid w:val="003F2B40"/>
    <w:rsid w:val="003F4313"/>
    <w:rsid w:val="003F6313"/>
    <w:rsid w:val="003F6FB0"/>
    <w:rsid w:val="003F716E"/>
    <w:rsid w:val="00401B3D"/>
    <w:rsid w:val="004047BE"/>
    <w:rsid w:val="00413F19"/>
    <w:rsid w:val="004142B1"/>
    <w:rsid w:val="00415B70"/>
    <w:rsid w:val="00416266"/>
    <w:rsid w:val="004174AA"/>
    <w:rsid w:val="00420B3C"/>
    <w:rsid w:val="00420EC1"/>
    <w:rsid w:val="00432718"/>
    <w:rsid w:val="00433001"/>
    <w:rsid w:val="00436E3A"/>
    <w:rsid w:val="0044130F"/>
    <w:rsid w:val="004414D1"/>
    <w:rsid w:val="00442A55"/>
    <w:rsid w:val="00443C7B"/>
    <w:rsid w:val="00444E51"/>
    <w:rsid w:val="0045356C"/>
    <w:rsid w:val="004542C1"/>
    <w:rsid w:val="0045531C"/>
    <w:rsid w:val="004558DB"/>
    <w:rsid w:val="00455B1E"/>
    <w:rsid w:val="00457ACD"/>
    <w:rsid w:val="00467E51"/>
    <w:rsid w:val="00470172"/>
    <w:rsid w:val="00471371"/>
    <w:rsid w:val="00472922"/>
    <w:rsid w:val="00474CE6"/>
    <w:rsid w:val="00481B7B"/>
    <w:rsid w:val="00487924"/>
    <w:rsid w:val="004900B3"/>
    <w:rsid w:val="00491564"/>
    <w:rsid w:val="00492AB0"/>
    <w:rsid w:val="00497768"/>
    <w:rsid w:val="00497A32"/>
    <w:rsid w:val="004A2ED2"/>
    <w:rsid w:val="004B2AFA"/>
    <w:rsid w:val="004B5049"/>
    <w:rsid w:val="004C66F1"/>
    <w:rsid w:val="004D7545"/>
    <w:rsid w:val="004F0961"/>
    <w:rsid w:val="004F5E66"/>
    <w:rsid w:val="00532EED"/>
    <w:rsid w:val="00533C83"/>
    <w:rsid w:val="005365EA"/>
    <w:rsid w:val="00536AD5"/>
    <w:rsid w:val="005444E8"/>
    <w:rsid w:val="00544FB5"/>
    <w:rsid w:val="00547967"/>
    <w:rsid w:val="00550FE6"/>
    <w:rsid w:val="005532E1"/>
    <w:rsid w:val="005538BD"/>
    <w:rsid w:val="00555E95"/>
    <w:rsid w:val="0056169F"/>
    <w:rsid w:val="00561E84"/>
    <w:rsid w:val="00586337"/>
    <w:rsid w:val="005923A9"/>
    <w:rsid w:val="005A38B6"/>
    <w:rsid w:val="005A393F"/>
    <w:rsid w:val="005A4AF8"/>
    <w:rsid w:val="005B0AD7"/>
    <w:rsid w:val="005B18A7"/>
    <w:rsid w:val="005B5C68"/>
    <w:rsid w:val="005C0A34"/>
    <w:rsid w:val="005C1E85"/>
    <w:rsid w:val="005C364C"/>
    <w:rsid w:val="005C6B0B"/>
    <w:rsid w:val="005D56B2"/>
    <w:rsid w:val="005E38A6"/>
    <w:rsid w:val="005F0A7A"/>
    <w:rsid w:val="005F164B"/>
    <w:rsid w:val="005F3A43"/>
    <w:rsid w:val="00610154"/>
    <w:rsid w:val="00610E17"/>
    <w:rsid w:val="00614C39"/>
    <w:rsid w:val="006244FA"/>
    <w:rsid w:val="00630BA6"/>
    <w:rsid w:val="00631A6E"/>
    <w:rsid w:val="00633D1D"/>
    <w:rsid w:val="006345AB"/>
    <w:rsid w:val="00634819"/>
    <w:rsid w:val="00637BBE"/>
    <w:rsid w:val="00644A1F"/>
    <w:rsid w:val="00644C92"/>
    <w:rsid w:val="00646C28"/>
    <w:rsid w:val="00653D44"/>
    <w:rsid w:val="00654839"/>
    <w:rsid w:val="00655F48"/>
    <w:rsid w:val="0065677B"/>
    <w:rsid w:val="006577FF"/>
    <w:rsid w:val="00664789"/>
    <w:rsid w:val="0067076E"/>
    <w:rsid w:val="006801CE"/>
    <w:rsid w:val="006802F0"/>
    <w:rsid w:val="0068055E"/>
    <w:rsid w:val="0069070B"/>
    <w:rsid w:val="00691BCB"/>
    <w:rsid w:val="00692F93"/>
    <w:rsid w:val="00694885"/>
    <w:rsid w:val="00696CF6"/>
    <w:rsid w:val="0069733B"/>
    <w:rsid w:val="006A0FDD"/>
    <w:rsid w:val="006D2FE3"/>
    <w:rsid w:val="006D46C0"/>
    <w:rsid w:val="006E21AD"/>
    <w:rsid w:val="006F2A68"/>
    <w:rsid w:val="006F5908"/>
    <w:rsid w:val="00701E26"/>
    <w:rsid w:val="00711C7A"/>
    <w:rsid w:val="00714FFB"/>
    <w:rsid w:val="00715240"/>
    <w:rsid w:val="007264D6"/>
    <w:rsid w:val="007302A8"/>
    <w:rsid w:val="0073373A"/>
    <w:rsid w:val="007344C6"/>
    <w:rsid w:val="0073527A"/>
    <w:rsid w:val="00735E14"/>
    <w:rsid w:val="00740C29"/>
    <w:rsid w:val="00740D21"/>
    <w:rsid w:val="0074412B"/>
    <w:rsid w:val="007561A9"/>
    <w:rsid w:val="00756505"/>
    <w:rsid w:val="00761495"/>
    <w:rsid w:val="00771132"/>
    <w:rsid w:val="00772537"/>
    <w:rsid w:val="00773936"/>
    <w:rsid w:val="00777892"/>
    <w:rsid w:val="00790C7C"/>
    <w:rsid w:val="00792000"/>
    <w:rsid w:val="00792A84"/>
    <w:rsid w:val="007A3C8F"/>
    <w:rsid w:val="007B4F53"/>
    <w:rsid w:val="007B7001"/>
    <w:rsid w:val="007C3D2D"/>
    <w:rsid w:val="007D2C32"/>
    <w:rsid w:val="007E2716"/>
    <w:rsid w:val="007F1B4A"/>
    <w:rsid w:val="007F2394"/>
    <w:rsid w:val="007F4A74"/>
    <w:rsid w:val="007F583F"/>
    <w:rsid w:val="00801FDF"/>
    <w:rsid w:val="00814932"/>
    <w:rsid w:val="0081772E"/>
    <w:rsid w:val="008329E5"/>
    <w:rsid w:val="008424CD"/>
    <w:rsid w:val="0084276C"/>
    <w:rsid w:val="00845215"/>
    <w:rsid w:val="00845750"/>
    <w:rsid w:val="00852062"/>
    <w:rsid w:val="008553BF"/>
    <w:rsid w:val="00856D32"/>
    <w:rsid w:val="008624FD"/>
    <w:rsid w:val="008669AF"/>
    <w:rsid w:val="008749AF"/>
    <w:rsid w:val="00875633"/>
    <w:rsid w:val="008809BD"/>
    <w:rsid w:val="00883CE6"/>
    <w:rsid w:val="008859C2"/>
    <w:rsid w:val="0088628D"/>
    <w:rsid w:val="00886F9E"/>
    <w:rsid w:val="00890010"/>
    <w:rsid w:val="008905DF"/>
    <w:rsid w:val="008966E6"/>
    <w:rsid w:val="0089748C"/>
    <w:rsid w:val="008A430F"/>
    <w:rsid w:val="008A4C80"/>
    <w:rsid w:val="008B194E"/>
    <w:rsid w:val="008B1D5A"/>
    <w:rsid w:val="008B427E"/>
    <w:rsid w:val="008B4D8D"/>
    <w:rsid w:val="008C2219"/>
    <w:rsid w:val="008C2756"/>
    <w:rsid w:val="008C41B4"/>
    <w:rsid w:val="008C4F01"/>
    <w:rsid w:val="008C6B66"/>
    <w:rsid w:val="008D1A1B"/>
    <w:rsid w:val="008D326B"/>
    <w:rsid w:val="008D3804"/>
    <w:rsid w:val="008D413B"/>
    <w:rsid w:val="008D58B6"/>
    <w:rsid w:val="008D5BFB"/>
    <w:rsid w:val="008D7BFC"/>
    <w:rsid w:val="008E65EF"/>
    <w:rsid w:val="008F03A1"/>
    <w:rsid w:val="008F109B"/>
    <w:rsid w:val="008F2822"/>
    <w:rsid w:val="008F4358"/>
    <w:rsid w:val="008F47AB"/>
    <w:rsid w:val="0090406D"/>
    <w:rsid w:val="009069C1"/>
    <w:rsid w:val="00907B63"/>
    <w:rsid w:val="009213BB"/>
    <w:rsid w:val="00923AB8"/>
    <w:rsid w:val="00925719"/>
    <w:rsid w:val="009260D5"/>
    <w:rsid w:val="00926750"/>
    <w:rsid w:val="00941A95"/>
    <w:rsid w:val="009450D4"/>
    <w:rsid w:val="00952421"/>
    <w:rsid w:val="00953ADD"/>
    <w:rsid w:val="00955B29"/>
    <w:rsid w:val="00963942"/>
    <w:rsid w:val="0096795F"/>
    <w:rsid w:val="00970272"/>
    <w:rsid w:val="00971098"/>
    <w:rsid w:val="00993CEE"/>
    <w:rsid w:val="00997217"/>
    <w:rsid w:val="009A0C37"/>
    <w:rsid w:val="009A3DD4"/>
    <w:rsid w:val="009A3EC1"/>
    <w:rsid w:val="009A4964"/>
    <w:rsid w:val="009B44E2"/>
    <w:rsid w:val="009B5091"/>
    <w:rsid w:val="009B531E"/>
    <w:rsid w:val="009B6E39"/>
    <w:rsid w:val="009C5949"/>
    <w:rsid w:val="009D7371"/>
    <w:rsid w:val="009E58F4"/>
    <w:rsid w:val="009F001C"/>
    <w:rsid w:val="009F430E"/>
    <w:rsid w:val="009F4F74"/>
    <w:rsid w:val="00A060D3"/>
    <w:rsid w:val="00A11478"/>
    <w:rsid w:val="00A13A58"/>
    <w:rsid w:val="00A21A98"/>
    <w:rsid w:val="00A27436"/>
    <w:rsid w:val="00A27F4E"/>
    <w:rsid w:val="00A40068"/>
    <w:rsid w:val="00A410B1"/>
    <w:rsid w:val="00A43F95"/>
    <w:rsid w:val="00A45136"/>
    <w:rsid w:val="00A45A4B"/>
    <w:rsid w:val="00A462D2"/>
    <w:rsid w:val="00A478D7"/>
    <w:rsid w:val="00A50F28"/>
    <w:rsid w:val="00A57E40"/>
    <w:rsid w:val="00A629D8"/>
    <w:rsid w:val="00A64B1E"/>
    <w:rsid w:val="00A73886"/>
    <w:rsid w:val="00A7509C"/>
    <w:rsid w:val="00A75AC7"/>
    <w:rsid w:val="00A854E5"/>
    <w:rsid w:val="00A865B3"/>
    <w:rsid w:val="00A937ED"/>
    <w:rsid w:val="00A9525F"/>
    <w:rsid w:val="00A95AB7"/>
    <w:rsid w:val="00A97EDE"/>
    <w:rsid w:val="00AA1F3F"/>
    <w:rsid w:val="00AA37C3"/>
    <w:rsid w:val="00AA49C5"/>
    <w:rsid w:val="00AA6F21"/>
    <w:rsid w:val="00AB0C53"/>
    <w:rsid w:val="00AB0E4A"/>
    <w:rsid w:val="00AB1295"/>
    <w:rsid w:val="00AB5B43"/>
    <w:rsid w:val="00AC3F27"/>
    <w:rsid w:val="00AC7563"/>
    <w:rsid w:val="00AC7A3E"/>
    <w:rsid w:val="00AD0ED1"/>
    <w:rsid w:val="00AD1130"/>
    <w:rsid w:val="00AD4FBC"/>
    <w:rsid w:val="00AD549B"/>
    <w:rsid w:val="00AE1561"/>
    <w:rsid w:val="00AE38B5"/>
    <w:rsid w:val="00AE55F1"/>
    <w:rsid w:val="00AF7E29"/>
    <w:rsid w:val="00B022F7"/>
    <w:rsid w:val="00B122EE"/>
    <w:rsid w:val="00B14427"/>
    <w:rsid w:val="00B17C80"/>
    <w:rsid w:val="00B25053"/>
    <w:rsid w:val="00B254D3"/>
    <w:rsid w:val="00B268AC"/>
    <w:rsid w:val="00B3134D"/>
    <w:rsid w:val="00B32041"/>
    <w:rsid w:val="00B33BD7"/>
    <w:rsid w:val="00B414E3"/>
    <w:rsid w:val="00B43DA8"/>
    <w:rsid w:val="00B56B1D"/>
    <w:rsid w:val="00B617C1"/>
    <w:rsid w:val="00B64F67"/>
    <w:rsid w:val="00B7296C"/>
    <w:rsid w:val="00B73FB0"/>
    <w:rsid w:val="00B82F3F"/>
    <w:rsid w:val="00B83299"/>
    <w:rsid w:val="00B927B4"/>
    <w:rsid w:val="00BA1C71"/>
    <w:rsid w:val="00BA30FA"/>
    <w:rsid w:val="00BA4063"/>
    <w:rsid w:val="00BA6CB7"/>
    <w:rsid w:val="00BC01CD"/>
    <w:rsid w:val="00BC06A7"/>
    <w:rsid w:val="00BC09C2"/>
    <w:rsid w:val="00BC202E"/>
    <w:rsid w:val="00BC5A3C"/>
    <w:rsid w:val="00BD16C4"/>
    <w:rsid w:val="00BD1F2C"/>
    <w:rsid w:val="00BD5368"/>
    <w:rsid w:val="00BE2C6D"/>
    <w:rsid w:val="00BE73FD"/>
    <w:rsid w:val="00BF50DE"/>
    <w:rsid w:val="00BF6CF3"/>
    <w:rsid w:val="00BF6D14"/>
    <w:rsid w:val="00C02989"/>
    <w:rsid w:val="00C036AF"/>
    <w:rsid w:val="00C15974"/>
    <w:rsid w:val="00C33AB5"/>
    <w:rsid w:val="00C41882"/>
    <w:rsid w:val="00C44301"/>
    <w:rsid w:val="00C46EF1"/>
    <w:rsid w:val="00C501A6"/>
    <w:rsid w:val="00C611B2"/>
    <w:rsid w:val="00C6346E"/>
    <w:rsid w:val="00C63BB9"/>
    <w:rsid w:val="00C63E2C"/>
    <w:rsid w:val="00C659C8"/>
    <w:rsid w:val="00C66071"/>
    <w:rsid w:val="00C66072"/>
    <w:rsid w:val="00C6690C"/>
    <w:rsid w:val="00C72F4C"/>
    <w:rsid w:val="00C76617"/>
    <w:rsid w:val="00C8243D"/>
    <w:rsid w:val="00C82D27"/>
    <w:rsid w:val="00C832F8"/>
    <w:rsid w:val="00C839EE"/>
    <w:rsid w:val="00C83B25"/>
    <w:rsid w:val="00C90C82"/>
    <w:rsid w:val="00C95A28"/>
    <w:rsid w:val="00CA048C"/>
    <w:rsid w:val="00CA06C5"/>
    <w:rsid w:val="00CA1663"/>
    <w:rsid w:val="00CB2C13"/>
    <w:rsid w:val="00CB48B9"/>
    <w:rsid w:val="00CB74D8"/>
    <w:rsid w:val="00CC0E6F"/>
    <w:rsid w:val="00CC2ADD"/>
    <w:rsid w:val="00CC49F4"/>
    <w:rsid w:val="00CC4E2E"/>
    <w:rsid w:val="00CC5D53"/>
    <w:rsid w:val="00CD21CF"/>
    <w:rsid w:val="00CD31B4"/>
    <w:rsid w:val="00CD339F"/>
    <w:rsid w:val="00CD3CC6"/>
    <w:rsid w:val="00CD5F98"/>
    <w:rsid w:val="00CE4BC0"/>
    <w:rsid w:val="00CE59F1"/>
    <w:rsid w:val="00CE5C53"/>
    <w:rsid w:val="00CE7E53"/>
    <w:rsid w:val="00CF4E7D"/>
    <w:rsid w:val="00D043B4"/>
    <w:rsid w:val="00D058D4"/>
    <w:rsid w:val="00D07F8A"/>
    <w:rsid w:val="00D105D6"/>
    <w:rsid w:val="00D119C8"/>
    <w:rsid w:val="00D23746"/>
    <w:rsid w:val="00D33F49"/>
    <w:rsid w:val="00D36680"/>
    <w:rsid w:val="00D379E3"/>
    <w:rsid w:val="00D5368B"/>
    <w:rsid w:val="00D600C2"/>
    <w:rsid w:val="00D63CAA"/>
    <w:rsid w:val="00D64D76"/>
    <w:rsid w:val="00D6646D"/>
    <w:rsid w:val="00D71D3C"/>
    <w:rsid w:val="00D74083"/>
    <w:rsid w:val="00D75A87"/>
    <w:rsid w:val="00D9669D"/>
    <w:rsid w:val="00D976A5"/>
    <w:rsid w:val="00DA3B7E"/>
    <w:rsid w:val="00DA46C5"/>
    <w:rsid w:val="00DA5556"/>
    <w:rsid w:val="00DA6B81"/>
    <w:rsid w:val="00DC4CAF"/>
    <w:rsid w:val="00DC4F3E"/>
    <w:rsid w:val="00DC5D44"/>
    <w:rsid w:val="00DD07FD"/>
    <w:rsid w:val="00DD0C2D"/>
    <w:rsid w:val="00DD2670"/>
    <w:rsid w:val="00DD61A1"/>
    <w:rsid w:val="00DE5715"/>
    <w:rsid w:val="00DE7AD8"/>
    <w:rsid w:val="00DF4890"/>
    <w:rsid w:val="00DF5192"/>
    <w:rsid w:val="00DF5377"/>
    <w:rsid w:val="00E0162F"/>
    <w:rsid w:val="00E03917"/>
    <w:rsid w:val="00E0765C"/>
    <w:rsid w:val="00E10C2E"/>
    <w:rsid w:val="00E114D1"/>
    <w:rsid w:val="00E178E5"/>
    <w:rsid w:val="00E211B1"/>
    <w:rsid w:val="00E2454D"/>
    <w:rsid w:val="00E31107"/>
    <w:rsid w:val="00E4219D"/>
    <w:rsid w:val="00E458F9"/>
    <w:rsid w:val="00E51C70"/>
    <w:rsid w:val="00E54178"/>
    <w:rsid w:val="00E57984"/>
    <w:rsid w:val="00E62C0B"/>
    <w:rsid w:val="00E65F97"/>
    <w:rsid w:val="00E70090"/>
    <w:rsid w:val="00E705FB"/>
    <w:rsid w:val="00E77D0A"/>
    <w:rsid w:val="00E803E8"/>
    <w:rsid w:val="00E82089"/>
    <w:rsid w:val="00E846F4"/>
    <w:rsid w:val="00E8507C"/>
    <w:rsid w:val="00E85ADE"/>
    <w:rsid w:val="00E86933"/>
    <w:rsid w:val="00E90015"/>
    <w:rsid w:val="00E90635"/>
    <w:rsid w:val="00EA18F0"/>
    <w:rsid w:val="00EA3EC5"/>
    <w:rsid w:val="00EB4F2F"/>
    <w:rsid w:val="00EC763F"/>
    <w:rsid w:val="00ED0F03"/>
    <w:rsid w:val="00ED41DF"/>
    <w:rsid w:val="00ED5428"/>
    <w:rsid w:val="00ED5675"/>
    <w:rsid w:val="00ED5802"/>
    <w:rsid w:val="00EE07F7"/>
    <w:rsid w:val="00EE3CEA"/>
    <w:rsid w:val="00EE58A9"/>
    <w:rsid w:val="00EE59D1"/>
    <w:rsid w:val="00F05560"/>
    <w:rsid w:val="00F14357"/>
    <w:rsid w:val="00F17D68"/>
    <w:rsid w:val="00F23F7B"/>
    <w:rsid w:val="00F24A5C"/>
    <w:rsid w:val="00F30CD8"/>
    <w:rsid w:val="00F40E65"/>
    <w:rsid w:val="00F438C9"/>
    <w:rsid w:val="00F460CD"/>
    <w:rsid w:val="00F5331A"/>
    <w:rsid w:val="00F53F9E"/>
    <w:rsid w:val="00F65C7D"/>
    <w:rsid w:val="00F671EB"/>
    <w:rsid w:val="00F74000"/>
    <w:rsid w:val="00F77AF7"/>
    <w:rsid w:val="00F82BE7"/>
    <w:rsid w:val="00F82F73"/>
    <w:rsid w:val="00F839B2"/>
    <w:rsid w:val="00F86145"/>
    <w:rsid w:val="00F96052"/>
    <w:rsid w:val="00F97B91"/>
    <w:rsid w:val="00FA0A5A"/>
    <w:rsid w:val="00FA0BF2"/>
    <w:rsid w:val="00FB330E"/>
    <w:rsid w:val="00FC2988"/>
    <w:rsid w:val="00FC4E3F"/>
    <w:rsid w:val="00FD2954"/>
    <w:rsid w:val="00FD75F8"/>
    <w:rsid w:val="00FE2F0A"/>
    <w:rsid w:val="00FE381E"/>
    <w:rsid w:val="00FF0EEA"/>
    <w:rsid w:val="00FF12EB"/>
    <w:rsid w:val="00FF43A3"/>
    <w:rsid w:val="00FF494A"/>
    <w:rsid w:val="00FF4C87"/>
    <w:rsid w:val="00FF528B"/>
    <w:rsid w:val="07375860"/>
    <w:rsid w:val="07467CA5"/>
    <w:rsid w:val="100E0112"/>
    <w:rsid w:val="11651A18"/>
    <w:rsid w:val="11FE6200"/>
    <w:rsid w:val="1BD354D8"/>
    <w:rsid w:val="1F1516BF"/>
    <w:rsid w:val="27E25038"/>
    <w:rsid w:val="280C2747"/>
    <w:rsid w:val="2AF65081"/>
    <w:rsid w:val="2B1E2CD8"/>
    <w:rsid w:val="2F240FF9"/>
    <w:rsid w:val="3A501594"/>
    <w:rsid w:val="41CA014A"/>
    <w:rsid w:val="452E04EF"/>
    <w:rsid w:val="47926CE1"/>
    <w:rsid w:val="4A191FEE"/>
    <w:rsid w:val="4A4621D8"/>
    <w:rsid w:val="4C8528F3"/>
    <w:rsid w:val="4D9F3A3B"/>
    <w:rsid w:val="535A2FDF"/>
    <w:rsid w:val="53D14F3B"/>
    <w:rsid w:val="577E2486"/>
    <w:rsid w:val="5A5246EB"/>
    <w:rsid w:val="5AB95C24"/>
    <w:rsid w:val="60596C28"/>
    <w:rsid w:val="64AB040F"/>
    <w:rsid w:val="697303BF"/>
    <w:rsid w:val="71F625EA"/>
    <w:rsid w:val="760A030B"/>
    <w:rsid w:val="76C314E8"/>
    <w:rsid w:val="76FD1615"/>
    <w:rsid w:val="78280FAC"/>
    <w:rsid w:val="7A5B0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strokecolor="#002060">
      <v:fill color="white"/>
      <v:stroke color="#002060" weight=".25pt"/>
      <v:shadow on="t" type="perspective" color="white" opacity=".5" offset="1pt" offset2="-1pt,-2pt"/>
    </o:shapedefaults>
    <o:shapelayout v:ext="edit">
      <o:idmap v:ext="edit" data="2"/>
    </o:shapelayout>
  </w:shapeDefaults>
  <w:decimalSymbol w:val="."/>
  <w:listSeparator w:val=","/>
  <w14:docId w14:val="1338EE71"/>
  <w15:docId w15:val="{3FF5C4D8-1716-447E-8A36-D38022F8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lang w:val="en-US" w:eastAsia="zh-CN"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iPriority="99" w:qFormat="1"/>
    <w:lsdException w:name="annotation text" w:semiHidden="1" w:uiPriority="99" w:qFormat="1"/>
    <w:lsdException w:name="header" w:uiPriority="99" w:qFormat="1"/>
    <w:lsdException w:name="footer" w:uiPriority="99" w:qFormat="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qFormat="1"/>
    <w:lsdException w:name="annotation reference" w:semiHidden="1" w:uiPriority="99" w:qFormat="1"/>
    <w:lsdException w:name="line number" w:semiHidden="1" w:unhideWhenUsed="1"/>
    <w:lsdException w:name="page number" w:semiHidden="1" w:uiPriority="99"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qFormat="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hAnsi="Times New Roman" w:cs="Times New Roman"/>
      <w:kern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qFormat/>
    <w:pPr>
      <w:jc w:val="left"/>
    </w:pPr>
  </w:style>
  <w:style w:type="paragraph" w:styleId="a5">
    <w:name w:val="Body Text"/>
    <w:basedOn w:val="a"/>
    <w:link w:val="a6"/>
    <w:semiHidden/>
    <w:unhideWhenUsed/>
    <w:qFormat/>
    <w:pPr>
      <w:spacing w:after="120"/>
    </w:pPr>
  </w:style>
  <w:style w:type="paragraph" w:styleId="5">
    <w:name w:val="List Bullet 5"/>
    <w:basedOn w:val="a"/>
    <w:qFormat/>
    <w:pPr>
      <w:widowControl/>
      <w:tabs>
        <w:tab w:val="left" w:pos="2040"/>
      </w:tabs>
      <w:jc w:val="left"/>
    </w:pPr>
    <w:rPr>
      <w:kern w:val="0"/>
      <w:sz w:val="24"/>
      <w:szCs w:val="24"/>
      <w:lang w:eastAsia="en-US" w:bidi="en-US"/>
    </w:rPr>
  </w:style>
  <w:style w:type="paragraph" w:styleId="a7">
    <w:name w:val="Balloon Text"/>
    <w:basedOn w:val="a"/>
    <w:link w:val="a8"/>
    <w:uiPriority w:val="99"/>
    <w:semiHidden/>
    <w:qFormat/>
    <w:rPr>
      <w:sz w:val="18"/>
      <w:szCs w:val="18"/>
    </w:rPr>
  </w:style>
  <w:style w:type="paragraph" w:styleId="a9">
    <w:name w:val="footer"/>
    <w:basedOn w:val="a"/>
    <w:link w:val="aa"/>
    <w:uiPriority w:val="99"/>
    <w:qFormat/>
    <w:pPr>
      <w:tabs>
        <w:tab w:val="center" w:pos="4153"/>
        <w:tab w:val="right" w:pos="8306"/>
      </w:tabs>
      <w:snapToGrid w:val="0"/>
      <w:jc w:val="left"/>
    </w:pPr>
    <w:rPr>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locked/>
    <w:pPr>
      <w:widowControl/>
      <w:jc w:val="left"/>
    </w:pPr>
    <w:rPr>
      <w:kern w:val="0"/>
      <w:sz w:val="24"/>
      <w:szCs w:val="24"/>
      <w:lang w:eastAsia="en-US" w:bidi="en-US"/>
    </w:rPr>
  </w:style>
  <w:style w:type="paragraph" w:styleId="ad">
    <w:name w:val="footnote text"/>
    <w:basedOn w:val="a"/>
    <w:link w:val="ae"/>
    <w:uiPriority w:val="99"/>
    <w:semiHidden/>
    <w:qFormat/>
    <w:pPr>
      <w:snapToGrid w:val="0"/>
      <w:jc w:val="left"/>
    </w:pPr>
    <w:rPr>
      <w:sz w:val="18"/>
      <w:szCs w:val="18"/>
    </w:rPr>
  </w:style>
  <w:style w:type="paragraph" w:styleId="af">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f0">
    <w:name w:val="Title"/>
    <w:basedOn w:val="a"/>
    <w:next w:val="a"/>
    <w:link w:val="af1"/>
    <w:qFormat/>
    <w:locked/>
    <w:pPr>
      <w:spacing w:before="240" w:after="60"/>
      <w:jc w:val="center"/>
      <w:outlineLvl w:val="0"/>
    </w:pPr>
    <w:rPr>
      <w:rFonts w:ascii="Cambria" w:hAnsi="Cambria"/>
      <w:b/>
      <w:bCs/>
      <w:sz w:val="32"/>
      <w:szCs w:val="32"/>
    </w:rPr>
  </w:style>
  <w:style w:type="paragraph" w:styleId="af2">
    <w:name w:val="annotation subject"/>
    <w:basedOn w:val="a3"/>
    <w:next w:val="a3"/>
    <w:link w:val="af3"/>
    <w:uiPriority w:val="99"/>
    <w:semiHidden/>
    <w:qFormat/>
    <w:rPr>
      <w:b/>
      <w:bCs/>
    </w:rPr>
  </w:style>
  <w:style w:type="paragraph" w:styleId="af4">
    <w:name w:val="Body Text First Indent"/>
    <w:basedOn w:val="a5"/>
    <w:link w:val="af5"/>
    <w:qFormat/>
    <w:pPr>
      <w:spacing w:beforeLines="50"/>
      <w:ind w:firstLineChars="200" w:firstLine="200"/>
      <w:jc w:val="left"/>
    </w:pPr>
    <w:rPr>
      <w:rFonts w:ascii="等线" w:hAnsi="等线"/>
      <w:kern w:val="2"/>
      <w:sz w:val="24"/>
      <w:szCs w:val="24"/>
    </w:rPr>
  </w:style>
  <w:style w:type="character" w:styleId="af6">
    <w:name w:val="Strong"/>
    <w:uiPriority w:val="22"/>
    <w:qFormat/>
    <w:locked/>
    <w:rPr>
      <w:b/>
      <w:bCs/>
    </w:rPr>
  </w:style>
  <w:style w:type="character" w:styleId="af7">
    <w:name w:val="page number"/>
    <w:uiPriority w:val="99"/>
    <w:semiHidden/>
    <w:qFormat/>
    <w:rPr>
      <w:rFonts w:cs="Times New Roman"/>
    </w:rPr>
  </w:style>
  <w:style w:type="character" w:styleId="af8">
    <w:name w:val="Hyperlink"/>
    <w:uiPriority w:val="99"/>
    <w:semiHidden/>
    <w:qFormat/>
    <w:rPr>
      <w:rFonts w:cs="Times New Roman"/>
      <w:color w:val="0000FF"/>
      <w:u w:val="single"/>
    </w:rPr>
  </w:style>
  <w:style w:type="character" w:styleId="af9">
    <w:name w:val="annotation reference"/>
    <w:uiPriority w:val="99"/>
    <w:semiHidden/>
    <w:qFormat/>
    <w:rPr>
      <w:rFonts w:cs="Times New Roman"/>
      <w:sz w:val="21"/>
      <w:szCs w:val="21"/>
    </w:rPr>
  </w:style>
  <w:style w:type="character" w:styleId="afa">
    <w:name w:val="footnote reference"/>
    <w:uiPriority w:val="99"/>
    <w:semiHidden/>
    <w:qFormat/>
    <w:rPr>
      <w:rFonts w:cs="Times New Roman"/>
      <w:vertAlign w:val="superscript"/>
    </w:rPr>
  </w:style>
  <w:style w:type="table" w:customStyle="1" w:styleId="1">
    <w:name w:val="浅色底纹1"/>
    <w:basedOn w:val="a1"/>
    <w:uiPriority w:val="60"/>
    <w:qFormat/>
    <w:rPr>
      <w:rFonts w:cs="Times New Roman"/>
      <w:color w:val="000000"/>
      <w:kern w:val="2"/>
      <w:sz w:val="21"/>
      <w:szCs w:val="2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c">
    <w:name w:val="页眉 字符"/>
    <w:link w:val="ab"/>
    <w:uiPriority w:val="99"/>
    <w:qFormat/>
    <w:locked/>
    <w:rPr>
      <w:rFonts w:cs="Times New Roman"/>
      <w:sz w:val="18"/>
      <w:szCs w:val="18"/>
    </w:rPr>
  </w:style>
  <w:style w:type="character" w:customStyle="1" w:styleId="aa">
    <w:name w:val="页脚 字符"/>
    <w:link w:val="a9"/>
    <w:uiPriority w:val="99"/>
    <w:qFormat/>
    <w:locked/>
    <w:rPr>
      <w:rFonts w:cs="Times New Roman"/>
      <w:sz w:val="18"/>
      <w:szCs w:val="18"/>
    </w:rPr>
  </w:style>
  <w:style w:type="character" w:customStyle="1" w:styleId="a8">
    <w:name w:val="批注框文本 字符"/>
    <w:link w:val="a7"/>
    <w:uiPriority w:val="99"/>
    <w:semiHidden/>
    <w:qFormat/>
    <w:locked/>
    <w:rPr>
      <w:rFonts w:ascii="Times New Roman" w:eastAsia="宋体" w:hAnsi="Times New Roman" w:cs="Times New Roman"/>
      <w:kern w:val="18"/>
      <w:sz w:val="18"/>
      <w:szCs w:val="18"/>
    </w:rPr>
  </w:style>
  <w:style w:type="character" w:customStyle="1" w:styleId="ae">
    <w:name w:val="脚注文本 字符"/>
    <w:link w:val="ad"/>
    <w:uiPriority w:val="99"/>
    <w:semiHidden/>
    <w:qFormat/>
    <w:locked/>
    <w:rPr>
      <w:rFonts w:ascii="Times New Roman" w:eastAsia="宋体" w:hAnsi="Times New Roman" w:cs="Times New Roman"/>
      <w:kern w:val="18"/>
      <w:sz w:val="18"/>
      <w:szCs w:val="18"/>
    </w:rPr>
  </w:style>
  <w:style w:type="character" w:customStyle="1" w:styleId="a4">
    <w:name w:val="批注文字 字符"/>
    <w:link w:val="a3"/>
    <w:uiPriority w:val="99"/>
    <w:semiHidden/>
    <w:qFormat/>
    <w:locked/>
    <w:rPr>
      <w:rFonts w:ascii="Times New Roman" w:eastAsia="宋体" w:hAnsi="Times New Roman" w:cs="Times New Roman"/>
      <w:kern w:val="18"/>
      <w:sz w:val="20"/>
      <w:szCs w:val="20"/>
    </w:rPr>
  </w:style>
  <w:style w:type="character" w:customStyle="1" w:styleId="af3">
    <w:name w:val="批注主题 字符"/>
    <w:link w:val="af2"/>
    <w:uiPriority w:val="99"/>
    <w:semiHidden/>
    <w:qFormat/>
    <w:locked/>
    <w:rPr>
      <w:rFonts w:ascii="Times New Roman" w:eastAsia="宋体" w:hAnsi="Times New Roman" w:cs="Times New Roman"/>
      <w:b/>
      <w:bCs/>
      <w:kern w:val="18"/>
      <w:sz w:val="20"/>
      <w:szCs w:val="20"/>
    </w:rPr>
  </w:style>
  <w:style w:type="character" w:customStyle="1" w:styleId="apple-style-span">
    <w:name w:val="apple-style-span"/>
    <w:qFormat/>
    <w:rPr>
      <w:rFonts w:cs="Times New Roman"/>
    </w:rPr>
  </w:style>
  <w:style w:type="character" w:customStyle="1" w:styleId="af1">
    <w:name w:val="标题 字符"/>
    <w:link w:val="af0"/>
    <w:qFormat/>
    <w:rPr>
      <w:rFonts w:ascii="Cambria" w:hAnsi="Cambria" w:cs="Times New Roman"/>
      <w:b/>
      <w:bCs/>
      <w:kern w:val="18"/>
      <w:sz w:val="32"/>
      <w:szCs w:val="32"/>
    </w:rPr>
  </w:style>
  <w:style w:type="paragraph" w:styleId="afb">
    <w:name w:val="No Spacing"/>
    <w:uiPriority w:val="1"/>
    <w:qFormat/>
    <w:rPr>
      <w:rFonts w:ascii="Times New Roman" w:hAnsi="Times New Roman" w:cs="Times New Roman"/>
      <w:sz w:val="22"/>
      <w:szCs w:val="22"/>
      <w:lang w:eastAsia="en-US"/>
    </w:rPr>
  </w:style>
  <w:style w:type="paragraph" w:styleId="afc">
    <w:name w:val="List Paragraph"/>
    <w:basedOn w:val="a"/>
    <w:uiPriority w:val="34"/>
    <w:qFormat/>
    <w:pPr>
      <w:ind w:firstLineChars="200" w:firstLine="420"/>
    </w:pPr>
    <w:rPr>
      <w:rFonts w:ascii="Calibri" w:hAnsi="Calibri"/>
      <w:kern w:val="2"/>
      <w:sz w:val="21"/>
      <w:szCs w:val="22"/>
    </w:rPr>
  </w:style>
  <w:style w:type="paragraph" w:customStyle="1" w:styleId="10">
    <w:name w:val="列出段落1"/>
    <w:basedOn w:val="a"/>
    <w:uiPriority w:val="34"/>
    <w:qFormat/>
    <w:pPr>
      <w:ind w:firstLineChars="200" w:firstLine="420"/>
    </w:pPr>
    <w:rPr>
      <w:kern w:val="2"/>
      <w:sz w:val="21"/>
    </w:rPr>
  </w:style>
  <w:style w:type="character" w:customStyle="1" w:styleId="a6">
    <w:name w:val="正文文本 字符"/>
    <w:basedOn w:val="a0"/>
    <w:link w:val="a5"/>
    <w:semiHidden/>
    <w:qFormat/>
    <w:rPr>
      <w:rFonts w:ascii="Times New Roman" w:hAnsi="Times New Roman" w:cs="Times New Roman"/>
      <w:kern w:val="18"/>
    </w:rPr>
  </w:style>
  <w:style w:type="character" w:customStyle="1" w:styleId="af5">
    <w:name w:val="正文文本首行缩进 字符"/>
    <w:basedOn w:val="a6"/>
    <w:link w:val="af4"/>
    <w:qFormat/>
    <w:rPr>
      <w:rFonts w:ascii="等线" w:hAnsi="等线" w:cs="Times New Roman"/>
      <w:kern w:val="2"/>
      <w:sz w:val="24"/>
      <w:szCs w:val="24"/>
    </w:rPr>
  </w:style>
  <w:style w:type="character" w:customStyle="1" w:styleId="htmltxt1">
    <w:name w:val="html_txt1"/>
    <w:basedOn w:val="a0"/>
    <w:qFormat/>
    <w:rPr>
      <w:color w:val="000000"/>
    </w:rPr>
  </w:style>
  <w:style w:type="paragraph" w:customStyle="1" w:styleId="Afd">
    <w:name w:val="默认 A"/>
    <w:rsid w:val="00457ACD"/>
    <w:pPr>
      <w:pBdr>
        <w:top w:val="nil"/>
        <w:left w:val="nil"/>
        <w:bottom w:val="nil"/>
        <w:right w:val="nil"/>
        <w:between w:val="nil"/>
        <w:bar w:val="nil"/>
      </w:pBdr>
      <w:spacing w:before="160" w:line="288" w:lineRule="auto"/>
    </w:pPr>
    <w:rPr>
      <w:rFonts w:ascii="Arial Unicode MS" w:eastAsia="Arial Unicode MS" w:hAnsi="Arial Unicode MS" w:cs="Arial Unicode MS" w:hint="eastAsia"/>
      <w:color w:val="000000"/>
      <w:sz w:val="24"/>
      <w:szCs w:val="24"/>
      <w:u w:color="000000"/>
      <w:bdr w:val="nil"/>
      <w:lang w:val="zh-TW" w:eastAsia="zh-TW"/>
      <w14:textOutline w14:w="12700" w14:cap="flat" w14:cmpd="sng" w14:algn="ctr">
        <w14:noFill/>
        <w14:prstDash w14:val="solid"/>
        <w14:miter w14:lim="400000"/>
      </w14:textOutline>
    </w:rPr>
  </w:style>
  <w:style w:type="character" w:styleId="afe">
    <w:name w:val="Unresolved Mention"/>
    <w:basedOn w:val="a0"/>
    <w:uiPriority w:val="99"/>
    <w:semiHidden/>
    <w:unhideWhenUsed/>
    <w:rsid w:val="00497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8633">
      <w:bodyDiv w:val="1"/>
      <w:marLeft w:val="0"/>
      <w:marRight w:val="0"/>
      <w:marTop w:val="0"/>
      <w:marBottom w:val="0"/>
      <w:divBdr>
        <w:top w:val="none" w:sz="0" w:space="0" w:color="auto"/>
        <w:left w:val="none" w:sz="0" w:space="0" w:color="auto"/>
        <w:bottom w:val="none" w:sz="0" w:space="0" w:color="auto"/>
        <w:right w:val="none" w:sz="0" w:space="0" w:color="auto"/>
      </w:divBdr>
    </w:div>
    <w:div w:id="513034980">
      <w:bodyDiv w:val="1"/>
      <w:marLeft w:val="0"/>
      <w:marRight w:val="0"/>
      <w:marTop w:val="0"/>
      <w:marBottom w:val="0"/>
      <w:divBdr>
        <w:top w:val="none" w:sz="0" w:space="0" w:color="auto"/>
        <w:left w:val="none" w:sz="0" w:space="0" w:color="auto"/>
        <w:bottom w:val="none" w:sz="0" w:space="0" w:color="auto"/>
        <w:right w:val="none" w:sz="0" w:space="0" w:color="auto"/>
      </w:divBdr>
    </w:div>
    <w:div w:id="1003434553">
      <w:bodyDiv w:val="1"/>
      <w:marLeft w:val="0"/>
      <w:marRight w:val="0"/>
      <w:marTop w:val="0"/>
      <w:marBottom w:val="0"/>
      <w:divBdr>
        <w:top w:val="none" w:sz="0" w:space="0" w:color="auto"/>
        <w:left w:val="none" w:sz="0" w:space="0" w:color="auto"/>
        <w:bottom w:val="none" w:sz="0" w:space="0" w:color="auto"/>
        <w:right w:val="none" w:sz="0" w:space="0" w:color="auto"/>
      </w:divBdr>
    </w:div>
    <w:div w:id="1096899143">
      <w:bodyDiv w:val="1"/>
      <w:marLeft w:val="0"/>
      <w:marRight w:val="0"/>
      <w:marTop w:val="0"/>
      <w:marBottom w:val="0"/>
      <w:divBdr>
        <w:top w:val="none" w:sz="0" w:space="0" w:color="auto"/>
        <w:left w:val="none" w:sz="0" w:space="0" w:color="auto"/>
        <w:bottom w:val="none" w:sz="0" w:space="0" w:color="auto"/>
        <w:right w:val="none" w:sz="0" w:space="0" w:color="auto"/>
      </w:divBdr>
    </w:div>
    <w:div w:id="1538466550">
      <w:bodyDiv w:val="1"/>
      <w:marLeft w:val="0"/>
      <w:marRight w:val="0"/>
      <w:marTop w:val="0"/>
      <w:marBottom w:val="0"/>
      <w:divBdr>
        <w:top w:val="none" w:sz="0" w:space="0" w:color="auto"/>
        <w:left w:val="none" w:sz="0" w:space="0" w:color="auto"/>
        <w:bottom w:val="none" w:sz="0" w:space="0" w:color="auto"/>
        <w:right w:val="none" w:sz="0" w:space="0" w:color="auto"/>
      </w:divBdr>
    </w:div>
    <w:div w:id="1546329669">
      <w:bodyDiv w:val="1"/>
      <w:marLeft w:val="0"/>
      <w:marRight w:val="0"/>
      <w:marTop w:val="0"/>
      <w:marBottom w:val="0"/>
      <w:divBdr>
        <w:top w:val="none" w:sz="0" w:space="0" w:color="auto"/>
        <w:left w:val="none" w:sz="0" w:space="0" w:color="auto"/>
        <w:bottom w:val="none" w:sz="0" w:space="0" w:color="auto"/>
        <w:right w:val="none" w:sz="0" w:space="0" w:color="auto"/>
      </w:divBdr>
    </w:div>
    <w:div w:id="1674718584">
      <w:bodyDiv w:val="1"/>
      <w:marLeft w:val="0"/>
      <w:marRight w:val="0"/>
      <w:marTop w:val="0"/>
      <w:marBottom w:val="0"/>
      <w:divBdr>
        <w:top w:val="none" w:sz="0" w:space="0" w:color="auto"/>
        <w:left w:val="none" w:sz="0" w:space="0" w:color="auto"/>
        <w:bottom w:val="none" w:sz="0" w:space="0" w:color="auto"/>
        <w:right w:val="none" w:sz="0" w:space="0" w:color="auto"/>
      </w:divBdr>
    </w:div>
    <w:div w:id="2000770042">
      <w:bodyDiv w:val="1"/>
      <w:marLeft w:val="0"/>
      <w:marRight w:val="0"/>
      <w:marTop w:val="0"/>
      <w:marBottom w:val="0"/>
      <w:divBdr>
        <w:top w:val="none" w:sz="0" w:space="0" w:color="auto"/>
        <w:left w:val="none" w:sz="0" w:space="0" w:color="auto"/>
        <w:bottom w:val="none" w:sz="0" w:space="0" w:color="auto"/>
        <w:right w:val="none" w:sz="0" w:space="0" w:color="auto"/>
      </w:divBdr>
    </w:div>
    <w:div w:id="2130052520">
      <w:bodyDiv w:val="1"/>
      <w:marLeft w:val="0"/>
      <w:marRight w:val="0"/>
      <w:marTop w:val="0"/>
      <w:marBottom w:val="0"/>
      <w:divBdr>
        <w:top w:val="none" w:sz="0" w:space="0" w:color="auto"/>
        <w:left w:val="none" w:sz="0" w:space="0" w:color="auto"/>
        <w:bottom w:val="none" w:sz="0" w:space="0" w:color="auto"/>
        <w:right w:val="none" w:sz="0" w:space="0" w:color="auto"/>
      </w:divBdr>
    </w:div>
    <w:div w:id="21430375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57D3485-DDED-4913-A211-BD9306E2246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386</Words>
  <Characters>2201</Characters>
  <Application>Microsoft Office Word</Application>
  <DocSecurity>0</DocSecurity>
  <Lines>18</Lines>
  <Paragraphs>5</Paragraphs>
  <ScaleCrop>false</ScaleCrop>
  <Company>000</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wtt6.com 世商管理</cp:lastModifiedBy>
  <cp:revision>2</cp:revision>
  <cp:lastPrinted>2016-06-01T04:18:00Z</cp:lastPrinted>
  <dcterms:created xsi:type="dcterms:W3CDTF">2023-11-14T03:15:00Z</dcterms:created>
  <dcterms:modified xsi:type="dcterms:W3CDTF">2023-11-14T03:15:00Z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1ECAEA2CEEEC408DAD82FAE1F8B8D1F3</vt:lpwstr>
  </property>
  <property fmtid="{D5CDD505-2E9C-101B-9397-08002B2CF9AE}" pid="4" name="commondata">
    <vt:lpwstr>eyJoZGlkIjoiYzA5OGI5YTUxMTE3Mjk3YjcyYmNjMDA0NjIyNWU2NjYifQ==</vt:lpwstr>
  </property>
</Properties>
</file>