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3F7" w14:textId="42E8BC88" w:rsidR="00B64F67" w:rsidRPr="00515932" w:rsidRDefault="00515932">
      <w:pPr>
        <w:rPr>
          <w:rFonts w:ascii="微软雅黑" w:eastAsia="PMingLiU" w:hAnsi="微软雅黑" w:cs="Arial Unicode MS"/>
          <w:b/>
          <w:bCs/>
          <w:color w:val="FF0000"/>
          <w:kern w:val="0"/>
          <w:sz w:val="48"/>
          <w:szCs w:val="48"/>
          <w:u w:color="008CB4"/>
          <w:bdr w:val="nil"/>
          <w:lang w:val="zh-TW" w:eastAsia="zh-TW"/>
          <w14:textOutline w14:w="12700" w14:cap="flat" w14:cmpd="sng" w14:algn="ctr">
            <w14:noFill/>
            <w14:prstDash w14:val="solid"/>
            <w14:miter w14:lim="400000"/>
          </w14:textOutline>
        </w:rPr>
      </w:pPr>
      <w:r w:rsidRPr="00515932">
        <w:rPr>
          <w:rFonts w:ascii="微软雅黑" w:eastAsia="微软雅黑" w:hAnsi="微软雅黑" w:cs="Arial Unicode MS" w:hint="eastAsia"/>
          <w:b/>
          <w:bCs/>
          <w:color w:val="FF0000"/>
          <w:kern w:val="0"/>
          <w:sz w:val="48"/>
          <w:szCs w:val="48"/>
          <w:u w:color="008CB4"/>
          <w:bdr w:val="nil"/>
          <w:lang w:val="zh-TW" w:eastAsia="zh-TW"/>
          <w14:textOutline w14:w="12700" w14:cap="flat" w14:cmpd="sng" w14:algn="ctr">
            <w14:noFill/>
            <w14:prstDash w14:val="solid"/>
            <w14:miter w14:lim="400000"/>
          </w14:textOutline>
        </w:rPr>
        <w:t>Incoterms2020贸易术语管控与进出口关务实务</w:t>
      </w:r>
    </w:p>
    <w:p w14:paraId="6A6BAFA5" w14:textId="6BAA915F" w:rsidR="00515932" w:rsidRPr="00515932" w:rsidRDefault="00515932" w:rsidP="00515932">
      <w:pPr>
        <w:snapToGrid w:val="0"/>
        <w:jc w:val="center"/>
        <w:rPr>
          <w:rFonts w:ascii="微软雅黑" w:eastAsia="微软雅黑" w:hAnsi="微软雅黑" w:cs="黑体"/>
          <w:b/>
          <w:bCs/>
          <w:color w:val="FF0000"/>
          <w:sz w:val="24"/>
          <w:szCs w:val="24"/>
        </w:rPr>
      </w:pPr>
      <w:r>
        <w:rPr>
          <w:rFonts w:ascii="微软雅黑" w:eastAsia="微软雅黑" w:hAnsi="微软雅黑" w:cs="黑体" w:hint="eastAsia"/>
          <w:b/>
          <w:bCs/>
          <w:color w:val="FF0000"/>
          <w:sz w:val="24"/>
          <w:szCs w:val="24"/>
        </w:rPr>
        <w:t>-</w:t>
      </w:r>
      <w:r>
        <w:rPr>
          <w:rFonts w:ascii="微软雅黑" w:eastAsia="微软雅黑" w:hAnsi="微软雅黑" w:cs="黑体"/>
          <w:b/>
          <w:bCs/>
          <w:color w:val="FF0000"/>
          <w:sz w:val="24"/>
          <w:szCs w:val="24"/>
        </w:rPr>
        <w:t>-</w:t>
      </w:r>
      <w:r w:rsidRPr="00515932">
        <w:rPr>
          <w:rFonts w:ascii="微软雅黑" w:eastAsia="微软雅黑" w:hAnsi="微软雅黑" w:cs="黑体" w:hint="eastAsia"/>
          <w:b/>
          <w:bCs/>
          <w:color w:val="FF0000"/>
          <w:sz w:val="24"/>
          <w:szCs w:val="24"/>
        </w:rPr>
        <w:t>暨贸易术语、国际运输、结算、信用证、RCEP等</w:t>
      </w:r>
    </w:p>
    <w:p w14:paraId="06A89416" w14:textId="77777777" w:rsidR="00515932" w:rsidRPr="00515932" w:rsidRDefault="00515932">
      <w:pPr>
        <w:rPr>
          <w:rFonts w:ascii="微软雅黑" w:eastAsia="PMingLiU" w:hAnsi="微软雅黑" w:cstheme="majorEastAsia"/>
          <w:b/>
          <w:sz w:val="21"/>
          <w:szCs w:val="21"/>
        </w:rPr>
      </w:pPr>
    </w:p>
    <w:p w14:paraId="57ABE2C3" w14:textId="00BBF8E9" w:rsidR="00DF45A0" w:rsidRDefault="001301D8">
      <w:pPr>
        <w:spacing w:line="360" w:lineRule="auto"/>
        <w:jc w:val="left"/>
        <w:rPr>
          <w:rFonts w:ascii="微软雅黑" w:eastAsia="微软雅黑" w:hAnsi="微软雅黑"/>
          <w:b/>
          <w:bCs/>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【培训时间】</w:t>
      </w:r>
      <w:r w:rsidRPr="00457ACD">
        <w:rPr>
          <w:rFonts w:ascii="微软雅黑" w:eastAsia="微软雅黑" w:hAnsi="微软雅黑" w:hint="eastAsia"/>
          <w:b/>
          <w:bCs/>
          <w:sz w:val="24"/>
          <w:szCs w:val="24"/>
        </w:rPr>
        <w:t>202</w:t>
      </w:r>
      <w:r w:rsidR="00DF45A0">
        <w:rPr>
          <w:rFonts w:ascii="微软雅黑" w:eastAsia="微软雅黑" w:hAnsi="微软雅黑"/>
          <w:b/>
          <w:bCs/>
          <w:sz w:val="24"/>
          <w:szCs w:val="24"/>
        </w:rPr>
        <w:t>4</w:t>
      </w:r>
      <w:r w:rsidRPr="00457ACD">
        <w:rPr>
          <w:rFonts w:ascii="微软雅黑" w:eastAsia="微软雅黑" w:hAnsi="微软雅黑" w:hint="eastAsia"/>
          <w:b/>
          <w:bCs/>
          <w:sz w:val="24"/>
          <w:szCs w:val="24"/>
        </w:rPr>
        <w:t>年</w:t>
      </w:r>
      <w:r w:rsidR="00DF45A0">
        <w:rPr>
          <w:rFonts w:ascii="微软雅黑" w:eastAsia="微软雅黑" w:hAnsi="微软雅黑"/>
          <w:b/>
          <w:bCs/>
          <w:sz w:val="24"/>
          <w:szCs w:val="24"/>
        </w:rPr>
        <w:t>4</w:t>
      </w:r>
      <w:r w:rsidR="00515932" w:rsidRPr="00515932">
        <w:rPr>
          <w:rFonts w:ascii="微软雅黑" w:eastAsia="微软雅黑" w:hAnsi="微软雅黑" w:hint="eastAsia"/>
          <w:b/>
          <w:bCs/>
          <w:sz w:val="24"/>
          <w:szCs w:val="24"/>
        </w:rPr>
        <w:t>月</w:t>
      </w:r>
      <w:r w:rsidR="00DF45A0">
        <w:rPr>
          <w:rFonts w:ascii="微软雅黑" w:eastAsia="微软雅黑" w:hAnsi="微软雅黑"/>
          <w:b/>
          <w:bCs/>
          <w:sz w:val="24"/>
          <w:szCs w:val="24"/>
        </w:rPr>
        <w:t>19-20</w:t>
      </w:r>
      <w:r w:rsidR="00515932" w:rsidRPr="00515932">
        <w:rPr>
          <w:rFonts w:ascii="微软雅黑" w:eastAsia="微软雅黑" w:hAnsi="微软雅黑" w:hint="eastAsia"/>
          <w:b/>
          <w:bCs/>
          <w:sz w:val="24"/>
          <w:szCs w:val="24"/>
        </w:rPr>
        <w:t>日</w:t>
      </w:r>
      <w:r w:rsidR="00DF45A0">
        <w:rPr>
          <w:rFonts w:ascii="微软雅黑" w:eastAsia="微软雅黑" w:hAnsi="微软雅黑" w:hint="eastAsia"/>
          <w:b/>
          <w:bCs/>
          <w:sz w:val="24"/>
          <w:szCs w:val="24"/>
        </w:rPr>
        <w:t>（周五~周六）</w:t>
      </w:r>
      <w:r w:rsidR="00515932" w:rsidRPr="00515932">
        <w:rPr>
          <w:rFonts w:ascii="微软雅黑" w:eastAsia="微软雅黑" w:hAnsi="微软雅黑" w:hint="eastAsia"/>
          <w:b/>
          <w:bCs/>
          <w:sz w:val="24"/>
          <w:szCs w:val="24"/>
        </w:rPr>
        <w:t>上海</w:t>
      </w:r>
    </w:p>
    <w:p w14:paraId="0157A2ED" w14:textId="0F0F4DA4" w:rsidR="00B64F67" w:rsidRPr="00457ACD" w:rsidRDefault="00DF45A0">
      <w:pPr>
        <w:spacing w:line="360" w:lineRule="auto"/>
        <w:jc w:val="left"/>
        <w:rPr>
          <w:rFonts w:ascii="微软雅黑" w:eastAsia="微软雅黑" w:hAnsi="微软雅黑"/>
          <w:sz w:val="24"/>
          <w:szCs w:val="24"/>
        </w:rPr>
      </w:pPr>
      <w:r>
        <w:rPr>
          <w:rFonts w:ascii="微软雅黑" w:eastAsia="微软雅黑" w:hAnsi="微软雅黑"/>
          <w:b/>
          <w:bCs/>
          <w:sz w:val="24"/>
          <w:szCs w:val="24"/>
        </w:rPr>
        <w:t xml:space="preserve">            </w:t>
      </w:r>
      <w:r w:rsidRPr="00457ACD">
        <w:rPr>
          <w:rFonts w:ascii="微软雅黑" w:eastAsia="微软雅黑" w:hAnsi="微软雅黑" w:hint="eastAsia"/>
          <w:b/>
          <w:bCs/>
          <w:sz w:val="24"/>
          <w:szCs w:val="24"/>
        </w:rPr>
        <w:t>202</w:t>
      </w:r>
      <w:r>
        <w:rPr>
          <w:rFonts w:ascii="微软雅黑" w:eastAsia="微软雅黑" w:hAnsi="微软雅黑"/>
          <w:b/>
          <w:bCs/>
          <w:sz w:val="24"/>
          <w:szCs w:val="24"/>
        </w:rPr>
        <w:t>4</w:t>
      </w:r>
      <w:r w:rsidRPr="00457ACD">
        <w:rPr>
          <w:rFonts w:ascii="微软雅黑" w:eastAsia="微软雅黑" w:hAnsi="微软雅黑" w:hint="eastAsia"/>
          <w:b/>
          <w:bCs/>
          <w:sz w:val="24"/>
          <w:szCs w:val="24"/>
        </w:rPr>
        <w:t>年</w:t>
      </w:r>
      <w:r>
        <w:rPr>
          <w:rFonts w:ascii="微软雅黑" w:eastAsia="微软雅黑" w:hAnsi="微软雅黑"/>
          <w:b/>
          <w:bCs/>
          <w:sz w:val="24"/>
          <w:szCs w:val="24"/>
        </w:rPr>
        <w:t>8</w:t>
      </w:r>
      <w:r w:rsidRPr="00515932">
        <w:rPr>
          <w:rFonts w:ascii="微软雅黑" w:eastAsia="微软雅黑" w:hAnsi="微软雅黑" w:hint="eastAsia"/>
          <w:b/>
          <w:bCs/>
          <w:sz w:val="24"/>
          <w:szCs w:val="24"/>
        </w:rPr>
        <w:t>月</w:t>
      </w:r>
      <w:r>
        <w:rPr>
          <w:rFonts w:ascii="微软雅黑" w:eastAsia="微软雅黑" w:hAnsi="微软雅黑"/>
          <w:b/>
          <w:bCs/>
          <w:sz w:val="24"/>
          <w:szCs w:val="24"/>
        </w:rPr>
        <w:t>16-17</w:t>
      </w:r>
      <w:r w:rsidRPr="00515932">
        <w:rPr>
          <w:rFonts w:ascii="微软雅黑" w:eastAsia="微软雅黑" w:hAnsi="微软雅黑" w:hint="eastAsia"/>
          <w:b/>
          <w:bCs/>
          <w:sz w:val="24"/>
          <w:szCs w:val="24"/>
        </w:rPr>
        <w:t>日</w:t>
      </w:r>
      <w:r>
        <w:rPr>
          <w:rFonts w:ascii="微软雅黑" w:eastAsia="微软雅黑" w:hAnsi="微软雅黑" w:hint="eastAsia"/>
          <w:b/>
          <w:bCs/>
          <w:sz w:val="24"/>
          <w:szCs w:val="24"/>
        </w:rPr>
        <w:t>（周五~周六）</w:t>
      </w:r>
      <w:r w:rsidRPr="00515932">
        <w:rPr>
          <w:rFonts w:ascii="微软雅黑" w:eastAsia="微软雅黑" w:hAnsi="微软雅黑" w:hint="eastAsia"/>
          <w:b/>
          <w:bCs/>
          <w:sz w:val="24"/>
          <w:szCs w:val="24"/>
        </w:rPr>
        <w:t>上海</w:t>
      </w:r>
      <w:r>
        <w:rPr>
          <w:rFonts w:ascii="微软雅黑" w:eastAsia="微软雅黑" w:hAnsi="微软雅黑"/>
          <w:b/>
          <w:bCs/>
          <w:sz w:val="24"/>
          <w:szCs w:val="24"/>
        </w:rPr>
        <w:t xml:space="preserve">    </w:t>
      </w:r>
      <w:r w:rsidR="001301D8" w:rsidRPr="00457ACD">
        <w:rPr>
          <w:rFonts w:ascii="微软雅黑" w:eastAsia="微软雅黑" w:hAnsi="微软雅黑" w:hint="eastAsia"/>
          <w:sz w:val="24"/>
          <w:szCs w:val="24"/>
        </w:rPr>
        <w:t xml:space="preserve">             </w:t>
      </w:r>
    </w:p>
    <w:p w14:paraId="1A12098F" w14:textId="2C44967D" w:rsidR="00B64F67" w:rsidRPr="00457ACD" w:rsidRDefault="001301D8">
      <w:pPr>
        <w:spacing w:line="360" w:lineRule="auto"/>
        <w:jc w:val="left"/>
        <w:rPr>
          <w:rFonts w:ascii="微软雅黑" w:eastAsia="微软雅黑" w:hAnsi="微软雅黑"/>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【培训费用】</w:t>
      </w:r>
      <w:r w:rsidRPr="00457ACD">
        <w:rPr>
          <w:rFonts w:ascii="微软雅黑" w:eastAsia="微软雅黑" w:hAnsi="微软雅黑" w:cstheme="majorEastAsia" w:hint="eastAsia"/>
          <w:sz w:val="24"/>
          <w:szCs w:val="24"/>
        </w:rPr>
        <w:t>¥4</w:t>
      </w:r>
      <w:r w:rsidR="00DF45A0">
        <w:rPr>
          <w:rFonts w:ascii="微软雅黑" w:eastAsia="微软雅黑" w:hAnsi="微软雅黑" w:cstheme="majorEastAsia"/>
          <w:sz w:val="24"/>
          <w:szCs w:val="24"/>
        </w:rPr>
        <w:t>8</w:t>
      </w:r>
      <w:r w:rsidR="00515932">
        <w:rPr>
          <w:rFonts w:ascii="微软雅黑" w:eastAsia="微软雅黑" w:hAnsi="微软雅黑" w:cstheme="majorEastAsia"/>
          <w:sz w:val="24"/>
          <w:szCs w:val="24"/>
        </w:rPr>
        <w:t>0</w:t>
      </w:r>
      <w:r w:rsidRPr="00457ACD">
        <w:rPr>
          <w:rFonts w:ascii="微软雅黑" w:eastAsia="微软雅黑" w:hAnsi="微软雅黑" w:cstheme="majorEastAsia" w:hint="eastAsia"/>
          <w:sz w:val="24"/>
          <w:szCs w:val="24"/>
        </w:rPr>
        <w:t>0元/人（包含：培训费、</w:t>
      </w:r>
      <w:r w:rsidR="00457ACD" w:rsidRPr="00457ACD">
        <w:rPr>
          <w:rFonts w:ascii="微软雅黑" w:eastAsia="微软雅黑" w:hAnsi="微软雅黑" w:cstheme="majorEastAsia" w:hint="eastAsia"/>
          <w:sz w:val="24"/>
          <w:szCs w:val="24"/>
        </w:rPr>
        <w:t>午餐，</w:t>
      </w:r>
      <w:r w:rsidRPr="00457ACD">
        <w:rPr>
          <w:rFonts w:ascii="微软雅黑" w:eastAsia="微软雅黑" w:hAnsi="微软雅黑" w:cstheme="majorEastAsia" w:hint="eastAsia"/>
          <w:sz w:val="24"/>
          <w:szCs w:val="24"/>
        </w:rPr>
        <w:t xml:space="preserve">教材、发票）         </w:t>
      </w:r>
    </w:p>
    <w:p w14:paraId="410573EA" w14:textId="00FD0A11" w:rsidR="00B64F67" w:rsidRPr="00457ACD" w:rsidRDefault="001301D8">
      <w:pPr>
        <w:spacing w:line="360" w:lineRule="auto"/>
        <w:jc w:val="left"/>
        <w:rPr>
          <w:rFonts w:ascii="微软雅黑" w:eastAsia="微软雅黑" w:hAnsi="微软雅黑"/>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【培训对象】</w:t>
      </w:r>
      <w:r w:rsidR="00515932" w:rsidRPr="00515932">
        <w:rPr>
          <w:rFonts w:ascii="微软雅黑" w:eastAsia="微软雅黑" w:hAnsi="微软雅黑" w:hint="eastAsia"/>
          <w:sz w:val="24"/>
          <w:szCs w:val="24"/>
        </w:rPr>
        <w:t>国际采购供应链管理人员,物流总监/经理，进出口关务人员,销售管理及国际销售人员,涉及国际贸易的客户服务管理及从业人员，国际结算从业人员等相关人员。</w:t>
      </w:r>
    </w:p>
    <w:p w14:paraId="49F0A85D" w14:textId="0333A11C" w:rsidR="00457ACD" w:rsidRPr="00457ACD" w:rsidRDefault="00457ACD" w:rsidP="00457ACD">
      <w:pPr>
        <w:pStyle w:val="Afd"/>
        <w:pBdr>
          <w:bottom w:val="dotted" w:sz="8" w:space="0" w:color="476D99"/>
        </w:pBdr>
        <w:spacing w:before="80" w:after="120"/>
        <w:outlineLvl w:val="0"/>
        <w:rPr>
          <w:rFonts w:ascii="微软雅黑" w:eastAsia="微软雅黑" w:hAnsi="微软雅黑" w:hint="default"/>
          <w:b/>
          <w:bCs/>
          <w:color w:val="008CB4"/>
          <w:u w:color="008CB4"/>
        </w:rPr>
      </w:pPr>
      <w:r w:rsidRPr="00457ACD">
        <w:rPr>
          <w:rFonts w:ascii="微软雅黑" w:eastAsia="微软雅黑" w:hAnsi="微软雅黑"/>
          <w:b/>
          <w:bCs/>
          <w:color w:val="008CB4"/>
          <w:u w:color="008CB4"/>
        </w:rPr>
        <w:t>【课程背景】</w:t>
      </w:r>
    </w:p>
    <w:p w14:paraId="4A37DE24" w14:textId="77777777" w:rsidR="00515932" w:rsidRPr="00515932" w:rsidRDefault="00515932" w:rsidP="00515932">
      <w:pPr>
        <w:spacing w:line="360" w:lineRule="auto"/>
        <w:ind w:firstLineChars="200" w:firstLine="480"/>
        <w:jc w:val="left"/>
        <w:rPr>
          <w:rFonts w:ascii="微软雅黑" w:eastAsia="微软雅黑" w:hAnsi="微软雅黑" w:cs="宋体"/>
          <w:color w:val="000000"/>
          <w:kern w:val="0"/>
          <w:sz w:val="24"/>
          <w:szCs w:val="24"/>
        </w:rPr>
      </w:pPr>
      <w:r w:rsidRPr="00515932">
        <w:rPr>
          <w:rFonts w:ascii="微软雅黑" w:eastAsia="微软雅黑" w:hAnsi="微软雅黑" w:cs="宋体" w:hint="eastAsia"/>
          <w:color w:val="000000"/>
          <w:kern w:val="0"/>
          <w:sz w:val="24"/>
          <w:szCs w:val="24"/>
        </w:rPr>
        <w:t>2022年在俄</w:t>
      </w:r>
      <w:proofErr w:type="gramStart"/>
      <w:r w:rsidRPr="00515932">
        <w:rPr>
          <w:rFonts w:ascii="微软雅黑" w:eastAsia="微软雅黑" w:hAnsi="微软雅黑" w:cs="宋体" w:hint="eastAsia"/>
          <w:color w:val="000000"/>
          <w:kern w:val="0"/>
          <w:sz w:val="24"/>
          <w:szCs w:val="24"/>
        </w:rPr>
        <w:t>乌冲突</w:t>
      </w:r>
      <w:proofErr w:type="gramEnd"/>
      <w:r w:rsidRPr="00515932">
        <w:rPr>
          <w:rFonts w:ascii="微软雅黑" w:eastAsia="微软雅黑" w:hAnsi="微软雅黑" w:cs="宋体" w:hint="eastAsia"/>
          <w:color w:val="000000"/>
          <w:kern w:val="0"/>
          <w:sz w:val="24"/>
          <w:szCs w:val="24"/>
        </w:rPr>
        <w:t>与新冠疫情双重影响下的国际航运市场趋势，给全球航运物流业带来了严重冲击，集装箱设备短缺、船期大量延误、舱位难以保证、运价持续上涨等负面因素，导致全球海运供应链陷入困境，外贸形势依然复杂严峻,外贸企业在海运物流、汇率、用工、原材料等方面也感受到不小的压力。</w:t>
      </w:r>
    </w:p>
    <w:p w14:paraId="20F55412" w14:textId="77777777" w:rsidR="00515932" w:rsidRDefault="00515932" w:rsidP="00515932">
      <w:pPr>
        <w:spacing w:line="360" w:lineRule="auto"/>
        <w:jc w:val="left"/>
        <w:rPr>
          <w:rFonts w:ascii="微软雅黑" w:eastAsia="微软雅黑" w:hAnsi="微软雅黑" w:cs="宋体"/>
          <w:color w:val="000000"/>
          <w:kern w:val="0"/>
          <w:sz w:val="24"/>
          <w:szCs w:val="24"/>
        </w:rPr>
      </w:pPr>
      <w:r w:rsidRPr="00515932">
        <w:rPr>
          <w:rFonts w:ascii="微软雅黑" w:eastAsia="微软雅黑" w:hAnsi="微软雅黑" w:cs="宋体" w:hint="eastAsia"/>
          <w:color w:val="000000"/>
          <w:kern w:val="0"/>
          <w:sz w:val="24"/>
          <w:szCs w:val="24"/>
        </w:rPr>
        <w:t>为进一步帮助企业把握新形势下特别是后疫情</w:t>
      </w:r>
      <w:proofErr w:type="gramStart"/>
      <w:r w:rsidRPr="00515932">
        <w:rPr>
          <w:rFonts w:ascii="微软雅黑" w:eastAsia="微软雅黑" w:hAnsi="微软雅黑" w:cs="宋体" w:hint="eastAsia"/>
          <w:color w:val="000000"/>
          <w:kern w:val="0"/>
          <w:sz w:val="24"/>
          <w:szCs w:val="24"/>
        </w:rPr>
        <w:t>时代外贸</w:t>
      </w:r>
      <w:proofErr w:type="gramEnd"/>
      <w:r w:rsidRPr="00515932">
        <w:rPr>
          <w:rFonts w:ascii="微软雅黑" w:eastAsia="微软雅黑" w:hAnsi="微软雅黑" w:cs="宋体" w:hint="eastAsia"/>
          <w:color w:val="000000"/>
          <w:kern w:val="0"/>
          <w:sz w:val="24"/>
          <w:szCs w:val="24"/>
        </w:rPr>
        <w:t>领域的风险防范与战略布局，有序开展企业外贸、防范业务潜在风险及RCEP“双循环”新业态下企业应该如何筹划自己的贸易行动，特举办此次培训，帮助企业妥当运用Incoterms 2020国际贸易术语，避免不必要的损失及贸易纠纷，提高职能部门的风险防控能力，强化贸易监管效能。</w:t>
      </w:r>
    </w:p>
    <w:p w14:paraId="6452ABD4" w14:textId="4AC27452" w:rsidR="001301D8" w:rsidRPr="00457ACD" w:rsidRDefault="001301D8" w:rsidP="00515932">
      <w:pPr>
        <w:spacing w:line="360" w:lineRule="auto"/>
        <w:jc w:val="left"/>
        <w:rPr>
          <w:rFonts w:ascii="微软雅黑" w:eastAsia="微软雅黑" w:hAnsi="微软雅黑" w:cs="Arial Unicode MS"/>
          <w:b/>
          <w:bCs/>
          <w:color w:val="008CB4"/>
          <w:kern w:val="0"/>
          <w:sz w:val="24"/>
          <w:szCs w:val="24"/>
          <w:u w:color="008CB4"/>
          <w:bdr w:val="nil"/>
          <w:lang w:val="zh-TW" w:eastAsia="zh-TW"/>
          <w14:textOutline w14:w="12700" w14:cap="flat" w14:cmpd="sng" w14:algn="ctr">
            <w14:noFill/>
            <w14:prstDash w14:val="solid"/>
            <w14:miter w14:lim="400000"/>
          </w14:textOutline>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【课程收益】</w:t>
      </w:r>
    </w:p>
    <w:p w14:paraId="5B647096" w14:textId="77777777" w:rsidR="00515932" w:rsidRPr="00515932" w:rsidRDefault="00515932" w:rsidP="00515932">
      <w:pPr>
        <w:spacing w:line="380" w:lineRule="exact"/>
        <w:rPr>
          <w:rFonts w:ascii="微软雅黑" w:eastAsia="微软雅黑" w:hAnsi="微软雅黑" w:cs="宋体"/>
          <w:color w:val="000000"/>
          <w:kern w:val="0"/>
          <w:sz w:val="24"/>
          <w:szCs w:val="24"/>
        </w:rPr>
      </w:pPr>
      <w:r w:rsidRPr="00515932">
        <w:rPr>
          <w:rFonts w:ascii="微软雅黑" w:eastAsia="微软雅黑" w:hAnsi="微软雅黑" w:cs="宋体" w:hint="eastAsia"/>
          <w:color w:val="000000"/>
          <w:kern w:val="0"/>
          <w:sz w:val="24"/>
          <w:szCs w:val="24"/>
        </w:rPr>
        <w:t>1.</w:t>
      </w:r>
      <w:r w:rsidRPr="00515932">
        <w:rPr>
          <w:rFonts w:ascii="微软雅黑" w:eastAsia="微软雅黑" w:hAnsi="微软雅黑" w:cs="宋体" w:hint="eastAsia"/>
          <w:color w:val="000000"/>
          <w:kern w:val="0"/>
          <w:sz w:val="24"/>
          <w:szCs w:val="24"/>
        </w:rPr>
        <w:tab/>
        <w:t>了解最新版本 Incoterms 2020 在内容和结构上的变化</w:t>
      </w:r>
    </w:p>
    <w:p w14:paraId="37401125" w14:textId="77777777" w:rsidR="00515932" w:rsidRPr="00515932" w:rsidRDefault="00515932" w:rsidP="00515932">
      <w:pPr>
        <w:spacing w:line="380" w:lineRule="exact"/>
        <w:rPr>
          <w:rFonts w:ascii="微软雅黑" w:eastAsia="微软雅黑" w:hAnsi="微软雅黑" w:cs="宋体"/>
          <w:color w:val="000000"/>
          <w:kern w:val="0"/>
          <w:sz w:val="24"/>
          <w:szCs w:val="24"/>
        </w:rPr>
      </w:pPr>
      <w:r w:rsidRPr="00515932">
        <w:rPr>
          <w:rFonts w:ascii="微软雅黑" w:eastAsia="微软雅黑" w:hAnsi="微软雅黑" w:cs="宋体" w:hint="eastAsia"/>
          <w:color w:val="000000"/>
          <w:kern w:val="0"/>
          <w:sz w:val="24"/>
          <w:szCs w:val="24"/>
        </w:rPr>
        <w:t>2.</w:t>
      </w:r>
      <w:r w:rsidRPr="00515932">
        <w:rPr>
          <w:rFonts w:ascii="微软雅黑" w:eastAsia="微软雅黑" w:hAnsi="微软雅黑" w:cs="宋体" w:hint="eastAsia"/>
          <w:color w:val="000000"/>
          <w:kern w:val="0"/>
          <w:sz w:val="24"/>
          <w:szCs w:val="24"/>
        </w:rPr>
        <w:tab/>
        <w:t>有效识别贸易术语在合同运用中的陷阱风险</w:t>
      </w:r>
    </w:p>
    <w:p w14:paraId="2FDE8C70" w14:textId="77777777" w:rsidR="00515932" w:rsidRPr="00515932" w:rsidRDefault="00515932" w:rsidP="00515932">
      <w:pPr>
        <w:spacing w:line="380" w:lineRule="exact"/>
        <w:rPr>
          <w:rFonts w:ascii="微软雅黑" w:eastAsia="微软雅黑" w:hAnsi="微软雅黑" w:cs="宋体"/>
          <w:color w:val="000000"/>
          <w:kern w:val="0"/>
          <w:sz w:val="24"/>
          <w:szCs w:val="24"/>
        </w:rPr>
      </w:pPr>
      <w:r w:rsidRPr="00515932">
        <w:rPr>
          <w:rFonts w:ascii="微软雅黑" w:eastAsia="微软雅黑" w:hAnsi="微软雅黑" w:cs="宋体" w:hint="eastAsia"/>
          <w:color w:val="000000"/>
          <w:kern w:val="0"/>
          <w:sz w:val="24"/>
          <w:szCs w:val="24"/>
        </w:rPr>
        <w:t>3.</w:t>
      </w:r>
      <w:r w:rsidRPr="00515932">
        <w:rPr>
          <w:rFonts w:ascii="微软雅黑" w:eastAsia="微软雅黑" w:hAnsi="微软雅黑" w:cs="宋体" w:hint="eastAsia"/>
          <w:color w:val="000000"/>
          <w:kern w:val="0"/>
          <w:sz w:val="24"/>
          <w:szCs w:val="24"/>
        </w:rPr>
        <w:tab/>
        <w:t>掌握进出口运输、结算及风险操作技巧</w:t>
      </w:r>
    </w:p>
    <w:p w14:paraId="07BE6FEB" w14:textId="77777777" w:rsidR="00515932" w:rsidRPr="00515932" w:rsidRDefault="00515932" w:rsidP="00515932">
      <w:pPr>
        <w:spacing w:line="380" w:lineRule="exact"/>
        <w:rPr>
          <w:rFonts w:ascii="微软雅黑" w:eastAsia="微软雅黑" w:hAnsi="微软雅黑" w:cs="宋体"/>
          <w:color w:val="000000"/>
          <w:kern w:val="0"/>
          <w:sz w:val="24"/>
          <w:szCs w:val="24"/>
        </w:rPr>
      </w:pPr>
      <w:r w:rsidRPr="00515932">
        <w:rPr>
          <w:rFonts w:ascii="微软雅黑" w:eastAsia="微软雅黑" w:hAnsi="微软雅黑" w:cs="宋体" w:hint="eastAsia"/>
          <w:color w:val="000000"/>
          <w:kern w:val="0"/>
          <w:sz w:val="24"/>
          <w:szCs w:val="24"/>
        </w:rPr>
        <w:t>4.</w:t>
      </w:r>
      <w:r w:rsidRPr="00515932">
        <w:rPr>
          <w:rFonts w:ascii="微软雅黑" w:eastAsia="微软雅黑" w:hAnsi="微软雅黑" w:cs="宋体" w:hint="eastAsia"/>
          <w:color w:val="000000"/>
          <w:kern w:val="0"/>
          <w:sz w:val="24"/>
          <w:szCs w:val="24"/>
        </w:rPr>
        <w:tab/>
        <w:t>信用证相关国际惯例UCP600、ISBP主要条款解析及单据制作应用</w:t>
      </w:r>
    </w:p>
    <w:p w14:paraId="2FD84BEF" w14:textId="77777777" w:rsidR="00515932" w:rsidRPr="00515932" w:rsidRDefault="00515932" w:rsidP="00515932">
      <w:pPr>
        <w:spacing w:line="380" w:lineRule="exact"/>
        <w:rPr>
          <w:rFonts w:ascii="微软雅黑" w:eastAsia="微软雅黑" w:hAnsi="微软雅黑" w:cs="宋体"/>
          <w:color w:val="000000"/>
          <w:kern w:val="0"/>
          <w:sz w:val="24"/>
          <w:szCs w:val="24"/>
        </w:rPr>
      </w:pPr>
      <w:r w:rsidRPr="00515932">
        <w:rPr>
          <w:rFonts w:ascii="微软雅黑" w:eastAsia="微软雅黑" w:hAnsi="微软雅黑" w:cs="宋体" w:hint="eastAsia"/>
          <w:color w:val="000000"/>
          <w:kern w:val="0"/>
          <w:sz w:val="24"/>
          <w:szCs w:val="24"/>
        </w:rPr>
        <w:t>5.</w:t>
      </w:r>
      <w:r w:rsidRPr="00515932">
        <w:rPr>
          <w:rFonts w:ascii="微软雅黑" w:eastAsia="微软雅黑" w:hAnsi="微软雅黑" w:cs="宋体" w:hint="eastAsia"/>
          <w:color w:val="000000"/>
          <w:kern w:val="0"/>
          <w:sz w:val="24"/>
          <w:szCs w:val="24"/>
        </w:rPr>
        <w:tab/>
        <w:t>如何规避海关稽查风险，掌握通关流程及要求</w:t>
      </w:r>
    </w:p>
    <w:p w14:paraId="30265C68" w14:textId="17E5E732" w:rsidR="00B64F67" w:rsidRPr="00515932" w:rsidRDefault="00515932" w:rsidP="00515932">
      <w:pPr>
        <w:spacing w:line="380" w:lineRule="exact"/>
        <w:rPr>
          <w:rFonts w:ascii="微软雅黑" w:eastAsia="微软雅黑" w:hAnsi="微软雅黑"/>
          <w:b/>
          <w:bCs/>
          <w:iCs/>
          <w:color w:val="548DD4" w:themeColor="text2" w:themeTint="99"/>
          <w:sz w:val="24"/>
          <w:szCs w:val="24"/>
          <w:u w:val="single"/>
        </w:rPr>
      </w:pPr>
      <w:r w:rsidRPr="00515932">
        <w:rPr>
          <w:rFonts w:ascii="微软雅黑" w:eastAsia="微软雅黑" w:hAnsi="微软雅黑" w:cs="宋体" w:hint="eastAsia"/>
          <w:color w:val="000000"/>
          <w:kern w:val="0"/>
          <w:sz w:val="24"/>
          <w:szCs w:val="24"/>
        </w:rPr>
        <w:t>6.</w:t>
      </w:r>
      <w:r w:rsidRPr="00515932">
        <w:rPr>
          <w:rFonts w:ascii="微软雅黑" w:eastAsia="微软雅黑" w:hAnsi="微软雅黑" w:cs="宋体" w:hint="eastAsia"/>
          <w:color w:val="000000"/>
          <w:kern w:val="0"/>
          <w:sz w:val="24"/>
          <w:szCs w:val="24"/>
        </w:rPr>
        <w:tab/>
        <w:t>RCEP“双循环”经济发展新格局政策解读</w:t>
      </w:r>
    </w:p>
    <w:p w14:paraId="708759BC" w14:textId="26C90EA7" w:rsidR="00B64F67" w:rsidRPr="00457ACD" w:rsidRDefault="001301D8" w:rsidP="001301D8">
      <w:pPr>
        <w:spacing w:line="360" w:lineRule="auto"/>
        <w:jc w:val="left"/>
        <w:rPr>
          <w:rFonts w:ascii="微软雅黑" w:eastAsia="微软雅黑" w:hAnsi="微软雅黑" w:cs="Arial Unicode MS"/>
          <w:b/>
          <w:bCs/>
          <w:color w:val="008CB4"/>
          <w:kern w:val="0"/>
          <w:sz w:val="24"/>
          <w:szCs w:val="24"/>
          <w:u w:color="008CB4"/>
          <w:bdr w:val="nil"/>
          <w:lang w:val="zh-TW" w:eastAsia="zh-TW"/>
          <w14:textOutline w14:w="12700" w14:cap="flat" w14:cmpd="sng" w14:algn="ctr">
            <w14:noFill/>
            <w14:prstDash w14:val="solid"/>
            <w14:miter w14:lim="400000"/>
          </w14:textOutline>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【课程大纲】</w:t>
      </w:r>
    </w:p>
    <w:p w14:paraId="7CAC0A7F" w14:textId="77777777" w:rsidR="00515932" w:rsidRPr="00515932" w:rsidRDefault="00515932" w:rsidP="00515932">
      <w:pPr>
        <w:rPr>
          <w:rFonts w:ascii="微软雅黑" w:eastAsia="微软雅黑" w:hAnsi="微软雅黑"/>
          <w:b/>
          <w:bCs/>
          <w:color w:val="FF0000"/>
          <w:sz w:val="24"/>
          <w:szCs w:val="24"/>
        </w:rPr>
      </w:pPr>
      <w:r w:rsidRPr="00515932">
        <w:rPr>
          <w:rFonts w:ascii="微软雅黑" w:eastAsia="微软雅黑" w:hAnsi="微软雅黑" w:hint="eastAsia"/>
          <w:b/>
          <w:bCs/>
          <w:color w:val="FF0000"/>
          <w:sz w:val="24"/>
          <w:szCs w:val="24"/>
        </w:rPr>
        <w:t>一、国际贸易惯例在国际贸易中的作用</w:t>
      </w:r>
    </w:p>
    <w:p w14:paraId="6F1BAA56"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1．国际货物贸易中的合同</w:t>
      </w:r>
    </w:p>
    <w:p w14:paraId="13629D5B" w14:textId="77777777" w:rsidR="00515932" w:rsidRPr="00515932" w:rsidRDefault="00515932" w:rsidP="00515932">
      <w:pPr>
        <w:numPr>
          <w:ilvl w:val="0"/>
          <w:numId w:val="2"/>
        </w:numPr>
        <w:rPr>
          <w:rFonts w:ascii="微软雅黑" w:eastAsia="微软雅黑" w:hAnsi="微软雅黑"/>
          <w:sz w:val="24"/>
          <w:szCs w:val="24"/>
        </w:rPr>
      </w:pPr>
      <w:r w:rsidRPr="00515932">
        <w:rPr>
          <w:rFonts w:ascii="微软雅黑" w:eastAsia="微软雅黑" w:hAnsi="微软雅黑" w:hint="eastAsia"/>
          <w:sz w:val="24"/>
          <w:szCs w:val="24"/>
        </w:rPr>
        <w:lastRenderedPageBreak/>
        <w:t>合同的形式有哪些？国际贸易业务一定要签订书面合同吗？</w:t>
      </w:r>
    </w:p>
    <w:p w14:paraId="493B6621" w14:textId="77777777" w:rsidR="00515932" w:rsidRPr="00515932" w:rsidRDefault="00515932" w:rsidP="00515932">
      <w:pPr>
        <w:numPr>
          <w:ilvl w:val="0"/>
          <w:numId w:val="2"/>
        </w:numPr>
        <w:rPr>
          <w:rFonts w:ascii="微软雅黑" w:eastAsia="微软雅黑" w:hAnsi="微软雅黑"/>
          <w:sz w:val="24"/>
          <w:szCs w:val="24"/>
        </w:rPr>
      </w:pPr>
      <w:r w:rsidRPr="00515932">
        <w:rPr>
          <w:rFonts w:ascii="微软雅黑" w:eastAsia="微软雅黑" w:hAnsi="微软雅黑" w:hint="eastAsia"/>
          <w:sz w:val="24"/>
          <w:szCs w:val="24"/>
        </w:rPr>
        <w:t>书面合同的形式有哪些？</w:t>
      </w:r>
    </w:p>
    <w:p w14:paraId="06C9D111"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2．国际货物买卖合同适用的规则</w:t>
      </w:r>
    </w:p>
    <w:p w14:paraId="07661AD3" w14:textId="77777777" w:rsidR="00515932" w:rsidRPr="00515932" w:rsidRDefault="00515932" w:rsidP="00515932">
      <w:pPr>
        <w:numPr>
          <w:ilvl w:val="0"/>
          <w:numId w:val="3"/>
        </w:numPr>
        <w:rPr>
          <w:rFonts w:ascii="微软雅黑" w:eastAsia="微软雅黑" w:hAnsi="微软雅黑"/>
          <w:sz w:val="24"/>
          <w:szCs w:val="24"/>
        </w:rPr>
      </w:pPr>
      <w:r w:rsidRPr="00515932">
        <w:rPr>
          <w:rFonts w:ascii="微软雅黑" w:eastAsia="微软雅黑" w:hAnsi="微软雅黑" w:hint="eastAsia"/>
          <w:sz w:val="24"/>
          <w:szCs w:val="24"/>
        </w:rPr>
        <w:t>国际贸易合同适用什么法律？各国法律有何差异？</w:t>
      </w:r>
    </w:p>
    <w:p w14:paraId="731FB31E" w14:textId="77777777" w:rsidR="00515932" w:rsidRPr="00515932" w:rsidRDefault="00515932" w:rsidP="00515932">
      <w:pPr>
        <w:numPr>
          <w:ilvl w:val="0"/>
          <w:numId w:val="3"/>
        </w:numPr>
        <w:rPr>
          <w:rFonts w:ascii="微软雅黑" w:eastAsia="微软雅黑" w:hAnsi="微软雅黑"/>
          <w:sz w:val="24"/>
          <w:szCs w:val="24"/>
        </w:rPr>
      </w:pPr>
      <w:r w:rsidRPr="00515932">
        <w:rPr>
          <w:rFonts w:ascii="微软雅黑" w:eastAsia="微软雅黑" w:hAnsi="微软雅黑" w:hint="eastAsia"/>
          <w:sz w:val="24"/>
          <w:szCs w:val="24"/>
        </w:rPr>
        <w:t>相关的国际惯例及其适用国际贸易惯例如何约束买卖合同？买卖合同与国际贸易惯例发生</w:t>
      </w:r>
      <w:proofErr w:type="gramStart"/>
      <w:r w:rsidRPr="00515932">
        <w:rPr>
          <w:rFonts w:ascii="微软雅黑" w:eastAsia="微软雅黑" w:hAnsi="微软雅黑" w:hint="eastAsia"/>
          <w:sz w:val="24"/>
          <w:szCs w:val="24"/>
        </w:rPr>
        <w:t>矛</w:t>
      </w:r>
      <w:proofErr w:type="gramEnd"/>
    </w:p>
    <w:p w14:paraId="22277505" w14:textId="77777777" w:rsidR="00515932" w:rsidRPr="00515932" w:rsidRDefault="00515932" w:rsidP="00515932">
      <w:pPr>
        <w:numPr>
          <w:ilvl w:val="0"/>
          <w:numId w:val="3"/>
        </w:numPr>
        <w:rPr>
          <w:rFonts w:ascii="微软雅黑" w:eastAsia="微软雅黑" w:hAnsi="微软雅黑"/>
          <w:sz w:val="24"/>
          <w:szCs w:val="24"/>
        </w:rPr>
      </w:pPr>
      <w:r w:rsidRPr="00515932">
        <w:rPr>
          <w:rFonts w:ascii="微软雅黑" w:eastAsia="微软雅黑" w:hAnsi="微软雅黑" w:hint="eastAsia"/>
          <w:sz w:val="24"/>
          <w:szCs w:val="24"/>
        </w:rPr>
        <w:t>盾时合同是否有效？以哪个为准？</w:t>
      </w:r>
    </w:p>
    <w:p w14:paraId="5EC102AD"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3．国际贸易惯例之一——国际贸易术语相关的相关国际惯例</w:t>
      </w:r>
    </w:p>
    <w:p w14:paraId="2D909A17" w14:textId="77777777" w:rsidR="00515932" w:rsidRPr="00515932" w:rsidRDefault="00515932" w:rsidP="00515932">
      <w:pPr>
        <w:numPr>
          <w:ilvl w:val="0"/>
          <w:numId w:val="4"/>
        </w:numPr>
        <w:rPr>
          <w:rFonts w:ascii="微软雅黑" w:eastAsia="微软雅黑" w:hAnsi="微软雅黑"/>
          <w:sz w:val="24"/>
          <w:szCs w:val="24"/>
        </w:rPr>
      </w:pPr>
      <w:r w:rsidRPr="00515932">
        <w:rPr>
          <w:rFonts w:ascii="微软雅黑" w:eastAsia="微软雅黑" w:hAnsi="微软雅黑" w:hint="eastAsia"/>
          <w:sz w:val="24"/>
          <w:szCs w:val="24"/>
        </w:rPr>
        <w:t>Warsaw-Oxford Rules，简称 W. O. Rules1932</w:t>
      </w:r>
    </w:p>
    <w:p w14:paraId="1F7425C5" w14:textId="77777777" w:rsidR="00515932" w:rsidRPr="00515932" w:rsidRDefault="00515932" w:rsidP="00515932">
      <w:pPr>
        <w:numPr>
          <w:ilvl w:val="0"/>
          <w:numId w:val="4"/>
        </w:numPr>
        <w:rPr>
          <w:rFonts w:ascii="微软雅黑" w:eastAsia="微软雅黑" w:hAnsi="微软雅黑"/>
          <w:sz w:val="24"/>
          <w:szCs w:val="24"/>
        </w:rPr>
      </w:pPr>
      <w:r w:rsidRPr="00515932">
        <w:rPr>
          <w:rFonts w:ascii="微软雅黑" w:eastAsia="微软雅黑" w:hAnsi="微软雅黑" w:hint="eastAsia"/>
          <w:sz w:val="24"/>
          <w:szCs w:val="24"/>
        </w:rPr>
        <w:t>Revised American Foreign Trade Definitions 1919/1941/</w:t>
      </w:r>
      <w:proofErr w:type="gramStart"/>
      <w:r w:rsidRPr="00515932">
        <w:rPr>
          <w:rFonts w:ascii="微软雅黑" w:eastAsia="微软雅黑" w:hAnsi="微软雅黑" w:hint="eastAsia"/>
          <w:sz w:val="24"/>
          <w:szCs w:val="24"/>
        </w:rPr>
        <w:t>1990</w:t>
      </w:r>
      <w:proofErr w:type="gramEnd"/>
    </w:p>
    <w:p w14:paraId="45D9BFFF" w14:textId="77777777" w:rsidR="00515932" w:rsidRPr="00515932" w:rsidRDefault="00515932" w:rsidP="00515932">
      <w:pPr>
        <w:numPr>
          <w:ilvl w:val="0"/>
          <w:numId w:val="4"/>
        </w:numPr>
        <w:rPr>
          <w:rFonts w:ascii="微软雅黑" w:eastAsia="微软雅黑" w:hAnsi="微软雅黑"/>
          <w:sz w:val="24"/>
          <w:szCs w:val="24"/>
        </w:rPr>
      </w:pPr>
      <w:r w:rsidRPr="00515932">
        <w:rPr>
          <w:rFonts w:ascii="微软雅黑" w:eastAsia="微软雅黑" w:hAnsi="微软雅黑" w:hint="eastAsia"/>
          <w:sz w:val="24"/>
          <w:szCs w:val="24"/>
        </w:rPr>
        <w:t>INCOTERMS 1936/1957/1967/1976/1980/1990/2000/2010/2020</w:t>
      </w:r>
    </w:p>
    <w:p w14:paraId="4DA773C6" w14:textId="77777777" w:rsidR="00515932" w:rsidRPr="00515932" w:rsidRDefault="00515932" w:rsidP="00515932">
      <w:pPr>
        <w:rPr>
          <w:rFonts w:ascii="微软雅黑" w:eastAsia="微软雅黑" w:hAnsi="微软雅黑"/>
          <w:b/>
          <w:bCs/>
          <w:color w:val="FF0000"/>
          <w:sz w:val="24"/>
          <w:szCs w:val="24"/>
        </w:rPr>
      </w:pPr>
      <w:r w:rsidRPr="00515932">
        <w:rPr>
          <w:rFonts w:ascii="微软雅黑" w:eastAsia="微软雅黑" w:hAnsi="微软雅黑" w:hint="eastAsia"/>
          <w:b/>
          <w:bCs/>
          <w:color w:val="FF0000"/>
          <w:sz w:val="24"/>
          <w:szCs w:val="24"/>
        </w:rPr>
        <w:t xml:space="preserve">二、最新版 INCOTERMS ® 2020 的修订及 11 </w:t>
      </w:r>
      <w:proofErr w:type="gramStart"/>
      <w:r w:rsidRPr="00515932">
        <w:rPr>
          <w:rFonts w:ascii="微软雅黑" w:eastAsia="微软雅黑" w:hAnsi="微软雅黑" w:hint="eastAsia"/>
          <w:b/>
          <w:bCs/>
          <w:color w:val="FF0000"/>
          <w:sz w:val="24"/>
          <w:szCs w:val="24"/>
        </w:rPr>
        <w:t>个</w:t>
      </w:r>
      <w:proofErr w:type="gramEnd"/>
      <w:r w:rsidRPr="00515932">
        <w:rPr>
          <w:rFonts w:ascii="微软雅黑" w:eastAsia="微软雅黑" w:hAnsi="微软雅黑" w:hint="eastAsia"/>
          <w:b/>
          <w:bCs/>
          <w:color w:val="FF0000"/>
          <w:sz w:val="24"/>
          <w:szCs w:val="24"/>
        </w:rPr>
        <w:t>贸易术语的内涵特征</w:t>
      </w:r>
    </w:p>
    <w:p w14:paraId="2C11607A"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1. INCOTERMS ® 2020 的主要修订变化</w:t>
      </w:r>
    </w:p>
    <w:p w14:paraId="31AEF13A" w14:textId="77777777" w:rsidR="00515932" w:rsidRPr="00515932" w:rsidRDefault="00515932" w:rsidP="00515932">
      <w:pPr>
        <w:numPr>
          <w:ilvl w:val="0"/>
          <w:numId w:val="5"/>
        </w:numPr>
        <w:rPr>
          <w:rFonts w:ascii="微软雅黑" w:eastAsia="微软雅黑" w:hAnsi="微软雅黑"/>
          <w:sz w:val="24"/>
          <w:szCs w:val="24"/>
        </w:rPr>
      </w:pPr>
      <w:r w:rsidRPr="00515932">
        <w:rPr>
          <w:rFonts w:ascii="微软雅黑" w:eastAsia="微软雅黑" w:hAnsi="微软雅黑" w:hint="eastAsia"/>
          <w:sz w:val="24"/>
          <w:szCs w:val="24"/>
        </w:rPr>
        <w:t>DPU 替代 DAT</w:t>
      </w:r>
    </w:p>
    <w:p w14:paraId="1F690DCC" w14:textId="77777777" w:rsidR="00515932" w:rsidRPr="00515932" w:rsidRDefault="00515932" w:rsidP="00515932">
      <w:pPr>
        <w:numPr>
          <w:ilvl w:val="0"/>
          <w:numId w:val="5"/>
        </w:numPr>
        <w:rPr>
          <w:rFonts w:ascii="微软雅黑" w:eastAsia="微软雅黑" w:hAnsi="微软雅黑"/>
          <w:sz w:val="24"/>
          <w:szCs w:val="24"/>
        </w:rPr>
      </w:pPr>
      <w:r w:rsidRPr="00515932">
        <w:rPr>
          <w:rFonts w:ascii="微软雅黑" w:eastAsia="微软雅黑" w:hAnsi="微软雅黑" w:hint="eastAsia"/>
          <w:sz w:val="24"/>
          <w:szCs w:val="24"/>
        </w:rPr>
        <w:t>FCA 项下增加卖方提交 B/L 的相关规定</w:t>
      </w:r>
    </w:p>
    <w:p w14:paraId="1C4308C7" w14:textId="77777777" w:rsidR="00515932" w:rsidRPr="00515932" w:rsidRDefault="00515932" w:rsidP="00515932">
      <w:pPr>
        <w:numPr>
          <w:ilvl w:val="0"/>
          <w:numId w:val="5"/>
        </w:numPr>
        <w:rPr>
          <w:rFonts w:ascii="微软雅黑" w:eastAsia="微软雅黑" w:hAnsi="微软雅黑"/>
          <w:sz w:val="24"/>
          <w:szCs w:val="24"/>
        </w:rPr>
      </w:pPr>
      <w:r w:rsidRPr="00515932">
        <w:rPr>
          <w:rFonts w:ascii="微软雅黑" w:eastAsia="微软雅黑" w:hAnsi="微软雅黑" w:hint="eastAsia"/>
          <w:sz w:val="24"/>
          <w:szCs w:val="24"/>
        </w:rPr>
        <w:t>更新 CIF 和 CIP 项下投保险别标准的规定</w:t>
      </w:r>
    </w:p>
    <w:p w14:paraId="52B48093" w14:textId="77777777" w:rsidR="00515932" w:rsidRPr="00515932" w:rsidRDefault="00515932" w:rsidP="00515932">
      <w:pPr>
        <w:numPr>
          <w:ilvl w:val="0"/>
          <w:numId w:val="5"/>
        </w:numPr>
        <w:rPr>
          <w:rFonts w:ascii="微软雅黑" w:eastAsia="微软雅黑" w:hAnsi="微软雅黑"/>
          <w:sz w:val="24"/>
          <w:szCs w:val="24"/>
        </w:rPr>
      </w:pPr>
      <w:r w:rsidRPr="00515932">
        <w:rPr>
          <w:rFonts w:ascii="微软雅黑" w:eastAsia="微软雅黑" w:hAnsi="微软雅黑" w:hint="eastAsia"/>
          <w:sz w:val="24"/>
          <w:szCs w:val="24"/>
        </w:rPr>
        <w:t>每个贸易术语项下更新买卖双方义务若干条款中关于安全要求的规定</w:t>
      </w:r>
    </w:p>
    <w:p w14:paraId="71B56FC6" w14:textId="77777777" w:rsidR="00515932" w:rsidRPr="00515932" w:rsidRDefault="00515932" w:rsidP="00515932">
      <w:pPr>
        <w:numPr>
          <w:ilvl w:val="0"/>
          <w:numId w:val="5"/>
        </w:numPr>
        <w:rPr>
          <w:rFonts w:ascii="微软雅黑" w:eastAsia="微软雅黑" w:hAnsi="微软雅黑"/>
          <w:sz w:val="24"/>
          <w:szCs w:val="24"/>
        </w:rPr>
      </w:pPr>
      <w:r w:rsidRPr="00515932">
        <w:rPr>
          <w:rFonts w:ascii="微软雅黑" w:eastAsia="微软雅黑" w:hAnsi="微软雅黑" w:hint="eastAsia"/>
          <w:sz w:val="24"/>
          <w:szCs w:val="24"/>
        </w:rPr>
        <w:t>INCOTERMS ® 2020 结构及内容顺序上的改变</w:t>
      </w:r>
    </w:p>
    <w:p w14:paraId="588E001B"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 xml:space="preserve">2.INCOTERMS ® 2020 的 11 </w:t>
      </w:r>
      <w:proofErr w:type="gramStart"/>
      <w:r w:rsidRPr="00515932">
        <w:rPr>
          <w:rFonts w:ascii="微软雅黑" w:eastAsia="微软雅黑" w:hAnsi="微软雅黑" w:hint="eastAsia"/>
          <w:sz w:val="24"/>
          <w:szCs w:val="24"/>
        </w:rPr>
        <w:t>个</w:t>
      </w:r>
      <w:proofErr w:type="gramEnd"/>
      <w:r w:rsidRPr="00515932">
        <w:rPr>
          <w:rFonts w:ascii="微软雅黑" w:eastAsia="微软雅黑" w:hAnsi="微软雅黑" w:hint="eastAsia"/>
          <w:sz w:val="24"/>
          <w:szCs w:val="24"/>
        </w:rPr>
        <w:t>贸易术语的特征及每个贸易术语项下买卖双方需承担的 10 大责任</w:t>
      </w:r>
    </w:p>
    <w:p w14:paraId="5AA6EB57" w14:textId="77777777" w:rsidR="00515932" w:rsidRPr="00515932" w:rsidRDefault="00515932" w:rsidP="00515932">
      <w:pPr>
        <w:numPr>
          <w:ilvl w:val="0"/>
          <w:numId w:val="6"/>
        </w:numPr>
        <w:rPr>
          <w:rFonts w:ascii="微软雅黑" w:eastAsia="微软雅黑" w:hAnsi="微软雅黑"/>
          <w:sz w:val="24"/>
          <w:szCs w:val="24"/>
        </w:rPr>
      </w:pPr>
      <w:r w:rsidRPr="00515932">
        <w:rPr>
          <w:rFonts w:ascii="微软雅黑" w:eastAsia="微软雅黑" w:hAnsi="微软雅黑" w:hint="eastAsia"/>
          <w:sz w:val="24"/>
          <w:szCs w:val="24"/>
        </w:rPr>
        <w:t>谁负责进出口的清关手续及安排运输及保险合同？</w:t>
      </w:r>
    </w:p>
    <w:p w14:paraId="509F5926" w14:textId="77777777" w:rsidR="00515932" w:rsidRPr="00515932" w:rsidRDefault="00515932" w:rsidP="00515932">
      <w:pPr>
        <w:numPr>
          <w:ilvl w:val="0"/>
          <w:numId w:val="6"/>
        </w:numPr>
        <w:rPr>
          <w:rFonts w:ascii="微软雅黑" w:eastAsia="微软雅黑" w:hAnsi="微软雅黑"/>
          <w:sz w:val="24"/>
          <w:szCs w:val="24"/>
        </w:rPr>
      </w:pPr>
      <w:r w:rsidRPr="00515932">
        <w:rPr>
          <w:rFonts w:ascii="微软雅黑" w:eastAsia="微软雅黑" w:hAnsi="微软雅黑" w:hint="eastAsia"/>
          <w:sz w:val="24"/>
          <w:szCs w:val="24"/>
        </w:rPr>
        <w:t>双方如何分摊相关的费用？风险何时转移至买方？</w:t>
      </w:r>
    </w:p>
    <w:p w14:paraId="0C2BD9E7" w14:textId="77777777" w:rsidR="00515932" w:rsidRPr="00515932" w:rsidRDefault="00515932" w:rsidP="00515932">
      <w:pPr>
        <w:numPr>
          <w:ilvl w:val="0"/>
          <w:numId w:val="6"/>
        </w:numPr>
        <w:rPr>
          <w:rFonts w:ascii="微软雅黑" w:eastAsia="微软雅黑" w:hAnsi="微软雅黑"/>
          <w:sz w:val="24"/>
          <w:szCs w:val="24"/>
        </w:rPr>
      </w:pPr>
      <w:r w:rsidRPr="00515932">
        <w:rPr>
          <w:rFonts w:ascii="微软雅黑" w:eastAsia="微软雅黑" w:hAnsi="微软雅黑" w:hint="eastAsia"/>
          <w:sz w:val="24"/>
          <w:szCs w:val="24"/>
        </w:rPr>
        <w:t>若买方迟迟不发出运输路线及日期的通知，甚至拒绝提取已完成的货物，卖方应如何面对？</w:t>
      </w:r>
    </w:p>
    <w:p w14:paraId="09533742"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3.CIF\CIP\CFR\CPT 项下运输与保险选择及案例分析</w:t>
      </w:r>
    </w:p>
    <w:p w14:paraId="587B8544" w14:textId="77777777" w:rsidR="00515932" w:rsidRPr="00515932" w:rsidRDefault="00515932" w:rsidP="00515932">
      <w:pPr>
        <w:numPr>
          <w:ilvl w:val="0"/>
          <w:numId w:val="7"/>
        </w:numPr>
        <w:rPr>
          <w:rFonts w:ascii="微软雅黑" w:eastAsia="微软雅黑" w:hAnsi="微软雅黑"/>
          <w:sz w:val="24"/>
          <w:szCs w:val="24"/>
        </w:rPr>
      </w:pPr>
      <w:r w:rsidRPr="00515932">
        <w:rPr>
          <w:rFonts w:ascii="微软雅黑" w:eastAsia="微软雅黑" w:hAnsi="微软雅黑" w:hint="eastAsia"/>
          <w:sz w:val="24"/>
          <w:szCs w:val="24"/>
        </w:rPr>
        <w:t>如何安排国际货物运输以及计算运费</w:t>
      </w:r>
    </w:p>
    <w:p w14:paraId="15B45494" w14:textId="77777777" w:rsidR="00515932" w:rsidRPr="00515932" w:rsidRDefault="00515932" w:rsidP="00515932">
      <w:pPr>
        <w:numPr>
          <w:ilvl w:val="0"/>
          <w:numId w:val="7"/>
        </w:numPr>
        <w:rPr>
          <w:rFonts w:ascii="微软雅黑" w:eastAsia="微软雅黑" w:hAnsi="微软雅黑"/>
          <w:sz w:val="24"/>
          <w:szCs w:val="24"/>
        </w:rPr>
      </w:pPr>
      <w:r w:rsidRPr="00515932">
        <w:rPr>
          <w:rFonts w:ascii="微软雅黑" w:eastAsia="微软雅黑" w:hAnsi="微软雅黑" w:hint="eastAsia"/>
          <w:sz w:val="24"/>
          <w:szCs w:val="24"/>
        </w:rPr>
        <w:t>运输相关的案例分析</w:t>
      </w:r>
    </w:p>
    <w:p w14:paraId="421D6132" w14:textId="77777777" w:rsidR="00515932" w:rsidRPr="00515932" w:rsidRDefault="00515932" w:rsidP="00515932">
      <w:pPr>
        <w:numPr>
          <w:ilvl w:val="0"/>
          <w:numId w:val="7"/>
        </w:numPr>
        <w:rPr>
          <w:rFonts w:ascii="微软雅黑" w:eastAsia="微软雅黑" w:hAnsi="微软雅黑"/>
          <w:sz w:val="24"/>
          <w:szCs w:val="24"/>
        </w:rPr>
      </w:pPr>
      <w:r w:rsidRPr="00515932">
        <w:rPr>
          <w:rFonts w:ascii="微软雅黑" w:eastAsia="微软雅黑" w:hAnsi="微软雅黑" w:hint="eastAsia"/>
          <w:sz w:val="24"/>
          <w:szCs w:val="24"/>
        </w:rPr>
        <w:t>卖方完成装运是否完成交货？</w:t>
      </w:r>
    </w:p>
    <w:p w14:paraId="7C26942D" w14:textId="77777777" w:rsidR="00515932" w:rsidRPr="00515932" w:rsidRDefault="00515932" w:rsidP="00515932">
      <w:pPr>
        <w:numPr>
          <w:ilvl w:val="0"/>
          <w:numId w:val="7"/>
        </w:numPr>
        <w:rPr>
          <w:rFonts w:ascii="微软雅黑" w:eastAsia="微软雅黑" w:hAnsi="微软雅黑"/>
          <w:sz w:val="24"/>
          <w:szCs w:val="24"/>
        </w:rPr>
      </w:pPr>
      <w:r w:rsidRPr="00515932">
        <w:rPr>
          <w:rFonts w:ascii="微软雅黑" w:eastAsia="微软雅黑" w:hAnsi="微软雅黑" w:hint="eastAsia"/>
          <w:sz w:val="24"/>
          <w:szCs w:val="24"/>
        </w:rPr>
        <w:lastRenderedPageBreak/>
        <w:t>滞期费或空舱费谁来承担？买卖合同中是否需要约定装卸率？</w:t>
      </w:r>
    </w:p>
    <w:p w14:paraId="6F0F7A75" w14:textId="77777777" w:rsidR="00515932" w:rsidRPr="00515932" w:rsidRDefault="00515932" w:rsidP="00515932">
      <w:pPr>
        <w:numPr>
          <w:ilvl w:val="0"/>
          <w:numId w:val="7"/>
        </w:numPr>
        <w:rPr>
          <w:rFonts w:ascii="微软雅黑" w:eastAsia="微软雅黑" w:hAnsi="微软雅黑"/>
          <w:sz w:val="24"/>
          <w:szCs w:val="24"/>
        </w:rPr>
      </w:pPr>
      <w:r w:rsidRPr="00515932">
        <w:rPr>
          <w:rFonts w:ascii="微软雅黑" w:eastAsia="微软雅黑" w:hAnsi="微软雅黑" w:hint="eastAsia"/>
          <w:sz w:val="24"/>
          <w:szCs w:val="24"/>
        </w:rPr>
        <w:t>如何选择合适的国际货运险</w:t>
      </w:r>
      <w:proofErr w:type="gramStart"/>
      <w:r w:rsidRPr="00515932">
        <w:rPr>
          <w:rFonts w:ascii="微软雅黑" w:eastAsia="微软雅黑" w:hAnsi="微软雅黑" w:hint="eastAsia"/>
          <w:sz w:val="24"/>
          <w:szCs w:val="24"/>
        </w:rPr>
        <w:t>险</w:t>
      </w:r>
      <w:proofErr w:type="gramEnd"/>
      <w:r w:rsidRPr="00515932">
        <w:rPr>
          <w:rFonts w:ascii="微软雅黑" w:eastAsia="微软雅黑" w:hAnsi="微软雅黑" w:hint="eastAsia"/>
          <w:sz w:val="24"/>
          <w:szCs w:val="24"/>
        </w:rPr>
        <w:t>别及计算保险费</w:t>
      </w:r>
    </w:p>
    <w:p w14:paraId="3FD9BAF0" w14:textId="77777777" w:rsidR="00515932" w:rsidRPr="00515932" w:rsidRDefault="00515932" w:rsidP="00515932">
      <w:pPr>
        <w:numPr>
          <w:ilvl w:val="0"/>
          <w:numId w:val="7"/>
        </w:numPr>
        <w:rPr>
          <w:rFonts w:ascii="微软雅黑" w:eastAsia="微软雅黑" w:hAnsi="微软雅黑"/>
          <w:sz w:val="24"/>
          <w:szCs w:val="24"/>
        </w:rPr>
      </w:pPr>
      <w:r w:rsidRPr="00515932">
        <w:rPr>
          <w:rFonts w:ascii="微软雅黑" w:eastAsia="微软雅黑" w:hAnsi="微软雅黑" w:hint="eastAsia"/>
          <w:sz w:val="24"/>
          <w:szCs w:val="24"/>
        </w:rPr>
        <w:t>保险条款相关的案例分析</w:t>
      </w:r>
    </w:p>
    <w:p w14:paraId="1EE55A56" w14:textId="77777777" w:rsidR="00515932" w:rsidRPr="00515932" w:rsidRDefault="00515932" w:rsidP="00515932">
      <w:pPr>
        <w:numPr>
          <w:ilvl w:val="0"/>
          <w:numId w:val="7"/>
        </w:numPr>
        <w:rPr>
          <w:rFonts w:ascii="微软雅黑" w:eastAsia="微软雅黑" w:hAnsi="微软雅黑"/>
          <w:sz w:val="24"/>
          <w:szCs w:val="24"/>
        </w:rPr>
      </w:pPr>
      <w:r w:rsidRPr="00515932">
        <w:rPr>
          <w:rFonts w:ascii="微软雅黑" w:eastAsia="微软雅黑" w:hAnsi="微软雅黑" w:hint="eastAsia"/>
          <w:sz w:val="24"/>
          <w:szCs w:val="24"/>
        </w:rPr>
        <w:t>CIF 和 CIP 合同中购买平安险平安吗？</w:t>
      </w:r>
    </w:p>
    <w:p w14:paraId="5FC76437" w14:textId="77777777" w:rsidR="00515932" w:rsidRPr="00515932" w:rsidRDefault="00515932" w:rsidP="00515932">
      <w:pPr>
        <w:numPr>
          <w:ilvl w:val="0"/>
          <w:numId w:val="7"/>
        </w:numPr>
        <w:rPr>
          <w:rFonts w:ascii="微软雅黑" w:eastAsia="微软雅黑" w:hAnsi="微软雅黑"/>
          <w:sz w:val="24"/>
          <w:szCs w:val="24"/>
        </w:rPr>
      </w:pPr>
      <w:r w:rsidRPr="00515932">
        <w:rPr>
          <w:rFonts w:ascii="微软雅黑" w:eastAsia="微软雅黑" w:hAnsi="微软雅黑" w:hint="eastAsia"/>
          <w:sz w:val="24"/>
          <w:szCs w:val="24"/>
        </w:rPr>
        <w:t>如何有效选择保险</w:t>
      </w:r>
      <w:proofErr w:type="gramStart"/>
      <w:r w:rsidRPr="00515932">
        <w:rPr>
          <w:rFonts w:ascii="微软雅黑" w:eastAsia="微软雅黑" w:hAnsi="微软雅黑" w:hint="eastAsia"/>
          <w:sz w:val="24"/>
          <w:szCs w:val="24"/>
        </w:rPr>
        <w:t>险</w:t>
      </w:r>
      <w:proofErr w:type="gramEnd"/>
      <w:r w:rsidRPr="00515932">
        <w:rPr>
          <w:rFonts w:ascii="微软雅黑" w:eastAsia="微软雅黑" w:hAnsi="微软雅黑" w:hint="eastAsia"/>
          <w:sz w:val="24"/>
          <w:szCs w:val="24"/>
        </w:rPr>
        <w:t>别？中国 C.I.C.与英国 I.C.C.险别差异？</w:t>
      </w:r>
    </w:p>
    <w:p w14:paraId="7F5C7D0D"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4.EXW\FCA\DAP\DAT\DDP 典型案例分析</w:t>
      </w:r>
    </w:p>
    <w:p w14:paraId="1A364B38" w14:textId="77777777" w:rsidR="00515932" w:rsidRPr="00515932" w:rsidRDefault="00515932" w:rsidP="00515932">
      <w:pPr>
        <w:numPr>
          <w:ilvl w:val="0"/>
          <w:numId w:val="8"/>
        </w:numPr>
        <w:rPr>
          <w:rFonts w:ascii="微软雅黑" w:eastAsia="微软雅黑" w:hAnsi="微软雅黑"/>
          <w:sz w:val="24"/>
          <w:szCs w:val="24"/>
        </w:rPr>
      </w:pPr>
      <w:r w:rsidRPr="00515932">
        <w:rPr>
          <w:rFonts w:ascii="微软雅黑" w:eastAsia="微软雅黑" w:hAnsi="微软雅黑" w:hint="eastAsia"/>
          <w:sz w:val="24"/>
          <w:szCs w:val="24"/>
        </w:rPr>
        <w:t>EXW 合同中卖方需要装货吗？卖方需要承担检验费吗？卖方需要负责出口清关吗？</w:t>
      </w:r>
    </w:p>
    <w:p w14:paraId="2FF0619C" w14:textId="77777777" w:rsidR="00515932" w:rsidRPr="00515932" w:rsidRDefault="00515932" w:rsidP="00515932">
      <w:pPr>
        <w:numPr>
          <w:ilvl w:val="0"/>
          <w:numId w:val="8"/>
        </w:numPr>
        <w:rPr>
          <w:rFonts w:ascii="微软雅黑" w:eastAsia="微软雅黑" w:hAnsi="微软雅黑"/>
          <w:sz w:val="24"/>
          <w:szCs w:val="24"/>
        </w:rPr>
      </w:pPr>
      <w:r w:rsidRPr="00515932">
        <w:rPr>
          <w:rFonts w:ascii="微软雅黑" w:eastAsia="微软雅黑" w:hAnsi="微软雅黑" w:hint="eastAsia"/>
          <w:sz w:val="24"/>
          <w:szCs w:val="24"/>
        </w:rPr>
        <w:t>出口企业采用</w:t>
      </w:r>
      <w:proofErr w:type="gramStart"/>
      <w:r w:rsidRPr="00515932">
        <w:rPr>
          <w:rFonts w:ascii="微软雅黑" w:eastAsia="微软雅黑" w:hAnsi="微软雅黑" w:hint="eastAsia"/>
          <w:sz w:val="24"/>
          <w:szCs w:val="24"/>
        </w:rPr>
        <w:t>“</w:t>
      </w:r>
      <w:proofErr w:type="gramEnd"/>
      <w:r w:rsidRPr="00515932">
        <w:rPr>
          <w:rFonts w:ascii="微软雅黑" w:eastAsia="微软雅黑" w:hAnsi="微软雅黑" w:hint="eastAsia"/>
          <w:sz w:val="24"/>
          <w:szCs w:val="24"/>
        </w:rPr>
        <w:t>FCA 工厂“价成交与使用 EXW 价格有何区别？</w:t>
      </w:r>
    </w:p>
    <w:p w14:paraId="33DD7557" w14:textId="77777777" w:rsidR="00515932" w:rsidRPr="00515932" w:rsidRDefault="00515932" w:rsidP="00515932">
      <w:pPr>
        <w:numPr>
          <w:ilvl w:val="0"/>
          <w:numId w:val="8"/>
        </w:numPr>
        <w:rPr>
          <w:rFonts w:ascii="微软雅黑" w:eastAsia="微软雅黑" w:hAnsi="微软雅黑"/>
          <w:sz w:val="24"/>
          <w:szCs w:val="24"/>
        </w:rPr>
      </w:pPr>
      <w:r w:rsidRPr="00515932">
        <w:rPr>
          <w:rFonts w:ascii="微软雅黑" w:eastAsia="微软雅黑" w:hAnsi="微软雅黑" w:hint="eastAsia"/>
          <w:sz w:val="24"/>
          <w:szCs w:val="24"/>
        </w:rPr>
        <w:t>海宁的出口企业为何更偏好使用</w:t>
      </w:r>
      <w:proofErr w:type="gramStart"/>
      <w:r w:rsidRPr="00515932">
        <w:rPr>
          <w:rFonts w:ascii="微软雅黑" w:eastAsia="微软雅黑" w:hAnsi="微软雅黑" w:hint="eastAsia"/>
          <w:sz w:val="24"/>
          <w:szCs w:val="24"/>
        </w:rPr>
        <w:t>“</w:t>
      </w:r>
      <w:proofErr w:type="gramEnd"/>
      <w:r w:rsidRPr="00515932">
        <w:rPr>
          <w:rFonts w:ascii="微软雅黑" w:eastAsia="微软雅黑" w:hAnsi="微软雅黑" w:hint="eastAsia"/>
          <w:sz w:val="24"/>
          <w:szCs w:val="24"/>
        </w:rPr>
        <w:t>FCA 海宁</w:t>
      </w:r>
      <w:proofErr w:type="gramStart"/>
      <w:r w:rsidRPr="00515932">
        <w:rPr>
          <w:rFonts w:ascii="微软雅黑" w:eastAsia="微软雅黑" w:hAnsi="微软雅黑" w:hint="eastAsia"/>
          <w:sz w:val="24"/>
          <w:szCs w:val="24"/>
        </w:rPr>
        <w:t>“</w:t>
      </w:r>
      <w:proofErr w:type="gramEnd"/>
      <w:r w:rsidRPr="00515932">
        <w:rPr>
          <w:rFonts w:ascii="微软雅黑" w:eastAsia="微软雅黑" w:hAnsi="微软雅黑" w:hint="eastAsia"/>
          <w:sz w:val="24"/>
          <w:szCs w:val="24"/>
        </w:rPr>
        <w:t>价？相比“FOB 上海”优势何在？</w:t>
      </w:r>
    </w:p>
    <w:p w14:paraId="51EB5203" w14:textId="77777777" w:rsidR="00515932" w:rsidRPr="00515932" w:rsidRDefault="00515932" w:rsidP="00515932">
      <w:pPr>
        <w:numPr>
          <w:ilvl w:val="0"/>
          <w:numId w:val="8"/>
        </w:numPr>
        <w:rPr>
          <w:rFonts w:ascii="微软雅黑" w:eastAsia="微软雅黑" w:hAnsi="微软雅黑"/>
          <w:sz w:val="24"/>
          <w:szCs w:val="24"/>
        </w:rPr>
      </w:pPr>
      <w:r w:rsidRPr="00515932">
        <w:rPr>
          <w:rFonts w:ascii="微软雅黑" w:eastAsia="微软雅黑" w:hAnsi="微软雅黑" w:hint="eastAsia"/>
          <w:sz w:val="24"/>
          <w:szCs w:val="24"/>
        </w:rPr>
        <w:t>DAP\DAT\DDP 有何区别？</w:t>
      </w:r>
    </w:p>
    <w:p w14:paraId="4BB61AE6" w14:textId="77777777" w:rsidR="00515932" w:rsidRPr="00515932" w:rsidRDefault="00515932" w:rsidP="00515932">
      <w:pPr>
        <w:rPr>
          <w:rFonts w:ascii="微软雅黑" w:eastAsia="微软雅黑" w:hAnsi="微软雅黑"/>
          <w:b/>
          <w:bCs/>
          <w:color w:val="FF0000"/>
          <w:sz w:val="24"/>
          <w:szCs w:val="24"/>
        </w:rPr>
      </w:pPr>
      <w:r w:rsidRPr="00515932">
        <w:rPr>
          <w:rFonts w:ascii="微软雅黑" w:eastAsia="微软雅黑" w:hAnsi="微软雅黑" w:hint="eastAsia"/>
          <w:b/>
          <w:bCs/>
          <w:color w:val="FF0000"/>
          <w:sz w:val="24"/>
          <w:szCs w:val="24"/>
        </w:rPr>
        <w:t>三、INCOTERMS ® 2020 的有效使用、运输及风险防控</w:t>
      </w:r>
    </w:p>
    <w:p w14:paraId="2432D348"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INCOTERMS ®2020 是否自动适用？</w:t>
      </w:r>
    </w:p>
    <w:p w14:paraId="4CE02FF2"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在贸易实践中，选用贸易术语要综合考虑哪些因素？</w:t>
      </w:r>
    </w:p>
    <w:p w14:paraId="4F9C38FF"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FOB/CFR/CIF 用于空运、集装箱运输妥当吗？</w:t>
      </w:r>
    </w:p>
    <w:p w14:paraId="37435F8F"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CFR/CIF/CPT/CIP 合同中，需要约定交货地点吗？</w:t>
      </w:r>
    </w:p>
    <w:p w14:paraId="2EB5D162"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INCOTERMS ® 2020 可以解决 THC 的问题吗?</w:t>
      </w:r>
    </w:p>
    <w:p w14:paraId="102E6DAD"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为何贸易术语后面指定的地点或港口越精确越奏效 ？</w:t>
      </w:r>
    </w:p>
    <w:p w14:paraId="60324DDA" w14:textId="77777777" w:rsidR="00515932" w:rsidRPr="00515932" w:rsidRDefault="00515932" w:rsidP="00515932">
      <w:pPr>
        <w:rPr>
          <w:rFonts w:ascii="微软雅黑" w:eastAsia="微软雅黑" w:hAnsi="微软雅黑"/>
          <w:b/>
          <w:bCs/>
          <w:color w:val="FF0000"/>
          <w:sz w:val="24"/>
          <w:szCs w:val="24"/>
        </w:rPr>
      </w:pPr>
      <w:r w:rsidRPr="00515932">
        <w:rPr>
          <w:rFonts w:ascii="微软雅黑" w:eastAsia="微软雅黑" w:hAnsi="微软雅黑" w:hint="eastAsia"/>
          <w:b/>
          <w:bCs/>
          <w:color w:val="FF0000"/>
          <w:sz w:val="24"/>
          <w:szCs w:val="24"/>
        </w:rPr>
        <w:t>四、国际结算及单据制作应用</w:t>
      </w:r>
    </w:p>
    <w:p w14:paraId="04E19365"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（一）国际贸易货款结算方式的选择</w:t>
      </w:r>
    </w:p>
    <w:p w14:paraId="5CE02C15"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1. 货款支付条款的风险源（付款时间、结算方式）</w:t>
      </w:r>
    </w:p>
    <w:p w14:paraId="1F0809C8"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汇付：T/T、D/D、M/T ；托收：D/P、D/A；信用证 L/C</w:t>
      </w:r>
    </w:p>
    <w:p w14:paraId="126C0391"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2.买方市场背景</w:t>
      </w:r>
      <w:proofErr w:type="gramStart"/>
      <w:r w:rsidRPr="00515932">
        <w:rPr>
          <w:rFonts w:ascii="微软雅黑" w:eastAsia="微软雅黑" w:hAnsi="微软雅黑" w:hint="eastAsia"/>
          <w:sz w:val="24"/>
          <w:szCs w:val="24"/>
        </w:rPr>
        <w:t>下贸易</w:t>
      </w:r>
      <w:proofErr w:type="gramEnd"/>
      <w:r w:rsidRPr="00515932">
        <w:rPr>
          <w:rFonts w:ascii="微软雅黑" w:eastAsia="微软雅黑" w:hAnsi="微软雅黑" w:hint="eastAsia"/>
          <w:sz w:val="24"/>
          <w:szCs w:val="24"/>
        </w:rPr>
        <w:t>融资及新型国际结算方式的使用</w:t>
      </w:r>
    </w:p>
    <w:p w14:paraId="54D19735"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银行保函\备用信用证\</w:t>
      </w:r>
      <w:proofErr w:type="gramStart"/>
      <w:r w:rsidRPr="00515932">
        <w:rPr>
          <w:rFonts w:ascii="微软雅黑" w:eastAsia="微软雅黑" w:hAnsi="微软雅黑" w:hint="eastAsia"/>
          <w:sz w:val="24"/>
          <w:szCs w:val="24"/>
        </w:rPr>
        <w:t>保理</w:t>
      </w:r>
      <w:proofErr w:type="gramEnd"/>
      <w:r w:rsidRPr="00515932">
        <w:rPr>
          <w:rFonts w:ascii="微软雅黑" w:eastAsia="微软雅黑" w:hAnsi="微软雅黑" w:hint="eastAsia"/>
          <w:sz w:val="24"/>
          <w:szCs w:val="24"/>
        </w:rPr>
        <w:t>\福费庭</w:t>
      </w:r>
    </w:p>
    <w:p w14:paraId="07A2BBAD"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（二）信用证相关国际惯例 UCP600、ISBP 主要条款解析及制单实例</w:t>
      </w:r>
    </w:p>
    <w:p w14:paraId="09069326"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1．UCP600 与 ISBP 对于出口单据的要求</w:t>
      </w:r>
    </w:p>
    <w:p w14:paraId="5C47CE3A"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lastRenderedPageBreak/>
        <w:t>2.当前形势下开证行的拒付及拒付后单据的处理办法</w:t>
      </w:r>
    </w:p>
    <w:p w14:paraId="49BF7477"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企业如何处理开证行的无理拒付并取回信用证款项及延付利息？</w:t>
      </w:r>
    </w:p>
    <w:p w14:paraId="50E3DA90"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如何保障申请人的利益（进口货存在重大质量问题, 单据无不符点）?</w:t>
      </w:r>
    </w:p>
    <w:p w14:paraId="50449E47"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转让信用证业务中，若第二受益人的单据完全符合转让信用证但却违反主信用证, 开证行</w:t>
      </w:r>
    </w:p>
    <w:p w14:paraId="7378ED12"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会否承担付款责任? 如何正确处理第二受益人的单据若第一受益人拒绝换单?</w:t>
      </w:r>
    </w:p>
    <w:p w14:paraId="012BBF3C"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卖方虽持有全套正本提单，但货物为何被买方在未付款前提走？</w:t>
      </w:r>
    </w:p>
    <w:p w14:paraId="0653FF4C"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3. 经典信用证制单案例分析</w:t>
      </w:r>
    </w:p>
    <w:p w14:paraId="5F75B750"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国际贸易结算主要单据：汇票、发票、提单、保险单</w:t>
      </w:r>
    </w:p>
    <w:p w14:paraId="42065FF2"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 xml:space="preserve">信用证业务项下审证、制单和审单实例操作演示 </w:t>
      </w:r>
    </w:p>
    <w:p w14:paraId="099BA660" w14:textId="77777777" w:rsidR="00515932" w:rsidRPr="00515932" w:rsidRDefault="00515932" w:rsidP="00515932">
      <w:pPr>
        <w:rPr>
          <w:rFonts w:ascii="微软雅黑" w:eastAsia="微软雅黑" w:hAnsi="微软雅黑"/>
          <w:b/>
          <w:bCs/>
          <w:color w:val="FF0000"/>
          <w:sz w:val="24"/>
          <w:szCs w:val="24"/>
        </w:rPr>
      </w:pPr>
      <w:r w:rsidRPr="00515932">
        <w:rPr>
          <w:rFonts w:ascii="微软雅黑" w:eastAsia="微软雅黑" w:hAnsi="微软雅黑" w:hint="eastAsia"/>
          <w:b/>
          <w:bCs/>
          <w:color w:val="FF0000"/>
          <w:sz w:val="24"/>
          <w:szCs w:val="24"/>
        </w:rPr>
        <w:t>五、海关监管、稽查及通关流程</w:t>
      </w:r>
    </w:p>
    <w:p w14:paraId="334A7416"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1．国际贸易合同履行与通关流程</w:t>
      </w:r>
    </w:p>
    <w:p w14:paraId="4A544735"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国际贸易合同履行的主要环节风险防范</w:t>
      </w:r>
    </w:p>
    <w:p w14:paraId="1E3CA694"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国际贸易通关流程及相关要求</w:t>
      </w:r>
    </w:p>
    <w:p w14:paraId="17CF4BF1"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2．海关监管、进出口合</w:t>
      </w:r>
      <w:proofErr w:type="gramStart"/>
      <w:r w:rsidRPr="00515932">
        <w:rPr>
          <w:rFonts w:ascii="微软雅黑" w:eastAsia="微软雅黑" w:hAnsi="微软雅黑" w:hint="eastAsia"/>
          <w:sz w:val="24"/>
          <w:szCs w:val="24"/>
        </w:rPr>
        <w:t>规</w:t>
      </w:r>
      <w:proofErr w:type="gramEnd"/>
      <w:r w:rsidRPr="00515932">
        <w:rPr>
          <w:rFonts w:ascii="微软雅黑" w:eastAsia="微软雅黑" w:hAnsi="微软雅黑" w:hint="eastAsia"/>
          <w:sz w:val="24"/>
          <w:szCs w:val="24"/>
        </w:rPr>
        <w:t>与贸易保护</w:t>
      </w:r>
    </w:p>
    <w:p w14:paraId="06A11DAB"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贸易术语与海关估价风险规避</w:t>
      </w:r>
    </w:p>
    <w:p w14:paraId="6DFBD6AD"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海关稽查应对与企业自查风险规避、税收优惠政策与监管重</w:t>
      </w:r>
    </w:p>
    <w:p w14:paraId="71679578"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报关</w:t>
      </w:r>
      <w:proofErr w:type="gramStart"/>
      <w:r w:rsidRPr="00515932">
        <w:rPr>
          <w:rFonts w:ascii="微软雅黑" w:eastAsia="微软雅黑" w:hAnsi="微软雅黑" w:hint="eastAsia"/>
          <w:sz w:val="24"/>
          <w:szCs w:val="24"/>
        </w:rPr>
        <w:t>单错误</w:t>
      </w:r>
      <w:proofErr w:type="gramEnd"/>
      <w:r w:rsidRPr="00515932">
        <w:rPr>
          <w:rFonts w:ascii="微软雅黑" w:eastAsia="微软雅黑" w:hAnsi="微软雅黑" w:hint="eastAsia"/>
          <w:sz w:val="24"/>
          <w:szCs w:val="24"/>
        </w:rPr>
        <w:t>的规避方法和处理方式</w:t>
      </w:r>
    </w:p>
    <w:p w14:paraId="2DDE08B7" w14:textId="77777777" w:rsidR="00515932" w:rsidRPr="00515932" w:rsidRDefault="00515932" w:rsidP="00515932">
      <w:pPr>
        <w:rPr>
          <w:rFonts w:ascii="微软雅黑" w:eastAsia="微软雅黑" w:hAnsi="微软雅黑"/>
          <w:b/>
          <w:bCs/>
          <w:color w:val="FF0000"/>
          <w:sz w:val="24"/>
          <w:szCs w:val="24"/>
        </w:rPr>
      </w:pPr>
      <w:r w:rsidRPr="00515932">
        <w:rPr>
          <w:rFonts w:ascii="微软雅黑" w:eastAsia="微软雅黑" w:hAnsi="微软雅黑" w:hint="eastAsia"/>
          <w:b/>
          <w:bCs/>
          <w:color w:val="FF0000"/>
          <w:sz w:val="24"/>
          <w:szCs w:val="24"/>
        </w:rPr>
        <w:t>六、《区域全面经济伙伴关系协定》（RCEP）深度解读</w:t>
      </w:r>
      <w:proofErr w:type="gramStart"/>
      <w:r w:rsidRPr="00515932">
        <w:rPr>
          <w:rFonts w:ascii="微软雅黑" w:eastAsia="微软雅黑" w:hAnsi="微软雅黑" w:hint="eastAsia"/>
          <w:b/>
          <w:bCs/>
          <w:color w:val="FF0000"/>
          <w:sz w:val="24"/>
          <w:szCs w:val="24"/>
        </w:rPr>
        <w:t>与享惠通关</w:t>
      </w:r>
      <w:proofErr w:type="gramEnd"/>
      <w:r w:rsidRPr="00515932">
        <w:rPr>
          <w:rFonts w:ascii="微软雅黑" w:eastAsia="微软雅黑" w:hAnsi="微软雅黑" w:hint="eastAsia"/>
          <w:b/>
          <w:bCs/>
          <w:color w:val="FF0000"/>
          <w:sz w:val="24"/>
          <w:szCs w:val="24"/>
        </w:rPr>
        <w:t>实务</w:t>
      </w:r>
    </w:p>
    <w:p w14:paraId="3A013284"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1.RCEP的特点和重要意义</w:t>
      </w:r>
    </w:p>
    <w:p w14:paraId="5AFBCA38"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全面、现代、高质量、互惠</w:t>
      </w:r>
    </w:p>
    <w:p w14:paraId="08899F23"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人口最多、经贸规模最大、最具发展潜力</w:t>
      </w:r>
    </w:p>
    <w:p w14:paraId="22AABE8F"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构建新发展格局的重要平台</w:t>
      </w:r>
    </w:p>
    <w:p w14:paraId="0B5D3A4F"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拓展国际合作空间的重要抓手</w:t>
      </w:r>
    </w:p>
    <w:p w14:paraId="1292B1AF"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2. RCEP的主要框架和主要内容</w:t>
      </w:r>
    </w:p>
    <w:p w14:paraId="20B736E8"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序言+20个章节+4个附件</w:t>
      </w:r>
    </w:p>
    <w:p w14:paraId="2FC21BD4"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lastRenderedPageBreak/>
        <w:t>货物贸易、原产地累积规则、服务贸易、投资、贸易便利化领域、知识产权领域、电子商务领域、其他规则议题领域、合作</w:t>
      </w:r>
    </w:p>
    <w:p w14:paraId="44B25AAC"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3.RCEP原产地规则详解</w:t>
      </w:r>
      <w:proofErr w:type="gramStart"/>
      <w:r w:rsidRPr="00515932">
        <w:rPr>
          <w:rFonts w:ascii="微软雅黑" w:eastAsia="微软雅黑" w:hAnsi="微软雅黑" w:hint="eastAsia"/>
          <w:sz w:val="24"/>
          <w:szCs w:val="24"/>
        </w:rPr>
        <w:t>与享惠通关</w:t>
      </w:r>
      <w:proofErr w:type="gramEnd"/>
      <w:r w:rsidRPr="00515932">
        <w:rPr>
          <w:rFonts w:ascii="微软雅黑" w:eastAsia="微软雅黑" w:hAnsi="微软雅黑" w:hint="eastAsia"/>
          <w:sz w:val="24"/>
          <w:szCs w:val="24"/>
        </w:rPr>
        <w:t>实务</w:t>
      </w:r>
    </w:p>
    <w:p w14:paraId="094D5D57"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区域原产地累积规则案例分析</w:t>
      </w:r>
    </w:p>
    <w:p w14:paraId="780298CF"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RCEP原产地累积规则带来的四大效应</w:t>
      </w:r>
    </w:p>
    <w:p w14:paraId="16AD44F9"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5、“双循环”经济发展新格局政策解读、外贸新</w:t>
      </w:r>
      <w:proofErr w:type="gramStart"/>
      <w:r w:rsidRPr="00515932">
        <w:rPr>
          <w:rFonts w:ascii="微软雅黑" w:eastAsia="微软雅黑" w:hAnsi="微软雅黑" w:hint="eastAsia"/>
          <w:sz w:val="24"/>
          <w:szCs w:val="24"/>
        </w:rPr>
        <w:t>业态新模式</w:t>
      </w:r>
      <w:proofErr w:type="gramEnd"/>
      <w:r w:rsidRPr="00515932">
        <w:rPr>
          <w:rFonts w:ascii="微软雅黑" w:eastAsia="微软雅黑" w:hAnsi="微软雅黑" w:hint="eastAsia"/>
          <w:sz w:val="24"/>
          <w:szCs w:val="24"/>
        </w:rPr>
        <w:t>及业务实操</w:t>
      </w:r>
    </w:p>
    <w:p w14:paraId="103BBD08"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1. 经济全球化与开放型经济发展战略</w:t>
      </w:r>
    </w:p>
    <w:p w14:paraId="5ECF94B3"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2. 不确定性与中国经济发展战略调整</w:t>
      </w:r>
    </w:p>
    <w:p w14:paraId="5C888B17"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3. 国际国内双循环的具体政策与自贸区和RCEP</w:t>
      </w:r>
    </w:p>
    <w:p w14:paraId="7D4CD90E"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4.自贸区提升战略、外贸新</w:t>
      </w:r>
      <w:proofErr w:type="gramStart"/>
      <w:r w:rsidRPr="00515932">
        <w:rPr>
          <w:rFonts w:ascii="微软雅黑" w:eastAsia="微软雅黑" w:hAnsi="微软雅黑" w:hint="eastAsia"/>
          <w:sz w:val="24"/>
          <w:szCs w:val="24"/>
        </w:rPr>
        <w:t>业态新模式</w:t>
      </w:r>
      <w:proofErr w:type="gramEnd"/>
      <w:r w:rsidRPr="00515932">
        <w:rPr>
          <w:rFonts w:ascii="微软雅黑" w:eastAsia="微软雅黑" w:hAnsi="微软雅黑" w:hint="eastAsia"/>
          <w:sz w:val="24"/>
          <w:szCs w:val="24"/>
        </w:rPr>
        <w:t>与外贸企业转型升级</w:t>
      </w:r>
    </w:p>
    <w:p w14:paraId="082FD6EA"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贸易管制及发展趋势</w:t>
      </w:r>
    </w:p>
    <w:p w14:paraId="2E5486FB"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自贸区提升战略，立足“扩围”“提质”“增效”，实现全方位提升</w:t>
      </w:r>
    </w:p>
    <w:p w14:paraId="7BCB18F5"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贸易合</w:t>
      </w:r>
      <w:proofErr w:type="gramStart"/>
      <w:r w:rsidRPr="00515932">
        <w:rPr>
          <w:rFonts w:ascii="微软雅黑" w:eastAsia="微软雅黑" w:hAnsi="微软雅黑" w:hint="eastAsia"/>
          <w:sz w:val="24"/>
          <w:szCs w:val="24"/>
        </w:rPr>
        <w:t>规</w:t>
      </w:r>
      <w:proofErr w:type="gramEnd"/>
      <w:r w:rsidRPr="00515932">
        <w:rPr>
          <w:rFonts w:ascii="微软雅黑" w:eastAsia="微软雅黑" w:hAnsi="微软雅黑" w:hint="eastAsia"/>
          <w:sz w:val="24"/>
          <w:szCs w:val="24"/>
        </w:rPr>
        <w:t>管理与自贸区贸易模式升级及操作详解</w:t>
      </w:r>
    </w:p>
    <w:p w14:paraId="39895DAC" w14:textId="77777777" w:rsidR="00515932" w:rsidRPr="00515932" w:rsidRDefault="00515932" w:rsidP="00515932">
      <w:pPr>
        <w:numPr>
          <w:ilvl w:val="0"/>
          <w:numId w:val="9"/>
        </w:numPr>
        <w:rPr>
          <w:rFonts w:ascii="微软雅黑" w:eastAsia="微软雅黑" w:hAnsi="微软雅黑"/>
          <w:sz w:val="24"/>
          <w:szCs w:val="24"/>
        </w:rPr>
      </w:pPr>
      <w:r w:rsidRPr="00515932">
        <w:rPr>
          <w:rFonts w:ascii="微软雅黑" w:eastAsia="微软雅黑" w:hAnsi="微软雅黑" w:hint="eastAsia"/>
          <w:sz w:val="24"/>
          <w:szCs w:val="24"/>
        </w:rPr>
        <w:t>外贸新</w:t>
      </w:r>
      <w:proofErr w:type="gramStart"/>
      <w:r w:rsidRPr="00515932">
        <w:rPr>
          <w:rFonts w:ascii="微软雅黑" w:eastAsia="微软雅黑" w:hAnsi="微软雅黑" w:hint="eastAsia"/>
          <w:sz w:val="24"/>
          <w:szCs w:val="24"/>
        </w:rPr>
        <w:t>业态新模式</w:t>
      </w:r>
      <w:proofErr w:type="gramEnd"/>
      <w:r w:rsidRPr="00515932">
        <w:rPr>
          <w:rFonts w:ascii="微软雅黑" w:eastAsia="微软雅黑" w:hAnsi="微软雅黑" w:hint="eastAsia"/>
          <w:sz w:val="24"/>
          <w:szCs w:val="24"/>
        </w:rPr>
        <w:t>与外贸企业转型升级</w:t>
      </w:r>
    </w:p>
    <w:p w14:paraId="65DB7443" w14:textId="4D2E43CA" w:rsidR="00515932" w:rsidRPr="00515932" w:rsidRDefault="00515932" w:rsidP="00515932">
      <w:pPr>
        <w:rPr>
          <w:rFonts w:ascii="微软雅黑" w:eastAsia="微软雅黑" w:hAnsi="微软雅黑"/>
          <w:b/>
          <w:bCs/>
          <w:color w:val="FF0000"/>
          <w:sz w:val="24"/>
          <w:szCs w:val="24"/>
        </w:rPr>
      </w:pPr>
      <w:r w:rsidRPr="00515932">
        <w:rPr>
          <w:rFonts w:ascii="微软雅黑" w:eastAsia="微软雅黑" w:hAnsi="微软雅黑" w:hint="eastAsia"/>
          <w:b/>
          <w:bCs/>
          <w:color w:val="FF0000"/>
          <w:sz w:val="24"/>
          <w:szCs w:val="24"/>
        </w:rPr>
        <w:t>七、交流提问</w:t>
      </w:r>
    </w:p>
    <w:p w14:paraId="38F7FDDC" w14:textId="5B4738C0" w:rsidR="00B64F67" w:rsidRPr="00457ACD" w:rsidRDefault="00515932" w:rsidP="001301D8">
      <w:pPr>
        <w:spacing w:line="360" w:lineRule="auto"/>
        <w:jc w:val="left"/>
        <w:rPr>
          <w:rFonts w:ascii="微软雅黑" w:eastAsia="微软雅黑" w:hAnsi="微软雅黑" w:cs="Arial Unicode MS"/>
          <w:b/>
          <w:bCs/>
          <w:color w:val="008CB4"/>
          <w:kern w:val="0"/>
          <w:sz w:val="24"/>
          <w:szCs w:val="24"/>
          <w:u w:color="008CB4"/>
          <w:bdr w:val="nil"/>
          <w:lang w:val="zh-TW" w:eastAsia="zh-TW"/>
          <w14:textOutline w14:w="12700" w14:cap="flat" w14:cmpd="sng" w14:algn="ctr">
            <w14:noFill/>
            <w14:prstDash w14:val="solid"/>
            <w14:miter w14:lim="400000"/>
          </w14:textOutline>
        </w:rPr>
      </w:pPr>
      <w:r w:rsidRPr="00515932">
        <w:rPr>
          <w:rFonts w:ascii="微软雅黑" w:eastAsia="微软雅黑" w:hAnsi="微软雅黑"/>
          <w:noProof/>
          <w:sz w:val="24"/>
          <w:szCs w:val="24"/>
        </w:rPr>
        <w:drawing>
          <wp:anchor distT="0" distB="0" distL="0" distR="0" simplePos="0" relativeHeight="251661824" behindDoc="1" locked="0" layoutInCell="1" allowOverlap="1" wp14:anchorId="6FEFAE29" wp14:editId="36BF6045">
            <wp:simplePos x="0" y="0"/>
            <wp:positionH relativeFrom="column">
              <wp:posOffset>5997990</wp:posOffset>
            </wp:positionH>
            <wp:positionV relativeFrom="paragraph">
              <wp:posOffset>155439</wp:posOffset>
            </wp:positionV>
            <wp:extent cx="1085850" cy="1548765"/>
            <wp:effectExtent l="0" t="0" r="0" b="0"/>
            <wp:wrapSquare wrapText="bothSides"/>
            <wp:docPr id="13" name="图片 1" descr="C:\Users\lenovo\AppData\Local\Temp\WeChat Files\febbb2ba8630b85d1d7a2a52d403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C:\Users\lenovo\AppData\Local\Temp\WeChat Files\febbb2ba8630b85d1d7a2a52d40326b.jpg"/>
                    <pic:cNvPicPr>
                      <a:picLocks noChangeAspect="1" noChangeArrowheads="1"/>
                    </pic:cNvPicPr>
                  </pic:nvPicPr>
                  <pic:blipFill>
                    <a:blip r:embed="rId9" cstate="print"/>
                    <a:srcRect/>
                    <a:stretch>
                      <a:fillRect/>
                    </a:stretch>
                  </pic:blipFill>
                  <pic:spPr>
                    <a:xfrm>
                      <a:off x="0" y="0"/>
                      <a:ext cx="1085850" cy="1548765"/>
                    </a:xfrm>
                    <a:prstGeom prst="rect">
                      <a:avLst/>
                    </a:prstGeom>
                    <a:noFill/>
                    <a:ln w="9525">
                      <a:noFill/>
                      <a:miter lim="800000"/>
                      <a:headEnd/>
                      <a:tailEnd/>
                    </a:ln>
                  </pic:spPr>
                </pic:pic>
              </a:graphicData>
            </a:graphic>
          </wp:anchor>
        </w:drawing>
      </w:r>
      <w:r w:rsidR="001301D8"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【讲师介绍】</w:t>
      </w:r>
      <w:r>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沈克华</w:t>
      </w:r>
    </w:p>
    <w:p w14:paraId="03DA0E1C" w14:textId="6269EDB2" w:rsidR="00515932" w:rsidRPr="00515932" w:rsidRDefault="00515932" w:rsidP="00515932">
      <w:pPr>
        <w:spacing w:line="380" w:lineRule="exact"/>
        <w:rPr>
          <w:rFonts w:ascii="微软雅黑" w:eastAsia="微软雅黑" w:hAnsi="微软雅黑" w:cs="宋体"/>
          <w:color w:val="000000"/>
          <w:kern w:val="0"/>
          <w:sz w:val="24"/>
          <w:szCs w:val="24"/>
        </w:rPr>
      </w:pPr>
      <w:r w:rsidRPr="00515932">
        <w:rPr>
          <w:rFonts w:ascii="微软雅黑" w:eastAsia="微软雅黑" w:hAnsi="微软雅黑" w:cs="宋体" w:hint="eastAsia"/>
          <w:color w:val="000000"/>
          <w:kern w:val="0"/>
          <w:sz w:val="24"/>
          <w:szCs w:val="24"/>
        </w:rPr>
        <w:t>上海对外经贸大学副教授，博士。长期专注对国际贸易相关惯例</w:t>
      </w:r>
    </w:p>
    <w:p w14:paraId="5F5BF55A" w14:textId="6AA2C1BD" w:rsidR="00515932" w:rsidRPr="00515932" w:rsidRDefault="00515932" w:rsidP="00515932">
      <w:pPr>
        <w:spacing w:line="380" w:lineRule="exact"/>
        <w:rPr>
          <w:rFonts w:ascii="微软雅黑" w:eastAsia="微软雅黑" w:hAnsi="微软雅黑" w:cs="宋体"/>
          <w:color w:val="000000"/>
          <w:kern w:val="0"/>
          <w:sz w:val="24"/>
          <w:szCs w:val="24"/>
        </w:rPr>
      </w:pPr>
      <w:r w:rsidRPr="00515932">
        <w:rPr>
          <w:rFonts w:ascii="微软雅黑" w:eastAsia="微软雅黑" w:hAnsi="微软雅黑" w:cs="宋体" w:hint="eastAsia"/>
          <w:color w:val="000000"/>
          <w:kern w:val="0"/>
          <w:sz w:val="24"/>
          <w:szCs w:val="24"/>
        </w:rPr>
        <w:t>INCOTERMS2010、UCP600、URC522 以及国际贸易相关法律、公约的研究。进入高校之</w:t>
      </w:r>
    </w:p>
    <w:p w14:paraId="27A5E03A" w14:textId="5C93D09C" w:rsidR="00515932" w:rsidRPr="00515932" w:rsidRDefault="00515932" w:rsidP="00515932">
      <w:pPr>
        <w:spacing w:line="380" w:lineRule="exact"/>
        <w:rPr>
          <w:rFonts w:ascii="微软雅黑" w:eastAsia="微软雅黑" w:hAnsi="微软雅黑" w:cs="宋体"/>
          <w:color w:val="000000"/>
          <w:kern w:val="0"/>
          <w:sz w:val="24"/>
          <w:szCs w:val="24"/>
        </w:rPr>
      </w:pPr>
      <w:r w:rsidRPr="00515932">
        <w:rPr>
          <w:rFonts w:ascii="微软雅黑" w:eastAsia="微软雅黑" w:hAnsi="微软雅黑" w:cs="宋体" w:hint="eastAsia"/>
          <w:color w:val="000000"/>
          <w:kern w:val="0"/>
          <w:sz w:val="24"/>
          <w:szCs w:val="24"/>
        </w:rPr>
        <w:t>前从事国际贸易业务工作，进入高校后长期为企业进行国际贸易业务相关培训，常年为中</w:t>
      </w:r>
      <w:r>
        <w:rPr>
          <w:rFonts w:ascii="微软雅黑" w:eastAsia="微软雅黑" w:hAnsi="微软雅黑" w:cs="宋体" w:hint="eastAsia"/>
          <w:color w:val="000000"/>
          <w:kern w:val="0"/>
          <w:sz w:val="24"/>
          <w:szCs w:val="24"/>
        </w:rPr>
        <w:t>国</w:t>
      </w:r>
      <w:r w:rsidRPr="00515932">
        <w:rPr>
          <w:rFonts w:ascii="微软雅黑" w:eastAsia="微软雅黑" w:hAnsi="微软雅黑" w:cs="宋体" w:hint="eastAsia"/>
          <w:color w:val="000000"/>
          <w:kern w:val="0"/>
          <w:sz w:val="24"/>
          <w:szCs w:val="24"/>
        </w:rPr>
        <w:t>电信集团、五矿集团、宝钢集团、兰生集团（现东</w:t>
      </w:r>
      <w:proofErr w:type="gramStart"/>
      <w:r w:rsidRPr="00515932">
        <w:rPr>
          <w:rFonts w:ascii="微软雅黑" w:eastAsia="微软雅黑" w:hAnsi="微软雅黑" w:cs="宋体" w:hint="eastAsia"/>
          <w:color w:val="000000"/>
          <w:kern w:val="0"/>
          <w:sz w:val="24"/>
          <w:szCs w:val="24"/>
        </w:rPr>
        <w:t>浩</w:t>
      </w:r>
      <w:proofErr w:type="gramEnd"/>
      <w:r w:rsidRPr="00515932">
        <w:rPr>
          <w:rFonts w:ascii="微软雅黑" w:eastAsia="微软雅黑" w:hAnsi="微软雅黑" w:cs="宋体" w:hint="eastAsia"/>
          <w:color w:val="000000"/>
          <w:kern w:val="0"/>
          <w:sz w:val="24"/>
          <w:szCs w:val="24"/>
        </w:rPr>
        <w:t>兰生集团）、上海氯碱化工集团、上海</w:t>
      </w:r>
      <w:proofErr w:type="gramStart"/>
      <w:r w:rsidRPr="00515932">
        <w:rPr>
          <w:rFonts w:ascii="微软雅黑" w:eastAsia="微软雅黑" w:hAnsi="微软雅黑" w:cs="宋体" w:hint="eastAsia"/>
          <w:color w:val="000000"/>
          <w:kern w:val="0"/>
          <w:sz w:val="24"/>
          <w:szCs w:val="24"/>
        </w:rPr>
        <w:t>振华重工</w:t>
      </w:r>
      <w:proofErr w:type="gramEnd"/>
      <w:r w:rsidRPr="00515932">
        <w:rPr>
          <w:rFonts w:ascii="微软雅黑" w:eastAsia="微软雅黑" w:hAnsi="微软雅黑" w:cs="宋体" w:hint="eastAsia"/>
          <w:color w:val="000000"/>
          <w:kern w:val="0"/>
          <w:sz w:val="24"/>
          <w:szCs w:val="24"/>
        </w:rPr>
        <w:t>等公司进行有关贸易术语、信用证及进出口业务风险防范等业务方面的培训。授课模式以案例分析见长，培训效果深受学员和培训机构单位的好评！</w:t>
      </w:r>
    </w:p>
    <w:p w14:paraId="2197E18C" w14:textId="6F718E3F"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主要培训经历：</w:t>
      </w:r>
    </w:p>
    <w:p w14:paraId="5AB46E7B" w14:textId="438A6F42"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 xml:space="preserve"> 国际贸易报价与 INCOTERMS 2010 ：上海兰生集团（现上海东浩兰生集团），上</w:t>
      </w:r>
    </w:p>
    <w:p w14:paraId="56FF4E7B" w14:textId="09A1341E"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海电气集团</w:t>
      </w:r>
    </w:p>
    <w:p w14:paraId="1B72B0CF" w14:textId="07CBA5EC"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 xml:space="preserve"> L/C 业务与 UCP600 ：上海振华重工集团</w:t>
      </w:r>
    </w:p>
    <w:p w14:paraId="19F5ACCC" w14:textId="17B3763F"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 xml:space="preserve"> 信用证业务中的单据制作和审核 ：浙江土畜集团</w:t>
      </w:r>
    </w:p>
    <w:p w14:paraId="00F2DF69"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lastRenderedPageBreak/>
        <w:t xml:space="preserve"> 国际货物运输与保险 ：中国出口信用保险上海分公司</w:t>
      </w:r>
    </w:p>
    <w:p w14:paraId="007175B2"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 xml:space="preserve"> 国际货物买卖合同风险防控与国际公约 CISSG ：上海氯碱化工集团，长兴商务局</w:t>
      </w:r>
    </w:p>
    <w:p w14:paraId="1BBCEA23"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 xml:space="preserve"> 离岸贸易与中国（上海）自由贸易区 ：宝钢集团，中海电信集团</w:t>
      </w:r>
    </w:p>
    <w:p w14:paraId="396EEFBB" w14:textId="77777777" w:rsidR="00515932" w:rsidRPr="00515932" w:rsidRDefault="00515932" w:rsidP="00515932">
      <w:pPr>
        <w:rPr>
          <w:rFonts w:ascii="微软雅黑" w:eastAsia="微软雅黑" w:hAnsi="微软雅黑"/>
          <w:sz w:val="24"/>
          <w:szCs w:val="24"/>
        </w:rPr>
      </w:pPr>
      <w:r w:rsidRPr="00515932">
        <w:rPr>
          <w:rFonts w:ascii="微软雅黑" w:eastAsia="微软雅黑" w:hAnsi="微软雅黑" w:hint="eastAsia"/>
          <w:sz w:val="24"/>
          <w:szCs w:val="24"/>
        </w:rPr>
        <w:t xml:space="preserve"> 目前是大学的对外经贸专业的副教授</w:t>
      </w:r>
    </w:p>
    <w:p w14:paraId="041576AD" w14:textId="77777777" w:rsidR="00D058D4" w:rsidRPr="002F739D" w:rsidRDefault="00D058D4">
      <w:pPr>
        <w:spacing w:line="380" w:lineRule="exact"/>
        <w:rPr>
          <w:rFonts w:ascii="微软雅黑" w:eastAsia="微软雅黑" w:hAnsi="微软雅黑"/>
          <w:iCs/>
          <w:color w:val="FF0000"/>
          <w:sz w:val="21"/>
          <w:szCs w:val="21"/>
          <w:u w:val="single"/>
        </w:rPr>
      </w:pPr>
    </w:p>
    <w:sectPr w:rsidR="00D058D4" w:rsidRPr="002F739D" w:rsidSect="001301D8">
      <w:headerReference w:type="even" r:id="rId10"/>
      <w:headerReference w:type="default" r:id="rId11"/>
      <w:footerReference w:type="even" r:id="rId12"/>
      <w:footerReference w:type="default" r:id="rId13"/>
      <w:pgSz w:w="11906" w:h="16838" w:code="9"/>
      <w:pgMar w:top="567" w:right="567" w:bottom="567" w:left="567" w:header="113" w:footer="11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FEA6" w14:textId="77777777" w:rsidR="005B1CE7" w:rsidRDefault="005B1CE7">
      <w:r>
        <w:separator/>
      </w:r>
    </w:p>
  </w:endnote>
  <w:endnote w:type="continuationSeparator" w:id="0">
    <w:p w14:paraId="738919CE" w14:textId="77777777" w:rsidR="005B1CE7" w:rsidRDefault="005B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CDF" w14:textId="77777777" w:rsidR="00B64F67" w:rsidRDefault="00000000">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w:t>
    </w:r>
    <w:r>
      <w:rPr>
        <w:rStyle w:val="af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7F60" w14:textId="77777777" w:rsidR="00B64F67" w:rsidRDefault="00B64F67">
    <w:pPr>
      <w:pStyle w:val="a9"/>
      <w:ind w:left="210"/>
      <w:jc w:val="center"/>
      <w:rPr>
        <w:rFonts w:asci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A645" w14:textId="77777777" w:rsidR="005B1CE7" w:rsidRDefault="005B1CE7">
      <w:r>
        <w:separator/>
      </w:r>
    </w:p>
  </w:footnote>
  <w:footnote w:type="continuationSeparator" w:id="0">
    <w:p w14:paraId="34B8D043" w14:textId="77777777" w:rsidR="005B1CE7" w:rsidRDefault="005B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EA1" w14:textId="77777777" w:rsidR="00B64F67" w:rsidRDefault="00B64F67">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8A6F" w14:textId="77777777" w:rsidR="00B64F67" w:rsidRDefault="00B64F67">
    <w:pPr>
      <w:pStyle w:val="ab"/>
      <w:pBdr>
        <w:bottom w:val="none" w:sz="0" w:space="0" w:color="auto"/>
      </w:pBdr>
      <w:tabs>
        <w:tab w:val="clear" w:pos="4153"/>
        <w:tab w:val="clear" w:pos="8306"/>
        <w:tab w:val="left" w:pos="5565"/>
        <w:tab w:val="left" w:pos="7875"/>
      </w:tabs>
      <w:adjustRightInd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6F995E"/>
    <w:multiLevelType w:val="singleLevel"/>
    <w:tmpl w:val="A96F995E"/>
    <w:lvl w:ilvl="0">
      <w:start w:val="1"/>
      <w:numFmt w:val="bullet"/>
      <w:lvlText w:val=""/>
      <w:lvlJc w:val="left"/>
      <w:pPr>
        <w:ind w:left="420" w:hanging="420"/>
      </w:pPr>
      <w:rPr>
        <w:rFonts w:ascii="Wingdings" w:hAnsi="Wingdings" w:hint="default"/>
      </w:rPr>
    </w:lvl>
  </w:abstractNum>
  <w:abstractNum w:abstractNumId="1" w15:restartNumberingAfterBreak="0">
    <w:nsid w:val="AD98F220"/>
    <w:multiLevelType w:val="singleLevel"/>
    <w:tmpl w:val="AD98F220"/>
    <w:lvl w:ilvl="0">
      <w:start w:val="1"/>
      <w:numFmt w:val="bullet"/>
      <w:lvlText w:val=""/>
      <w:lvlJc w:val="left"/>
      <w:pPr>
        <w:ind w:left="420" w:hanging="420"/>
      </w:pPr>
      <w:rPr>
        <w:rFonts w:ascii="Wingdings" w:hAnsi="Wingdings" w:hint="default"/>
      </w:rPr>
    </w:lvl>
  </w:abstractNum>
  <w:abstractNum w:abstractNumId="2" w15:restartNumberingAfterBreak="0">
    <w:nsid w:val="CB4F2BD6"/>
    <w:multiLevelType w:val="singleLevel"/>
    <w:tmpl w:val="CB4F2BD6"/>
    <w:lvl w:ilvl="0">
      <w:start w:val="1"/>
      <w:numFmt w:val="bullet"/>
      <w:lvlText w:val=""/>
      <w:lvlJc w:val="left"/>
      <w:pPr>
        <w:ind w:left="420" w:hanging="420"/>
      </w:pPr>
      <w:rPr>
        <w:rFonts w:ascii="Wingdings" w:hAnsi="Wingdings" w:hint="default"/>
      </w:rPr>
    </w:lvl>
  </w:abstractNum>
  <w:abstractNum w:abstractNumId="3" w15:restartNumberingAfterBreak="0">
    <w:nsid w:val="17675B41"/>
    <w:multiLevelType w:val="singleLevel"/>
    <w:tmpl w:val="17675B41"/>
    <w:lvl w:ilvl="0">
      <w:start w:val="1"/>
      <w:numFmt w:val="bullet"/>
      <w:lvlText w:val=""/>
      <w:lvlJc w:val="left"/>
      <w:pPr>
        <w:ind w:left="420" w:hanging="420"/>
      </w:pPr>
      <w:rPr>
        <w:rFonts w:ascii="Wingdings" w:hAnsi="Wingdings" w:hint="default"/>
      </w:rPr>
    </w:lvl>
  </w:abstractNum>
  <w:abstractNum w:abstractNumId="4" w15:restartNumberingAfterBreak="0">
    <w:nsid w:val="1E37A65F"/>
    <w:multiLevelType w:val="singleLevel"/>
    <w:tmpl w:val="1E37A65F"/>
    <w:lvl w:ilvl="0">
      <w:start w:val="1"/>
      <w:numFmt w:val="bullet"/>
      <w:lvlText w:val=""/>
      <w:lvlJc w:val="left"/>
      <w:pPr>
        <w:ind w:left="420" w:hanging="420"/>
      </w:pPr>
      <w:rPr>
        <w:rFonts w:ascii="Wingdings" w:hAnsi="Wingdings" w:hint="default"/>
      </w:rPr>
    </w:lvl>
  </w:abstractNum>
  <w:abstractNum w:abstractNumId="5" w15:restartNumberingAfterBreak="0">
    <w:nsid w:val="35882A55"/>
    <w:multiLevelType w:val="singleLevel"/>
    <w:tmpl w:val="35882A55"/>
    <w:lvl w:ilvl="0">
      <w:start w:val="1"/>
      <w:numFmt w:val="bullet"/>
      <w:lvlText w:val=""/>
      <w:lvlJc w:val="left"/>
      <w:pPr>
        <w:ind w:left="420" w:hanging="420"/>
      </w:pPr>
      <w:rPr>
        <w:rFonts w:ascii="Wingdings" w:hAnsi="Wingdings" w:hint="default"/>
      </w:rPr>
    </w:lvl>
  </w:abstractNum>
  <w:abstractNum w:abstractNumId="6" w15:restartNumberingAfterBreak="0">
    <w:nsid w:val="362D79D2"/>
    <w:multiLevelType w:val="singleLevel"/>
    <w:tmpl w:val="362D79D2"/>
    <w:lvl w:ilvl="0">
      <w:start w:val="1"/>
      <w:numFmt w:val="bullet"/>
      <w:lvlText w:val=""/>
      <w:lvlJc w:val="left"/>
      <w:pPr>
        <w:ind w:left="420" w:hanging="420"/>
      </w:pPr>
      <w:rPr>
        <w:rFonts w:ascii="Wingdings" w:hAnsi="Wingdings" w:hint="default"/>
      </w:rPr>
    </w:lvl>
  </w:abstractNum>
  <w:abstractNum w:abstractNumId="7" w15:restartNumberingAfterBreak="0">
    <w:nsid w:val="68908B6A"/>
    <w:multiLevelType w:val="singleLevel"/>
    <w:tmpl w:val="68908B6A"/>
    <w:lvl w:ilvl="0">
      <w:start w:val="1"/>
      <w:numFmt w:val="bullet"/>
      <w:lvlText w:val=""/>
      <w:lvlJc w:val="left"/>
      <w:pPr>
        <w:ind w:left="420" w:hanging="420"/>
      </w:pPr>
      <w:rPr>
        <w:rFonts w:ascii="Wingdings" w:hAnsi="Wingdings" w:hint="default"/>
      </w:rPr>
    </w:lvl>
  </w:abstractNum>
  <w:abstractNum w:abstractNumId="8" w15:restartNumberingAfterBreak="0">
    <w:nsid w:val="70500661"/>
    <w:multiLevelType w:val="hybridMultilevel"/>
    <w:tmpl w:val="9D845994"/>
    <w:lvl w:ilvl="0" w:tplc="3D58D09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16cid:durableId="1939681460">
    <w:abstractNumId w:val="8"/>
  </w:num>
  <w:num w:numId="2" w16cid:durableId="603684535">
    <w:abstractNumId w:val="2"/>
  </w:num>
  <w:num w:numId="3" w16cid:durableId="353921243">
    <w:abstractNumId w:val="5"/>
  </w:num>
  <w:num w:numId="4" w16cid:durableId="1751345058">
    <w:abstractNumId w:val="3"/>
  </w:num>
  <w:num w:numId="5" w16cid:durableId="1980379546">
    <w:abstractNumId w:val="0"/>
  </w:num>
  <w:num w:numId="6" w16cid:durableId="557284066">
    <w:abstractNumId w:val="6"/>
  </w:num>
  <w:num w:numId="7" w16cid:durableId="189028039">
    <w:abstractNumId w:val="1"/>
  </w:num>
  <w:num w:numId="8" w16cid:durableId="1409963285">
    <w:abstractNumId w:val="7"/>
  </w:num>
  <w:num w:numId="9" w16cid:durableId="1608274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white" strokecolor="#002060">
      <v:fill color="white"/>
      <v:stroke color="#002060" weight=".25pt"/>
      <v:shadow on="t" type="perspective" color="white" opacity=".5" offset="1pt" offset2="-1p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ZlYzhiNzQwMmU0ZWIzNjU4ZDI0ODNjZDJmMzhmM2IifQ=="/>
  </w:docVars>
  <w:rsids>
    <w:rsidRoot w:val="003930F2"/>
    <w:rsid w:val="00036C79"/>
    <w:rsid w:val="00037631"/>
    <w:rsid w:val="00045A7B"/>
    <w:rsid w:val="00051D9B"/>
    <w:rsid w:val="00051FED"/>
    <w:rsid w:val="00057ACE"/>
    <w:rsid w:val="000602A4"/>
    <w:rsid w:val="00060401"/>
    <w:rsid w:val="0006043C"/>
    <w:rsid w:val="000611F3"/>
    <w:rsid w:val="00063442"/>
    <w:rsid w:val="00063522"/>
    <w:rsid w:val="00066F49"/>
    <w:rsid w:val="00070479"/>
    <w:rsid w:val="00070863"/>
    <w:rsid w:val="00083CBA"/>
    <w:rsid w:val="000846AE"/>
    <w:rsid w:val="00084AE6"/>
    <w:rsid w:val="00086859"/>
    <w:rsid w:val="00087CC6"/>
    <w:rsid w:val="0009548E"/>
    <w:rsid w:val="0009678E"/>
    <w:rsid w:val="000969A0"/>
    <w:rsid w:val="000A3DFC"/>
    <w:rsid w:val="000B22B2"/>
    <w:rsid w:val="000C016E"/>
    <w:rsid w:val="000C2A04"/>
    <w:rsid w:val="000C6368"/>
    <w:rsid w:val="000C6389"/>
    <w:rsid w:val="000C7BCE"/>
    <w:rsid w:val="000D2B4C"/>
    <w:rsid w:val="000D7883"/>
    <w:rsid w:val="000E2209"/>
    <w:rsid w:val="000E7A64"/>
    <w:rsid w:val="000F1143"/>
    <w:rsid w:val="000F13BC"/>
    <w:rsid w:val="000F5CC9"/>
    <w:rsid w:val="000F6D68"/>
    <w:rsid w:val="00102400"/>
    <w:rsid w:val="001036ED"/>
    <w:rsid w:val="0010415D"/>
    <w:rsid w:val="0010652E"/>
    <w:rsid w:val="00110B1F"/>
    <w:rsid w:val="00112671"/>
    <w:rsid w:val="001135F1"/>
    <w:rsid w:val="0011644E"/>
    <w:rsid w:val="00120A0A"/>
    <w:rsid w:val="00124373"/>
    <w:rsid w:val="0012502A"/>
    <w:rsid w:val="00127188"/>
    <w:rsid w:val="001279C5"/>
    <w:rsid w:val="001300E5"/>
    <w:rsid w:val="001301D8"/>
    <w:rsid w:val="00135404"/>
    <w:rsid w:val="00140D0A"/>
    <w:rsid w:val="00142B81"/>
    <w:rsid w:val="001511A0"/>
    <w:rsid w:val="00153F5D"/>
    <w:rsid w:val="001567CC"/>
    <w:rsid w:val="0016306D"/>
    <w:rsid w:val="001632AD"/>
    <w:rsid w:val="001633C2"/>
    <w:rsid w:val="0016736F"/>
    <w:rsid w:val="00176DF7"/>
    <w:rsid w:val="00184E18"/>
    <w:rsid w:val="00185F91"/>
    <w:rsid w:val="0019109B"/>
    <w:rsid w:val="001945B9"/>
    <w:rsid w:val="001B12AF"/>
    <w:rsid w:val="001B4F11"/>
    <w:rsid w:val="001B57CA"/>
    <w:rsid w:val="001C6E3A"/>
    <w:rsid w:val="001D2B41"/>
    <w:rsid w:val="001D3BAF"/>
    <w:rsid w:val="001D54F5"/>
    <w:rsid w:val="001E51CB"/>
    <w:rsid w:val="001F55F6"/>
    <w:rsid w:val="001F670A"/>
    <w:rsid w:val="00200C99"/>
    <w:rsid w:val="00205A38"/>
    <w:rsid w:val="002063E3"/>
    <w:rsid w:val="0021302D"/>
    <w:rsid w:val="00216343"/>
    <w:rsid w:val="00217B78"/>
    <w:rsid w:val="00222596"/>
    <w:rsid w:val="0022459D"/>
    <w:rsid w:val="00224739"/>
    <w:rsid w:val="00226985"/>
    <w:rsid w:val="00227C31"/>
    <w:rsid w:val="0023093F"/>
    <w:rsid w:val="00231F6C"/>
    <w:rsid w:val="002379FA"/>
    <w:rsid w:val="00240742"/>
    <w:rsid w:val="002421B6"/>
    <w:rsid w:val="00243BC0"/>
    <w:rsid w:val="00251365"/>
    <w:rsid w:val="00255F2F"/>
    <w:rsid w:val="0025750D"/>
    <w:rsid w:val="00264B0F"/>
    <w:rsid w:val="00267666"/>
    <w:rsid w:val="002743AD"/>
    <w:rsid w:val="0028566A"/>
    <w:rsid w:val="00287966"/>
    <w:rsid w:val="00297F29"/>
    <w:rsid w:val="002A0B6E"/>
    <w:rsid w:val="002A0E8D"/>
    <w:rsid w:val="002A0F5C"/>
    <w:rsid w:val="002A1F51"/>
    <w:rsid w:val="002B0C36"/>
    <w:rsid w:val="002B12A5"/>
    <w:rsid w:val="002B5BFC"/>
    <w:rsid w:val="002B6CD7"/>
    <w:rsid w:val="002B7121"/>
    <w:rsid w:val="002D1F04"/>
    <w:rsid w:val="002D23CA"/>
    <w:rsid w:val="002D5F70"/>
    <w:rsid w:val="002D618D"/>
    <w:rsid w:val="002E72EC"/>
    <w:rsid w:val="002F08A4"/>
    <w:rsid w:val="002F286B"/>
    <w:rsid w:val="002F518C"/>
    <w:rsid w:val="002F739D"/>
    <w:rsid w:val="00301738"/>
    <w:rsid w:val="00301E42"/>
    <w:rsid w:val="00302B87"/>
    <w:rsid w:val="00303527"/>
    <w:rsid w:val="00304C8E"/>
    <w:rsid w:val="00312CEA"/>
    <w:rsid w:val="003272C6"/>
    <w:rsid w:val="00327AFE"/>
    <w:rsid w:val="0033106B"/>
    <w:rsid w:val="0033249B"/>
    <w:rsid w:val="00334A62"/>
    <w:rsid w:val="00336A2B"/>
    <w:rsid w:val="003405D5"/>
    <w:rsid w:val="00342491"/>
    <w:rsid w:val="00343E67"/>
    <w:rsid w:val="00352CD1"/>
    <w:rsid w:val="0036127C"/>
    <w:rsid w:val="003643F9"/>
    <w:rsid w:val="003651F3"/>
    <w:rsid w:val="003709F3"/>
    <w:rsid w:val="003755F5"/>
    <w:rsid w:val="003775A1"/>
    <w:rsid w:val="0038125B"/>
    <w:rsid w:val="003865B3"/>
    <w:rsid w:val="003930F2"/>
    <w:rsid w:val="0039448B"/>
    <w:rsid w:val="00395AE6"/>
    <w:rsid w:val="00396130"/>
    <w:rsid w:val="003A37BC"/>
    <w:rsid w:val="003A6810"/>
    <w:rsid w:val="003A75E4"/>
    <w:rsid w:val="003B089E"/>
    <w:rsid w:val="003B1826"/>
    <w:rsid w:val="003B6AA5"/>
    <w:rsid w:val="003B7213"/>
    <w:rsid w:val="003C1B89"/>
    <w:rsid w:val="003C2A2E"/>
    <w:rsid w:val="003D05DC"/>
    <w:rsid w:val="003E0ACD"/>
    <w:rsid w:val="003E61A1"/>
    <w:rsid w:val="003F0B8D"/>
    <w:rsid w:val="003F2B40"/>
    <w:rsid w:val="003F4313"/>
    <w:rsid w:val="003F6313"/>
    <w:rsid w:val="003F6FB0"/>
    <w:rsid w:val="003F716E"/>
    <w:rsid w:val="00401B3D"/>
    <w:rsid w:val="004047BE"/>
    <w:rsid w:val="00413F19"/>
    <w:rsid w:val="004142B1"/>
    <w:rsid w:val="00415B70"/>
    <w:rsid w:val="00416266"/>
    <w:rsid w:val="004174AA"/>
    <w:rsid w:val="00420B3C"/>
    <w:rsid w:val="00420EC1"/>
    <w:rsid w:val="00432718"/>
    <w:rsid w:val="00433001"/>
    <w:rsid w:val="00436E3A"/>
    <w:rsid w:val="0044130F"/>
    <w:rsid w:val="004414D1"/>
    <w:rsid w:val="00442A55"/>
    <w:rsid w:val="00443C7B"/>
    <w:rsid w:val="00444E51"/>
    <w:rsid w:val="0045356C"/>
    <w:rsid w:val="004542C1"/>
    <w:rsid w:val="0045531C"/>
    <w:rsid w:val="004558DB"/>
    <w:rsid w:val="00455B1E"/>
    <w:rsid w:val="00457ACD"/>
    <w:rsid w:val="00467E51"/>
    <w:rsid w:val="00470172"/>
    <w:rsid w:val="00471371"/>
    <w:rsid w:val="00472922"/>
    <w:rsid w:val="00474CE6"/>
    <w:rsid w:val="00481B7B"/>
    <w:rsid w:val="00487924"/>
    <w:rsid w:val="004900B3"/>
    <w:rsid w:val="00491564"/>
    <w:rsid w:val="00492AB0"/>
    <w:rsid w:val="00497768"/>
    <w:rsid w:val="004A2ED2"/>
    <w:rsid w:val="004B2AFA"/>
    <w:rsid w:val="004B5049"/>
    <w:rsid w:val="004C66F1"/>
    <w:rsid w:val="004D7545"/>
    <w:rsid w:val="004F0961"/>
    <w:rsid w:val="004F5E66"/>
    <w:rsid w:val="00515932"/>
    <w:rsid w:val="00532EED"/>
    <w:rsid w:val="00533C83"/>
    <w:rsid w:val="005365EA"/>
    <w:rsid w:val="00536AD5"/>
    <w:rsid w:val="005444E8"/>
    <w:rsid w:val="00544FB5"/>
    <w:rsid w:val="00547967"/>
    <w:rsid w:val="00550FE6"/>
    <w:rsid w:val="005532E1"/>
    <w:rsid w:val="005538BD"/>
    <w:rsid w:val="00555E95"/>
    <w:rsid w:val="0056169F"/>
    <w:rsid w:val="00561E84"/>
    <w:rsid w:val="00586337"/>
    <w:rsid w:val="005923A9"/>
    <w:rsid w:val="005A38B6"/>
    <w:rsid w:val="005A393F"/>
    <w:rsid w:val="005A4AF8"/>
    <w:rsid w:val="005B0AD7"/>
    <w:rsid w:val="005B18A7"/>
    <w:rsid w:val="005B1CE7"/>
    <w:rsid w:val="005B5C68"/>
    <w:rsid w:val="005C0A34"/>
    <w:rsid w:val="005C1E85"/>
    <w:rsid w:val="005C364C"/>
    <w:rsid w:val="005C6B0B"/>
    <w:rsid w:val="005D56B2"/>
    <w:rsid w:val="005E38A6"/>
    <w:rsid w:val="005F0A7A"/>
    <w:rsid w:val="005F164B"/>
    <w:rsid w:val="005F3A43"/>
    <w:rsid w:val="00610154"/>
    <w:rsid w:val="00610E17"/>
    <w:rsid w:val="00614C39"/>
    <w:rsid w:val="006244FA"/>
    <w:rsid w:val="00630BA6"/>
    <w:rsid w:val="00631A6E"/>
    <w:rsid w:val="00633D1D"/>
    <w:rsid w:val="006345AB"/>
    <w:rsid w:val="00634819"/>
    <w:rsid w:val="00637BBE"/>
    <w:rsid w:val="00644C92"/>
    <w:rsid w:val="00646C28"/>
    <w:rsid w:val="00653D44"/>
    <w:rsid w:val="00654839"/>
    <w:rsid w:val="00655F48"/>
    <w:rsid w:val="0065677B"/>
    <w:rsid w:val="006577FF"/>
    <w:rsid w:val="00664789"/>
    <w:rsid w:val="0067076E"/>
    <w:rsid w:val="006801CE"/>
    <w:rsid w:val="006802F0"/>
    <w:rsid w:val="0068055E"/>
    <w:rsid w:val="0069070B"/>
    <w:rsid w:val="00691BCB"/>
    <w:rsid w:val="00692F93"/>
    <w:rsid w:val="00694885"/>
    <w:rsid w:val="00696CF6"/>
    <w:rsid w:val="0069733B"/>
    <w:rsid w:val="006A0FDD"/>
    <w:rsid w:val="006D2FE3"/>
    <w:rsid w:val="006D46C0"/>
    <w:rsid w:val="006F2A68"/>
    <w:rsid w:val="006F5908"/>
    <w:rsid w:val="00701E26"/>
    <w:rsid w:val="00711C7A"/>
    <w:rsid w:val="00714FFB"/>
    <w:rsid w:val="00715240"/>
    <w:rsid w:val="007264D6"/>
    <w:rsid w:val="007302A8"/>
    <w:rsid w:val="0073373A"/>
    <w:rsid w:val="007344C6"/>
    <w:rsid w:val="0073527A"/>
    <w:rsid w:val="00735E14"/>
    <w:rsid w:val="00740C29"/>
    <w:rsid w:val="00740D21"/>
    <w:rsid w:val="0074412B"/>
    <w:rsid w:val="007561A9"/>
    <w:rsid w:val="00756505"/>
    <w:rsid w:val="00761495"/>
    <w:rsid w:val="00771132"/>
    <w:rsid w:val="00772537"/>
    <w:rsid w:val="00773936"/>
    <w:rsid w:val="00777892"/>
    <w:rsid w:val="00790C7C"/>
    <w:rsid w:val="00792000"/>
    <w:rsid w:val="00792A84"/>
    <w:rsid w:val="007A3C8F"/>
    <w:rsid w:val="007B4F53"/>
    <w:rsid w:val="007C3D2D"/>
    <w:rsid w:val="007D2C32"/>
    <w:rsid w:val="007E2716"/>
    <w:rsid w:val="007F1B4A"/>
    <w:rsid w:val="007F2394"/>
    <w:rsid w:val="007F4A74"/>
    <w:rsid w:val="007F583F"/>
    <w:rsid w:val="00801FDF"/>
    <w:rsid w:val="00814932"/>
    <w:rsid w:val="0081772E"/>
    <w:rsid w:val="008329E5"/>
    <w:rsid w:val="008424CD"/>
    <w:rsid w:val="0084276C"/>
    <w:rsid w:val="00845215"/>
    <w:rsid w:val="00845750"/>
    <w:rsid w:val="00852062"/>
    <w:rsid w:val="008553BF"/>
    <w:rsid w:val="00856D32"/>
    <w:rsid w:val="008624FD"/>
    <w:rsid w:val="008669AF"/>
    <w:rsid w:val="008749AF"/>
    <w:rsid w:val="00875633"/>
    <w:rsid w:val="008809BD"/>
    <w:rsid w:val="00883CE6"/>
    <w:rsid w:val="008859C2"/>
    <w:rsid w:val="0088628D"/>
    <w:rsid w:val="00886F9E"/>
    <w:rsid w:val="00890010"/>
    <w:rsid w:val="008966E6"/>
    <w:rsid w:val="0089748C"/>
    <w:rsid w:val="008A430F"/>
    <w:rsid w:val="008A4C80"/>
    <w:rsid w:val="008B194E"/>
    <w:rsid w:val="008B1D5A"/>
    <w:rsid w:val="008B427E"/>
    <w:rsid w:val="008B4D8D"/>
    <w:rsid w:val="008C2219"/>
    <w:rsid w:val="008C2756"/>
    <w:rsid w:val="008C41B4"/>
    <w:rsid w:val="008C4F01"/>
    <w:rsid w:val="008C6B66"/>
    <w:rsid w:val="008D1A1B"/>
    <w:rsid w:val="008D326B"/>
    <w:rsid w:val="008D3804"/>
    <w:rsid w:val="008D413B"/>
    <w:rsid w:val="008D58B6"/>
    <w:rsid w:val="008D5BFB"/>
    <w:rsid w:val="008D7BFC"/>
    <w:rsid w:val="008E65EF"/>
    <w:rsid w:val="008F03A1"/>
    <w:rsid w:val="008F109B"/>
    <w:rsid w:val="008F2822"/>
    <w:rsid w:val="008F4358"/>
    <w:rsid w:val="008F47AB"/>
    <w:rsid w:val="0090406D"/>
    <w:rsid w:val="009069C1"/>
    <w:rsid w:val="00907B63"/>
    <w:rsid w:val="009213BB"/>
    <w:rsid w:val="00923AB8"/>
    <w:rsid w:val="00925719"/>
    <w:rsid w:val="009260D5"/>
    <w:rsid w:val="00926750"/>
    <w:rsid w:val="00941A95"/>
    <w:rsid w:val="009450D4"/>
    <w:rsid w:val="00952421"/>
    <w:rsid w:val="00953ADD"/>
    <w:rsid w:val="00955B29"/>
    <w:rsid w:val="00963942"/>
    <w:rsid w:val="0096795F"/>
    <w:rsid w:val="00970272"/>
    <w:rsid w:val="00971098"/>
    <w:rsid w:val="00993CEE"/>
    <w:rsid w:val="00997217"/>
    <w:rsid w:val="009A0C37"/>
    <w:rsid w:val="009A3DD4"/>
    <w:rsid w:val="009A3EC1"/>
    <w:rsid w:val="009A4964"/>
    <w:rsid w:val="009B44E2"/>
    <w:rsid w:val="009B5091"/>
    <w:rsid w:val="009B531E"/>
    <w:rsid w:val="009B6E39"/>
    <w:rsid w:val="009C5949"/>
    <w:rsid w:val="009D7371"/>
    <w:rsid w:val="009E58F4"/>
    <w:rsid w:val="009F001C"/>
    <w:rsid w:val="009F430E"/>
    <w:rsid w:val="009F4F74"/>
    <w:rsid w:val="00A060D3"/>
    <w:rsid w:val="00A11478"/>
    <w:rsid w:val="00A13A58"/>
    <w:rsid w:val="00A21A98"/>
    <w:rsid w:val="00A27436"/>
    <w:rsid w:val="00A27F4E"/>
    <w:rsid w:val="00A40068"/>
    <w:rsid w:val="00A410B1"/>
    <w:rsid w:val="00A43F95"/>
    <w:rsid w:val="00A45136"/>
    <w:rsid w:val="00A45A4B"/>
    <w:rsid w:val="00A462D2"/>
    <w:rsid w:val="00A478D7"/>
    <w:rsid w:val="00A50F28"/>
    <w:rsid w:val="00A57E40"/>
    <w:rsid w:val="00A60AD5"/>
    <w:rsid w:val="00A629D8"/>
    <w:rsid w:val="00A64B1E"/>
    <w:rsid w:val="00A73886"/>
    <w:rsid w:val="00A7509C"/>
    <w:rsid w:val="00A75AC7"/>
    <w:rsid w:val="00A854E5"/>
    <w:rsid w:val="00A865B3"/>
    <w:rsid w:val="00A937ED"/>
    <w:rsid w:val="00A9525F"/>
    <w:rsid w:val="00A95AB7"/>
    <w:rsid w:val="00A97EDE"/>
    <w:rsid w:val="00AA1F3F"/>
    <w:rsid w:val="00AA37C3"/>
    <w:rsid w:val="00AA49C5"/>
    <w:rsid w:val="00AA6F21"/>
    <w:rsid w:val="00AB0C53"/>
    <w:rsid w:val="00AB0E4A"/>
    <w:rsid w:val="00AB1295"/>
    <w:rsid w:val="00AB5B43"/>
    <w:rsid w:val="00AC3F27"/>
    <w:rsid w:val="00AC7563"/>
    <w:rsid w:val="00AC7A3E"/>
    <w:rsid w:val="00AD0ED1"/>
    <w:rsid w:val="00AD1130"/>
    <w:rsid w:val="00AD4FBC"/>
    <w:rsid w:val="00AD549B"/>
    <w:rsid w:val="00AE1561"/>
    <w:rsid w:val="00AE38B5"/>
    <w:rsid w:val="00AE55F1"/>
    <w:rsid w:val="00AF7E29"/>
    <w:rsid w:val="00B022F7"/>
    <w:rsid w:val="00B122EE"/>
    <w:rsid w:val="00B14427"/>
    <w:rsid w:val="00B17C80"/>
    <w:rsid w:val="00B25053"/>
    <w:rsid w:val="00B254D3"/>
    <w:rsid w:val="00B268AC"/>
    <w:rsid w:val="00B3134D"/>
    <w:rsid w:val="00B32041"/>
    <w:rsid w:val="00B33BD7"/>
    <w:rsid w:val="00B414E3"/>
    <w:rsid w:val="00B43DA8"/>
    <w:rsid w:val="00B56B1D"/>
    <w:rsid w:val="00B617C1"/>
    <w:rsid w:val="00B64F67"/>
    <w:rsid w:val="00B7296C"/>
    <w:rsid w:val="00B73FB0"/>
    <w:rsid w:val="00B82F3F"/>
    <w:rsid w:val="00B83299"/>
    <w:rsid w:val="00B927B4"/>
    <w:rsid w:val="00BA1C71"/>
    <w:rsid w:val="00BA30FA"/>
    <w:rsid w:val="00BA4063"/>
    <w:rsid w:val="00BA6CB7"/>
    <w:rsid w:val="00BC01CD"/>
    <w:rsid w:val="00BC06A7"/>
    <w:rsid w:val="00BC09C2"/>
    <w:rsid w:val="00BC202E"/>
    <w:rsid w:val="00BC5A3C"/>
    <w:rsid w:val="00BD16C4"/>
    <w:rsid w:val="00BD1F2C"/>
    <w:rsid w:val="00BD5368"/>
    <w:rsid w:val="00BE2C6D"/>
    <w:rsid w:val="00BE73FD"/>
    <w:rsid w:val="00BF50DE"/>
    <w:rsid w:val="00BF6CF3"/>
    <w:rsid w:val="00BF6D14"/>
    <w:rsid w:val="00C02989"/>
    <w:rsid w:val="00C036AF"/>
    <w:rsid w:val="00C15974"/>
    <w:rsid w:val="00C33AB5"/>
    <w:rsid w:val="00C41882"/>
    <w:rsid w:val="00C44301"/>
    <w:rsid w:val="00C46EF1"/>
    <w:rsid w:val="00C501A6"/>
    <w:rsid w:val="00C611B2"/>
    <w:rsid w:val="00C6346E"/>
    <w:rsid w:val="00C63BB9"/>
    <w:rsid w:val="00C63E2C"/>
    <w:rsid w:val="00C640E3"/>
    <w:rsid w:val="00C659C8"/>
    <w:rsid w:val="00C66071"/>
    <w:rsid w:val="00C66072"/>
    <w:rsid w:val="00C6690C"/>
    <w:rsid w:val="00C72F4C"/>
    <w:rsid w:val="00C76617"/>
    <w:rsid w:val="00C8243D"/>
    <w:rsid w:val="00C82D27"/>
    <w:rsid w:val="00C832F8"/>
    <w:rsid w:val="00C839EE"/>
    <w:rsid w:val="00C83B25"/>
    <w:rsid w:val="00C90C82"/>
    <w:rsid w:val="00C95A28"/>
    <w:rsid w:val="00CA048C"/>
    <w:rsid w:val="00CA06C5"/>
    <w:rsid w:val="00CA1663"/>
    <w:rsid w:val="00CB2C13"/>
    <w:rsid w:val="00CB48B9"/>
    <w:rsid w:val="00CB74D8"/>
    <w:rsid w:val="00CC0E6F"/>
    <w:rsid w:val="00CC2ADD"/>
    <w:rsid w:val="00CC49F4"/>
    <w:rsid w:val="00CC4E2E"/>
    <w:rsid w:val="00CC5D53"/>
    <w:rsid w:val="00CD21CF"/>
    <w:rsid w:val="00CD31B4"/>
    <w:rsid w:val="00CD339F"/>
    <w:rsid w:val="00CD3CC6"/>
    <w:rsid w:val="00CD5F98"/>
    <w:rsid w:val="00CE4BC0"/>
    <w:rsid w:val="00CE59F1"/>
    <w:rsid w:val="00CE5C53"/>
    <w:rsid w:val="00CE7E53"/>
    <w:rsid w:val="00CF4E7D"/>
    <w:rsid w:val="00D043B4"/>
    <w:rsid w:val="00D058D4"/>
    <w:rsid w:val="00D07F8A"/>
    <w:rsid w:val="00D105D6"/>
    <w:rsid w:val="00D119C8"/>
    <w:rsid w:val="00D23746"/>
    <w:rsid w:val="00D33F49"/>
    <w:rsid w:val="00D36680"/>
    <w:rsid w:val="00D379E3"/>
    <w:rsid w:val="00D5368B"/>
    <w:rsid w:val="00D600C2"/>
    <w:rsid w:val="00D63CAA"/>
    <w:rsid w:val="00D64D76"/>
    <w:rsid w:val="00D6646D"/>
    <w:rsid w:val="00D71D3C"/>
    <w:rsid w:val="00D74083"/>
    <w:rsid w:val="00D75A87"/>
    <w:rsid w:val="00D9669D"/>
    <w:rsid w:val="00D976A5"/>
    <w:rsid w:val="00DA3B7E"/>
    <w:rsid w:val="00DA46C5"/>
    <w:rsid w:val="00DA5556"/>
    <w:rsid w:val="00DA6B81"/>
    <w:rsid w:val="00DC4CAF"/>
    <w:rsid w:val="00DC4F3E"/>
    <w:rsid w:val="00DC5D44"/>
    <w:rsid w:val="00DD07FD"/>
    <w:rsid w:val="00DD0C2D"/>
    <w:rsid w:val="00DD2670"/>
    <w:rsid w:val="00DD61A1"/>
    <w:rsid w:val="00DE5715"/>
    <w:rsid w:val="00DE7AD8"/>
    <w:rsid w:val="00DF45A0"/>
    <w:rsid w:val="00DF4890"/>
    <w:rsid w:val="00DF5192"/>
    <w:rsid w:val="00DF5377"/>
    <w:rsid w:val="00E0162F"/>
    <w:rsid w:val="00E03917"/>
    <w:rsid w:val="00E0765C"/>
    <w:rsid w:val="00E10C2E"/>
    <w:rsid w:val="00E114D1"/>
    <w:rsid w:val="00E178E5"/>
    <w:rsid w:val="00E211B1"/>
    <w:rsid w:val="00E2454D"/>
    <w:rsid w:val="00E31107"/>
    <w:rsid w:val="00E4219D"/>
    <w:rsid w:val="00E458F9"/>
    <w:rsid w:val="00E51C70"/>
    <w:rsid w:val="00E54178"/>
    <w:rsid w:val="00E57984"/>
    <w:rsid w:val="00E62C0B"/>
    <w:rsid w:val="00E65F97"/>
    <w:rsid w:val="00E70090"/>
    <w:rsid w:val="00E705FB"/>
    <w:rsid w:val="00E77D0A"/>
    <w:rsid w:val="00E803E8"/>
    <w:rsid w:val="00E82089"/>
    <w:rsid w:val="00E846F4"/>
    <w:rsid w:val="00E8507C"/>
    <w:rsid w:val="00E85ADE"/>
    <w:rsid w:val="00E86933"/>
    <w:rsid w:val="00E90015"/>
    <w:rsid w:val="00E90635"/>
    <w:rsid w:val="00EA18F0"/>
    <w:rsid w:val="00EA3EC5"/>
    <w:rsid w:val="00EB4F2F"/>
    <w:rsid w:val="00EC763F"/>
    <w:rsid w:val="00ED0F03"/>
    <w:rsid w:val="00ED41DF"/>
    <w:rsid w:val="00ED5428"/>
    <w:rsid w:val="00ED5675"/>
    <w:rsid w:val="00ED5802"/>
    <w:rsid w:val="00EE07F7"/>
    <w:rsid w:val="00EE3CEA"/>
    <w:rsid w:val="00EE58A9"/>
    <w:rsid w:val="00EE59D1"/>
    <w:rsid w:val="00F05560"/>
    <w:rsid w:val="00F14357"/>
    <w:rsid w:val="00F17D68"/>
    <w:rsid w:val="00F23F7B"/>
    <w:rsid w:val="00F24A5C"/>
    <w:rsid w:val="00F30CD8"/>
    <w:rsid w:val="00F40E65"/>
    <w:rsid w:val="00F438C9"/>
    <w:rsid w:val="00F460CD"/>
    <w:rsid w:val="00F5331A"/>
    <w:rsid w:val="00F53F9E"/>
    <w:rsid w:val="00F65C7D"/>
    <w:rsid w:val="00F671EB"/>
    <w:rsid w:val="00F74000"/>
    <w:rsid w:val="00F77AF7"/>
    <w:rsid w:val="00F82BE7"/>
    <w:rsid w:val="00F82F73"/>
    <w:rsid w:val="00F839B2"/>
    <w:rsid w:val="00F86145"/>
    <w:rsid w:val="00F96052"/>
    <w:rsid w:val="00F97B91"/>
    <w:rsid w:val="00FA0A5A"/>
    <w:rsid w:val="00FA0BF2"/>
    <w:rsid w:val="00FB330E"/>
    <w:rsid w:val="00FC2988"/>
    <w:rsid w:val="00FC4E3F"/>
    <w:rsid w:val="00FD2954"/>
    <w:rsid w:val="00FD75F8"/>
    <w:rsid w:val="00FE2F0A"/>
    <w:rsid w:val="00FE381E"/>
    <w:rsid w:val="00FF0EEA"/>
    <w:rsid w:val="00FF12EB"/>
    <w:rsid w:val="00FF43A3"/>
    <w:rsid w:val="00FF494A"/>
    <w:rsid w:val="00FF4C87"/>
    <w:rsid w:val="00FF528B"/>
    <w:rsid w:val="07375860"/>
    <w:rsid w:val="07467CA5"/>
    <w:rsid w:val="100E0112"/>
    <w:rsid w:val="11651A18"/>
    <w:rsid w:val="11FE6200"/>
    <w:rsid w:val="1BD354D8"/>
    <w:rsid w:val="1F1516BF"/>
    <w:rsid w:val="27E25038"/>
    <w:rsid w:val="280C2747"/>
    <w:rsid w:val="2AF65081"/>
    <w:rsid w:val="2B1E2CD8"/>
    <w:rsid w:val="2F240FF9"/>
    <w:rsid w:val="3A501594"/>
    <w:rsid w:val="41CA014A"/>
    <w:rsid w:val="452E04EF"/>
    <w:rsid w:val="47926CE1"/>
    <w:rsid w:val="4A191FEE"/>
    <w:rsid w:val="4A4621D8"/>
    <w:rsid w:val="4C8528F3"/>
    <w:rsid w:val="4D9F3A3B"/>
    <w:rsid w:val="535A2FDF"/>
    <w:rsid w:val="53D14F3B"/>
    <w:rsid w:val="577E2486"/>
    <w:rsid w:val="5A5246EB"/>
    <w:rsid w:val="5AB95C24"/>
    <w:rsid w:val="60596C28"/>
    <w:rsid w:val="64AB040F"/>
    <w:rsid w:val="697303BF"/>
    <w:rsid w:val="71F625EA"/>
    <w:rsid w:val="760A030B"/>
    <w:rsid w:val="76C314E8"/>
    <w:rsid w:val="76FD1615"/>
    <w:rsid w:val="78280FAC"/>
    <w:rsid w:val="7A5B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strokecolor="#002060">
      <v:fill color="white"/>
      <v:stroke color="#002060" weight=".25pt"/>
      <v:shadow on="t" type="perspective" color="white" opacity=".5" offset="1pt" offset2="-1pt,-2pt"/>
    </o:shapedefaults>
    <o:shapelayout v:ext="edit">
      <o:idmap v:ext="edit" data="2"/>
    </o:shapelayout>
  </w:shapeDefaults>
  <w:decimalSymbol w:val="."/>
  <w:listSeparator w:val=","/>
  <w14:docId w14:val="1338EE71"/>
  <w15:docId w15:val="{001E942E-0E03-456A-B90E-A829F64B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qFormat="1"/>
    <w:lsdException w:name="annotation text" w:semiHidden="1" w:uiPriority="99" w:qFormat="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qFormat="1"/>
    <w:lsdException w:name="annotation reference" w:semiHidden="1" w:uiPriority="99" w:qFormat="1"/>
    <w:lsdException w:name="line number" w:semiHidden="1" w:unhideWhenUsed="1"/>
    <w:lsdException w:name="page number" w:semiHidden="1"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cs="Times New Roman"/>
      <w:kern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ody Text"/>
    <w:basedOn w:val="a"/>
    <w:link w:val="a6"/>
    <w:semiHidden/>
    <w:unhideWhenUsed/>
    <w:qFormat/>
    <w:pPr>
      <w:spacing w:after="120"/>
    </w:pPr>
  </w:style>
  <w:style w:type="paragraph" w:styleId="5">
    <w:name w:val="List Bullet 5"/>
    <w:basedOn w:val="a"/>
    <w:qFormat/>
    <w:pPr>
      <w:widowControl/>
      <w:tabs>
        <w:tab w:val="left" w:pos="2040"/>
      </w:tabs>
      <w:jc w:val="left"/>
    </w:pPr>
    <w:rPr>
      <w:kern w:val="0"/>
      <w:sz w:val="24"/>
      <w:szCs w:val="24"/>
      <w:lang w:eastAsia="en-US" w:bidi="en-US"/>
    </w:r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locked/>
    <w:pPr>
      <w:widowControl/>
      <w:jc w:val="left"/>
    </w:pPr>
    <w:rPr>
      <w:kern w:val="0"/>
      <w:sz w:val="24"/>
      <w:szCs w:val="24"/>
      <w:lang w:eastAsia="en-US" w:bidi="en-US"/>
    </w:rPr>
  </w:style>
  <w:style w:type="paragraph" w:styleId="ad">
    <w:name w:val="footnote text"/>
    <w:basedOn w:val="a"/>
    <w:link w:val="ae"/>
    <w:uiPriority w:val="99"/>
    <w:semiHidden/>
    <w:qFormat/>
    <w:pPr>
      <w:snapToGrid w:val="0"/>
      <w:jc w:val="left"/>
    </w:pPr>
    <w:rPr>
      <w:sz w:val="18"/>
      <w:szCs w:val="18"/>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0">
    <w:name w:val="Title"/>
    <w:basedOn w:val="a"/>
    <w:next w:val="a"/>
    <w:link w:val="af1"/>
    <w:qFormat/>
    <w:locked/>
    <w:pPr>
      <w:spacing w:before="240" w:after="60"/>
      <w:jc w:val="center"/>
      <w:outlineLvl w:val="0"/>
    </w:pPr>
    <w:rPr>
      <w:rFonts w:ascii="Cambria" w:hAnsi="Cambria"/>
      <w:b/>
      <w:bCs/>
      <w:sz w:val="32"/>
      <w:szCs w:val="32"/>
    </w:rPr>
  </w:style>
  <w:style w:type="paragraph" w:styleId="af2">
    <w:name w:val="annotation subject"/>
    <w:basedOn w:val="a3"/>
    <w:next w:val="a3"/>
    <w:link w:val="af3"/>
    <w:uiPriority w:val="99"/>
    <w:semiHidden/>
    <w:qFormat/>
    <w:rPr>
      <w:b/>
      <w:bCs/>
    </w:rPr>
  </w:style>
  <w:style w:type="paragraph" w:styleId="af4">
    <w:name w:val="Body Text First Indent"/>
    <w:basedOn w:val="a5"/>
    <w:link w:val="af5"/>
    <w:qFormat/>
    <w:pPr>
      <w:spacing w:beforeLines="50"/>
      <w:ind w:firstLineChars="200" w:firstLine="200"/>
      <w:jc w:val="left"/>
    </w:pPr>
    <w:rPr>
      <w:rFonts w:ascii="等线" w:hAnsi="等线"/>
      <w:kern w:val="2"/>
      <w:sz w:val="24"/>
      <w:szCs w:val="24"/>
    </w:rPr>
  </w:style>
  <w:style w:type="character" w:styleId="af6">
    <w:name w:val="Strong"/>
    <w:uiPriority w:val="22"/>
    <w:qFormat/>
    <w:locked/>
    <w:rPr>
      <w:b/>
      <w:bCs/>
    </w:rPr>
  </w:style>
  <w:style w:type="character" w:styleId="af7">
    <w:name w:val="page number"/>
    <w:uiPriority w:val="99"/>
    <w:semiHidden/>
    <w:qFormat/>
    <w:rPr>
      <w:rFonts w:cs="Times New Roman"/>
    </w:rPr>
  </w:style>
  <w:style w:type="character" w:styleId="af8">
    <w:name w:val="Hyperlink"/>
    <w:uiPriority w:val="99"/>
    <w:semiHidden/>
    <w:qFormat/>
    <w:rPr>
      <w:rFonts w:cs="Times New Roman"/>
      <w:color w:val="0000FF"/>
      <w:u w:val="single"/>
    </w:rPr>
  </w:style>
  <w:style w:type="character" w:styleId="af9">
    <w:name w:val="annotation reference"/>
    <w:uiPriority w:val="99"/>
    <w:semiHidden/>
    <w:qFormat/>
    <w:rPr>
      <w:rFonts w:cs="Times New Roman"/>
      <w:sz w:val="21"/>
      <w:szCs w:val="21"/>
    </w:rPr>
  </w:style>
  <w:style w:type="character" w:styleId="afa">
    <w:name w:val="footnote reference"/>
    <w:uiPriority w:val="99"/>
    <w:semiHidden/>
    <w:qFormat/>
    <w:rPr>
      <w:rFonts w:cs="Times New Roman"/>
      <w:vertAlign w:val="superscript"/>
    </w:rPr>
  </w:style>
  <w:style w:type="table" w:customStyle="1" w:styleId="1">
    <w:name w:val="浅色底纹1"/>
    <w:basedOn w:val="a1"/>
    <w:uiPriority w:val="60"/>
    <w:qFormat/>
    <w:rPr>
      <w:rFonts w:cs="Times New Roman"/>
      <w:color w:val="000000"/>
      <w:kern w:val="2"/>
      <w:sz w:val="21"/>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c">
    <w:name w:val="页眉 字符"/>
    <w:link w:val="ab"/>
    <w:uiPriority w:val="99"/>
    <w:qFormat/>
    <w:locked/>
    <w:rPr>
      <w:rFonts w:cs="Times New Roman"/>
      <w:sz w:val="18"/>
      <w:szCs w:val="18"/>
    </w:rPr>
  </w:style>
  <w:style w:type="character" w:customStyle="1" w:styleId="aa">
    <w:name w:val="页脚 字符"/>
    <w:link w:val="a9"/>
    <w:uiPriority w:val="99"/>
    <w:qFormat/>
    <w:locked/>
    <w:rPr>
      <w:rFonts w:cs="Times New Roman"/>
      <w:sz w:val="18"/>
      <w:szCs w:val="18"/>
    </w:rPr>
  </w:style>
  <w:style w:type="character" w:customStyle="1" w:styleId="a8">
    <w:name w:val="批注框文本 字符"/>
    <w:link w:val="a7"/>
    <w:uiPriority w:val="99"/>
    <w:semiHidden/>
    <w:qFormat/>
    <w:locked/>
    <w:rPr>
      <w:rFonts w:ascii="Times New Roman" w:eastAsia="宋体" w:hAnsi="Times New Roman" w:cs="Times New Roman"/>
      <w:kern w:val="18"/>
      <w:sz w:val="18"/>
      <w:szCs w:val="18"/>
    </w:rPr>
  </w:style>
  <w:style w:type="character" w:customStyle="1" w:styleId="ae">
    <w:name w:val="脚注文本 字符"/>
    <w:link w:val="ad"/>
    <w:uiPriority w:val="99"/>
    <w:semiHidden/>
    <w:qFormat/>
    <w:locked/>
    <w:rPr>
      <w:rFonts w:ascii="Times New Roman" w:eastAsia="宋体" w:hAnsi="Times New Roman" w:cs="Times New Roman"/>
      <w:kern w:val="18"/>
      <w:sz w:val="18"/>
      <w:szCs w:val="18"/>
    </w:rPr>
  </w:style>
  <w:style w:type="character" w:customStyle="1" w:styleId="a4">
    <w:name w:val="批注文字 字符"/>
    <w:link w:val="a3"/>
    <w:uiPriority w:val="99"/>
    <w:semiHidden/>
    <w:qFormat/>
    <w:locked/>
    <w:rPr>
      <w:rFonts w:ascii="Times New Roman" w:eastAsia="宋体" w:hAnsi="Times New Roman" w:cs="Times New Roman"/>
      <w:kern w:val="18"/>
      <w:sz w:val="20"/>
      <w:szCs w:val="20"/>
    </w:rPr>
  </w:style>
  <w:style w:type="character" w:customStyle="1" w:styleId="af3">
    <w:name w:val="批注主题 字符"/>
    <w:link w:val="af2"/>
    <w:uiPriority w:val="99"/>
    <w:semiHidden/>
    <w:qFormat/>
    <w:locked/>
    <w:rPr>
      <w:rFonts w:ascii="Times New Roman" w:eastAsia="宋体" w:hAnsi="Times New Roman" w:cs="Times New Roman"/>
      <w:b/>
      <w:bCs/>
      <w:kern w:val="18"/>
      <w:sz w:val="20"/>
      <w:szCs w:val="20"/>
    </w:rPr>
  </w:style>
  <w:style w:type="character" w:customStyle="1" w:styleId="apple-style-span">
    <w:name w:val="apple-style-span"/>
    <w:qFormat/>
    <w:rPr>
      <w:rFonts w:cs="Times New Roman"/>
    </w:rPr>
  </w:style>
  <w:style w:type="character" w:customStyle="1" w:styleId="af1">
    <w:name w:val="标题 字符"/>
    <w:link w:val="af0"/>
    <w:qFormat/>
    <w:rPr>
      <w:rFonts w:ascii="Cambria" w:hAnsi="Cambria" w:cs="Times New Roman"/>
      <w:b/>
      <w:bCs/>
      <w:kern w:val="18"/>
      <w:sz w:val="32"/>
      <w:szCs w:val="32"/>
    </w:rPr>
  </w:style>
  <w:style w:type="paragraph" w:styleId="afb">
    <w:name w:val="No Spacing"/>
    <w:uiPriority w:val="1"/>
    <w:qFormat/>
    <w:rPr>
      <w:rFonts w:ascii="Times New Roman" w:hAnsi="Times New Roman" w:cs="Times New Roman"/>
      <w:sz w:val="22"/>
      <w:szCs w:val="22"/>
      <w:lang w:eastAsia="en-US"/>
    </w:rPr>
  </w:style>
  <w:style w:type="paragraph" w:styleId="afc">
    <w:name w:val="List Paragraph"/>
    <w:basedOn w:val="a"/>
    <w:uiPriority w:val="34"/>
    <w:qFormat/>
    <w:pPr>
      <w:ind w:firstLineChars="200" w:firstLine="420"/>
    </w:pPr>
    <w:rPr>
      <w:rFonts w:ascii="Calibri" w:hAnsi="Calibri"/>
      <w:kern w:val="2"/>
      <w:sz w:val="21"/>
      <w:szCs w:val="22"/>
    </w:rPr>
  </w:style>
  <w:style w:type="paragraph" w:customStyle="1" w:styleId="10">
    <w:name w:val="列出段落1"/>
    <w:basedOn w:val="a"/>
    <w:uiPriority w:val="34"/>
    <w:qFormat/>
    <w:pPr>
      <w:ind w:firstLineChars="200" w:firstLine="420"/>
    </w:pPr>
    <w:rPr>
      <w:kern w:val="2"/>
      <w:sz w:val="21"/>
    </w:rPr>
  </w:style>
  <w:style w:type="character" w:customStyle="1" w:styleId="a6">
    <w:name w:val="正文文本 字符"/>
    <w:basedOn w:val="a0"/>
    <w:link w:val="a5"/>
    <w:semiHidden/>
    <w:qFormat/>
    <w:rPr>
      <w:rFonts w:ascii="Times New Roman" w:hAnsi="Times New Roman" w:cs="Times New Roman"/>
      <w:kern w:val="18"/>
    </w:rPr>
  </w:style>
  <w:style w:type="character" w:customStyle="1" w:styleId="af5">
    <w:name w:val="正文文本首行缩进 字符"/>
    <w:basedOn w:val="a6"/>
    <w:link w:val="af4"/>
    <w:qFormat/>
    <w:rPr>
      <w:rFonts w:ascii="等线" w:hAnsi="等线" w:cs="Times New Roman"/>
      <w:kern w:val="2"/>
      <w:sz w:val="24"/>
      <w:szCs w:val="24"/>
    </w:rPr>
  </w:style>
  <w:style w:type="character" w:customStyle="1" w:styleId="htmltxt1">
    <w:name w:val="html_txt1"/>
    <w:basedOn w:val="a0"/>
    <w:qFormat/>
    <w:rPr>
      <w:color w:val="000000"/>
    </w:rPr>
  </w:style>
  <w:style w:type="paragraph" w:customStyle="1" w:styleId="Afd">
    <w:name w:val="默认 A"/>
    <w:rsid w:val="00457ACD"/>
    <w:pPr>
      <w:pBdr>
        <w:top w:val="nil"/>
        <w:left w:val="nil"/>
        <w:bottom w:val="nil"/>
        <w:right w:val="nil"/>
        <w:between w:val="nil"/>
        <w:bar w:val="nil"/>
      </w:pBdr>
      <w:spacing w:before="160" w:line="288" w:lineRule="auto"/>
    </w:pPr>
    <w:rPr>
      <w:rFonts w:ascii="Arial Unicode MS" w:eastAsia="Arial Unicode MS" w:hAnsi="Arial Unicode MS" w:cs="Arial Unicode MS" w:hint="eastAsia"/>
      <w:color w:val="000000"/>
      <w:sz w:val="24"/>
      <w:szCs w:val="24"/>
      <w:u w:color="000000"/>
      <w:bdr w:val="nil"/>
      <w:lang w:val="zh-TW" w:eastAsia="zh-TW"/>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8633">
      <w:bodyDiv w:val="1"/>
      <w:marLeft w:val="0"/>
      <w:marRight w:val="0"/>
      <w:marTop w:val="0"/>
      <w:marBottom w:val="0"/>
      <w:divBdr>
        <w:top w:val="none" w:sz="0" w:space="0" w:color="auto"/>
        <w:left w:val="none" w:sz="0" w:space="0" w:color="auto"/>
        <w:bottom w:val="none" w:sz="0" w:space="0" w:color="auto"/>
        <w:right w:val="none" w:sz="0" w:space="0" w:color="auto"/>
      </w:divBdr>
    </w:div>
    <w:div w:id="513034980">
      <w:bodyDiv w:val="1"/>
      <w:marLeft w:val="0"/>
      <w:marRight w:val="0"/>
      <w:marTop w:val="0"/>
      <w:marBottom w:val="0"/>
      <w:divBdr>
        <w:top w:val="none" w:sz="0" w:space="0" w:color="auto"/>
        <w:left w:val="none" w:sz="0" w:space="0" w:color="auto"/>
        <w:bottom w:val="none" w:sz="0" w:space="0" w:color="auto"/>
        <w:right w:val="none" w:sz="0" w:space="0" w:color="auto"/>
      </w:divBdr>
    </w:div>
    <w:div w:id="1003434553">
      <w:bodyDiv w:val="1"/>
      <w:marLeft w:val="0"/>
      <w:marRight w:val="0"/>
      <w:marTop w:val="0"/>
      <w:marBottom w:val="0"/>
      <w:divBdr>
        <w:top w:val="none" w:sz="0" w:space="0" w:color="auto"/>
        <w:left w:val="none" w:sz="0" w:space="0" w:color="auto"/>
        <w:bottom w:val="none" w:sz="0" w:space="0" w:color="auto"/>
        <w:right w:val="none" w:sz="0" w:space="0" w:color="auto"/>
      </w:divBdr>
    </w:div>
    <w:div w:id="1096899143">
      <w:bodyDiv w:val="1"/>
      <w:marLeft w:val="0"/>
      <w:marRight w:val="0"/>
      <w:marTop w:val="0"/>
      <w:marBottom w:val="0"/>
      <w:divBdr>
        <w:top w:val="none" w:sz="0" w:space="0" w:color="auto"/>
        <w:left w:val="none" w:sz="0" w:space="0" w:color="auto"/>
        <w:bottom w:val="none" w:sz="0" w:space="0" w:color="auto"/>
        <w:right w:val="none" w:sz="0" w:space="0" w:color="auto"/>
      </w:divBdr>
    </w:div>
    <w:div w:id="1538466550">
      <w:bodyDiv w:val="1"/>
      <w:marLeft w:val="0"/>
      <w:marRight w:val="0"/>
      <w:marTop w:val="0"/>
      <w:marBottom w:val="0"/>
      <w:divBdr>
        <w:top w:val="none" w:sz="0" w:space="0" w:color="auto"/>
        <w:left w:val="none" w:sz="0" w:space="0" w:color="auto"/>
        <w:bottom w:val="none" w:sz="0" w:space="0" w:color="auto"/>
        <w:right w:val="none" w:sz="0" w:space="0" w:color="auto"/>
      </w:divBdr>
    </w:div>
    <w:div w:id="1546329669">
      <w:bodyDiv w:val="1"/>
      <w:marLeft w:val="0"/>
      <w:marRight w:val="0"/>
      <w:marTop w:val="0"/>
      <w:marBottom w:val="0"/>
      <w:divBdr>
        <w:top w:val="none" w:sz="0" w:space="0" w:color="auto"/>
        <w:left w:val="none" w:sz="0" w:space="0" w:color="auto"/>
        <w:bottom w:val="none" w:sz="0" w:space="0" w:color="auto"/>
        <w:right w:val="none" w:sz="0" w:space="0" w:color="auto"/>
      </w:divBdr>
    </w:div>
    <w:div w:id="1674718584">
      <w:bodyDiv w:val="1"/>
      <w:marLeft w:val="0"/>
      <w:marRight w:val="0"/>
      <w:marTop w:val="0"/>
      <w:marBottom w:val="0"/>
      <w:divBdr>
        <w:top w:val="none" w:sz="0" w:space="0" w:color="auto"/>
        <w:left w:val="none" w:sz="0" w:space="0" w:color="auto"/>
        <w:bottom w:val="none" w:sz="0" w:space="0" w:color="auto"/>
        <w:right w:val="none" w:sz="0" w:space="0" w:color="auto"/>
      </w:divBdr>
    </w:div>
    <w:div w:id="2000770042">
      <w:bodyDiv w:val="1"/>
      <w:marLeft w:val="0"/>
      <w:marRight w:val="0"/>
      <w:marTop w:val="0"/>
      <w:marBottom w:val="0"/>
      <w:divBdr>
        <w:top w:val="none" w:sz="0" w:space="0" w:color="auto"/>
        <w:left w:val="none" w:sz="0" w:space="0" w:color="auto"/>
        <w:bottom w:val="none" w:sz="0" w:space="0" w:color="auto"/>
        <w:right w:val="none" w:sz="0" w:space="0" w:color="auto"/>
      </w:divBdr>
    </w:div>
    <w:div w:id="2130052520">
      <w:bodyDiv w:val="1"/>
      <w:marLeft w:val="0"/>
      <w:marRight w:val="0"/>
      <w:marTop w:val="0"/>
      <w:marBottom w:val="0"/>
      <w:divBdr>
        <w:top w:val="none" w:sz="0" w:space="0" w:color="auto"/>
        <w:left w:val="none" w:sz="0" w:space="0" w:color="auto"/>
        <w:bottom w:val="none" w:sz="0" w:space="0" w:color="auto"/>
        <w:right w:val="none" w:sz="0" w:space="0" w:color="auto"/>
      </w:divBdr>
    </w:div>
    <w:div w:id="2143037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D3485-DDED-4913-A211-BD9306E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2967</Characters>
  <Application>Microsoft Office Word</Application>
  <DocSecurity>0</DocSecurity>
  <Lines>24</Lines>
  <Paragraphs>6</Paragraphs>
  <ScaleCrop>false</ScaleCrop>
  <Company>000</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wtt6.com 世商管理</cp:lastModifiedBy>
  <cp:revision>2</cp:revision>
  <cp:lastPrinted>2016-06-01T04:18:00Z</cp:lastPrinted>
  <dcterms:created xsi:type="dcterms:W3CDTF">2023-11-16T06:37:00Z</dcterms:created>
  <dcterms:modified xsi:type="dcterms:W3CDTF">2023-11-16T06:37:00Z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1ECAEA2CEEEC408DAD82FAE1F8B8D1F3</vt:lpwstr>
  </property>
  <property fmtid="{D5CDD505-2E9C-101B-9397-08002B2CF9AE}" pid="4" name="commondata">
    <vt:lpwstr>eyJoZGlkIjoiYzA5OGI5YTUxMTE3Mjk3YjcyYmNjMDA0NjIyNWU2NjYifQ==</vt:lpwstr>
  </property>
</Properties>
</file>