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07" w:y="106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ffffff"/>
          <w:spacing w:val="0"/>
          <w:sz w:val="24"/>
        </w:rPr>
      </w:pPr>
      <w:r>
        <w:rPr>
          <w:rFonts w:ascii="GLPOEG+MicrosoftYaHei" w:hAnsi="GLPOEG+MicrosoftYaHei" w:cs="GLPOEG+MicrosoftYaHei"/>
          <w:color w:val="ffffff"/>
          <w:spacing w:val="0"/>
          <w:sz w:val="24"/>
        </w:rPr>
        <w:t>帮 助 中 国 企 业 持 续 成 长</w:t>
      </w:r>
    </w:p>
    <w:p>
      <w:pPr>
        <w:pStyle w:val="Normal"/>
        <w:framePr w:w="10560" w:x="1249" w:y="2490"/>
        <w:widowControl w:val="off"/>
        <w:autoSpaceDE w:val="off"/>
        <w:autoSpaceDN w:val="off"/>
        <w:spacing w:before="0" w:after="0" w:line="100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96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96"/>
        </w:rPr>
        <w:t>时代华商学习卡课程</w:t>
      </w:r>
    </w:p>
    <w:p>
      <w:pPr>
        <w:pStyle w:val="Normal"/>
        <w:framePr w:w="6693" w:x="1330" w:y="3853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36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36"/>
        </w:rPr>
        <w:t>新一代企业学习平台价值领创者</w:t>
      </w:r>
    </w:p>
    <w:p>
      <w:pPr>
        <w:pStyle w:val="Normal"/>
        <w:framePr w:w="7072" w:x="1074" w:y="7232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40"/>
        </w:rPr>
        <w:t>金融学习系列—精品课|金融班</w:t>
      </w:r>
    </w:p>
    <w:p>
      <w:pPr>
        <w:pStyle w:val="Normal"/>
        <w:framePr w:w="9569" w:x="937" w:y="8099"/>
        <w:widowControl w:val="off"/>
        <w:autoSpaceDE w:val="off"/>
        <w:autoSpaceDN w:val="off"/>
        <w:spacing w:before="0" w:after="0" w:line="66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64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64"/>
        </w:rPr>
        <w:t>资产配置与全球投资机会分析</w:t>
      </w:r>
    </w:p>
    <w:p>
      <w:pPr>
        <w:pStyle w:val="Normal"/>
        <w:framePr w:w="1676" w:x="3992" w:y="8891"/>
        <w:widowControl w:val="off"/>
        <w:autoSpaceDE w:val="off"/>
        <w:autoSpaceDN w:val="off"/>
        <w:spacing w:before="0" w:after="0" w:line="833" w:lineRule="exact"/>
        <w:ind w:left="0" w:right="0" w:first-line="0"/>
        <w:jc w:val="left"/>
        <w:rPr>
          <w:rFonts w:ascii="TFENKO+MicrosoftYaHei-Bold"/>
          <w:color w:val="00416e"/>
          <w:spacing w:val="0"/>
          <w:sz w:val="80"/>
        </w:rPr>
      </w:pPr>
      <w:r>
        <w:rPr>
          <w:rFonts w:ascii="TFENKO+MicrosoftYaHei-Bold"/>
          <w:color w:val="00416e"/>
          <w:spacing w:val="0"/>
          <w:sz w:val="80"/>
        </w:rPr>
        <w:t xml:space="preserve">  </w:t>
      </w:r>
    </w:p>
    <w:p>
      <w:pPr>
        <w:pStyle w:val="Normal"/>
        <w:framePr w:w="5449" w:x="4469" w:y="9259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36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36"/>
        </w:rPr>
        <w:t>——中高净值人群财富第一课</w:t>
      </w:r>
    </w:p>
    <w:p>
      <w:pPr>
        <w:pStyle w:val="Normal"/>
        <w:framePr w:w="9049" w:x="937" w:y="10009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32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32"/>
        </w:rPr>
        <w:t>主讲：中鼎研究院院长、前诺亚财富首席投资官  熊靖宇</w:t>
      </w:r>
    </w:p>
    <w:p>
      <w:pPr>
        <w:pStyle w:val="Normal"/>
        <w:framePr w:w="1560" w:x="937" w:y="11027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课程对象：</w:t>
      </w:r>
    </w:p>
    <w:p>
      <w:pPr>
        <w:pStyle w:val="Normal"/>
        <w:framePr w:w="6348" w:x="937" w:y="1145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GLPOEG+MicrosoftYaHei" w:hAnsi="GLPOEG+MicrosoftYaHei" w:cs="GLPOEG+MicrosoftYaHei"/>
          <w:color w:val="0d0d0d"/>
          <w:spacing w:val="0"/>
          <w:sz w:val="24"/>
        </w:rPr>
        <w:t>1.有闲置资产，正在找寻投资机会的企业家</w:t>
      </w:r>
    </w:p>
    <w:p>
      <w:pPr>
        <w:pStyle w:val="Normal"/>
        <w:framePr w:w="6348" w:x="937" w:y="11459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GLPOEG+MicrosoftYaHei" w:hAnsi="GLPOEG+MicrosoftYaHei" w:cs="GLPOEG+MicrosoftYaHei"/>
          <w:color w:val="0d0d0d"/>
          <w:spacing w:val="0"/>
          <w:sz w:val="24"/>
        </w:rPr>
        <w:t>2.希望让财富保值、稳步增值的中高净值人群</w:t>
      </w:r>
    </w:p>
    <w:p>
      <w:pPr>
        <w:pStyle w:val="Normal"/>
        <w:framePr w:w="6348" w:x="937" w:y="11459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GLPOEG+MicrosoftYaHei" w:hAnsi="GLPOEG+MicrosoftYaHei" w:cs="GLPOEG+MicrosoftYaHei"/>
          <w:color w:val="0d0d0d"/>
          <w:spacing w:val="0"/>
          <w:sz w:val="24"/>
        </w:rPr>
        <w:t>3.需要分散资产配置，降低风险的高净值人士</w:t>
      </w:r>
    </w:p>
    <w:p>
      <w:pPr>
        <w:pStyle w:val="Normal"/>
        <w:framePr w:w="6348" w:x="937" w:y="11459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课程时间：</w:t>
      </w:r>
      <w:r>
        <w:rPr>
          <w:rFonts w:ascii="GLPOEG+MicrosoftYaHei" w:hAnsi="GLPOEG+MicrosoftYaHei" w:cs="GLPOEG+MicrosoftYaHei"/>
          <w:color w:val="0d0d0d"/>
          <w:spacing w:val="0"/>
          <w:sz w:val="24"/>
        </w:rPr>
        <w:t>2024年7月13-14日/12月21-22日</w:t>
      </w:r>
    </w:p>
    <w:p>
      <w:pPr>
        <w:pStyle w:val="Normal"/>
        <w:framePr w:w="6348" w:x="937" w:y="11459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课程地点：</w:t>
      </w:r>
      <w:r>
        <w:rPr>
          <w:rFonts w:ascii="GLPOEG+MicrosoftYaHei" w:hAnsi="GLPOEG+MicrosoftYaHei" w:cs="GLPOEG+MicrosoftYaHei"/>
          <w:color w:val="0d0d0d"/>
          <w:spacing w:val="0"/>
          <w:sz w:val="24"/>
        </w:rPr>
        <w:t>广州时代华商商学研究院（大湾区总部）</w:t>
      </w:r>
    </w:p>
    <w:p>
      <w:pPr>
        <w:pStyle w:val="Normal"/>
        <w:framePr w:w="6348" w:x="937" w:y="11459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课程费用：</w:t>
      </w:r>
      <w:r>
        <w:rPr>
          <w:rFonts w:ascii="GLPOEG+MicrosoftYaHei" w:hAnsi="GLPOEG+MicrosoftYaHei" w:cs="GLPOEG+MicrosoftYaHei"/>
          <w:color w:val="0d0d0d"/>
          <w:spacing w:val="0"/>
          <w:sz w:val="24"/>
        </w:rPr>
        <w:t>7800元/人，学习卡会员享受折扣</w:t>
      </w:r>
    </w:p>
    <w:p>
      <w:pPr>
        <w:pStyle w:val="Normal"/>
        <w:framePr w:w="4828" w:x="3925" w:y="14413"/>
        <w:widowControl w:val="off"/>
        <w:autoSpaceDE w:val="off"/>
        <w:autoSpaceDN w:val="off"/>
        <w:spacing w:before="0" w:after="0" w:line="66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64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64"/>
        </w:rPr>
        <w:t>课  程  简   介</w:t>
      </w:r>
    </w:p>
    <w:p>
      <w:pPr>
        <w:pStyle w:val="Normal"/>
        <w:framePr w:w="4862" w:x="3686" w:y="15503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767171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767171"/>
          <w:spacing w:val="0"/>
          <w:sz w:val="24"/>
        </w:rPr>
        <w:t>具体内容安排以课前3个月的邀请函为准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GLPOEG+MicrosoftYaHei" w:hAnsi="GLPOEG+MicrosoftYaHei" w:cs="GLPOEG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40"/>
        </w:rPr>
        <w:t>课程背景</w:t>
      </w:r>
    </w:p>
    <w:p>
      <w:pPr>
        <w:pStyle w:val="Normal"/>
        <w:framePr w:w="7821" w:x="937" w:y="2880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40"/>
        </w:rPr>
        <w:t>一套经济下行期的财富保值增值方法论</w:t>
      </w:r>
    </w:p>
    <w:p>
      <w:pPr>
        <w:pStyle w:val="Normal"/>
        <w:framePr w:w="11538" w:x="937" w:y="352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中国经济下行，资产暴雷频发，更多投资方向已经逐渐跳脱传统非标、固收、理</w:t>
      </w:r>
    </w:p>
    <w:p>
      <w:pPr>
        <w:pStyle w:val="Normal"/>
        <w:framePr w:w="11538" w:x="937" w:y="352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财或自行炒股、买房…等简单的投资范围。伴随着通缩抬头的趋势，资产如何保值</w:t>
      </w:r>
    </w:p>
    <w:p>
      <w:pPr>
        <w:pStyle w:val="Normal"/>
        <w:framePr w:w="11538" w:x="937" w:y="352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增长成为中高净值人群最关心的话题之一，然而中高净值人群却面临着这样的困</w:t>
      </w:r>
    </w:p>
    <w:p>
      <w:pPr>
        <w:pStyle w:val="Normal"/>
        <w:framePr w:w="11538" w:x="937" w:y="352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境——</w:t>
      </w:r>
    </w:p>
    <w:p>
      <w:pPr>
        <w:pStyle w:val="Normal"/>
        <w:framePr w:w="630" w:x="917" w:y="586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MQEWI+Wingdings-Regular"/>
          <w:color w:val="0d0d0d"/>
          <w:spacing w:val="0"/>
          <w:sz w:val="28"/>
        </w:rPr>
      </w:pPr>
      <w:r>
        <w:rPr>
          <w:rFonts w:ascii="VMQEWI+Wingdings-Regular"/>
          <w:color w:val="0d0d0d"/>
          <w:spacing w:val="0"/>
          <w:sz w:val="28"/>
        </w:rPr>
        <w:t>l</w:t>
      </w:r>
    </w:p>
    <w:p>
      <w:pPr>
        <w:pStyle w:val="Normal"/>
        <w:framePr w:w="630" w:x="917" w:y="5868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VMQEWI+Wingdings-Regular"/>
          <w:color w:val="0d0d0d"/>
          <w:spacing w:val="0"/>
          <w:sz w:val="28"/>
        </w:rPr>
      </w:pPr>
      <w:r>
        <w:rPr>
          <w:rFonts w:ascii="VMQEWI+Wingdings-Regular"/>
          <w:color w:val="0d0d0d"/>
          <w:spacing w:val="0"/>
          <w:sz w:val="28"/>
        </w:rPr>
        <w:t>l</w:t>
      </w:r>
    </w:p>
    <w:p>
      <w:pPr>
        <w:pStyle w:val="Normal"/>
        <w:framePr w:w="630" w:x="917" w:y="5868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VMQEWI+Wingdings-Regular"/>
          <w:color w:val="0d0d0d"/>
          <w:spacing w:val="0"/>
          <w:sz w:val="28"/>
        </w:rPr>
      </w:pPr>
      <w:r>
        <w:rPr>
          <w:rFonts w:ascii="VMQEWI+Wingdings-Regular"/>
          <w:color w:val="0d0d0d"/>
          <w:spacing w:val="0"/>
          <w:sz w:val="28"/>
        </w:rPr>
        <w:t>l</w:t>
      </w:r>
    </w:p>
    <w:p>
      <w:pPr>
        <w:pStyle w:val="Normal"/>
        <w:framePr w:w="10949" w:x="1647" w:y="586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8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8"/>
        </w:rPr>
        <w:t>缺乏理财知识，资产配置长期规划不足，结构不合理带来个人财富的消弭</w:t>
      </w:r>
    </w:p>
    <w:p>
      <w:pPr>
        <w:pStyle w:val="Normal"/>
        <w:framePr w:w="10949" w:x="1647" w:y="5868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8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8"/>
        </w:rPr>
        <w:t>没有打开环球视野格局，投资标的过于集中，难以做到真正的分散风险</w:t>
      </w:r>
    </w:p>
    <w:p>
      <w:pPr>
        <w:pStyle w:val="Normal"/>
        <w:framePr w:w="10949" w:x="1647" w:y="5868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8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8"/>
        </w:rPr>
        <w:t>难以与时俱进了解最新的市场风向，找不到优质投资品，拍脑袋式投资导致本</w:t>
      </w:r>
    </w:p>
    <w:p>
      <w:pPr>
        <w:pStyle w:val="Normal"/>
        <w:framePr w:w="1261" w:x="1367" w:y="738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8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8"/>
        </w:rPr>
        <w:t>金亏损</w:t>
      </w:r>
    </w:p>
    <w:p>
      <w:pPr>
        <w:pStyle w:val="Normal"/>
        <w:framePr w:w="11677" w:x="937" w:y="82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不将鸡蛋放在同一个篮子中，比具体知道当前要投资哪一个投资品更重要的是，掌</w:t>
      </w:r>
    </w:p>
    <w:p>
      <w:pPr>
        <w:pStyle w:val="Normal"/>
        <w:framePr w:w="11677" w:x="937" w:y="8218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握一套关于资产配置的底层方法论，从而实现知悉宏观环境、分析投资品种，精准</w:t>
      </w:r>
    </w:p>
    <w:p>
      <w:pPr>
        <w:pStyle w:val="Normal"/>
        <w:framePr w:w="11677" w:x="937" w:y="8218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配置资产的目标。</w:t>
      </w:r>
    </w:p>
    <w:p>
      <w:pPr>
        <w:pStyle w:val="Normal"/>
        <w:framePr w:w="11915" w:x="937" w:y="973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为了实现这一目标，我们特邀中鼎研究院院长、前诺亚财富首席投资官熊靖宇老师，</w:t>
      </w:r>
    </w:p>
    <w:p>
      <w:pPr>
        <w:pStyle w:val="Normal"/>
        <w:framePr w:w="11915" w:x="937" w:y="9730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带领您一起学习与成长。本课程从宏观经济环境分析开始，着重剖析了房、股、债、</w:t>
      </w:r>
    </w:p>
    <w:p>
      <w:pPr>
        <w:pStyle w:val="Normal"/>
        <w:framePr w:w="11915" w:x="937" w:y="9730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基、尖端科技项目等投资品类，既有成形的资产配置方法论，又有具体各类投资品</w:t>
      </w:r>
    </w:p>
    <w:p>
      <w:pPr>
        <w:pStyle w:val="Normal"/>
        <w:framePr w:w="11915" w:x="937" w:y="9730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种的投资逻辑分析，从而帮助中高净值人士拨开投资迷雾，找到适合自己需求的全</w:t>
      </w:r>
    </w:p>
    <w:p>
      <w:pPr>
        <w:pStyle w:val="Normal"/>
        <w:framePr w:w="11915" w:x="937" w:y="9730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球资产配置方法。</w:t>
      </w:r>
    </w:p>
    <w:p>
      <w:pPr>
        <w:pStyle w:val="Normal"/>
        <w:framePr w:w="2381" w:x="5032" w:y="12414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40"/>
        </w:rPr>
        <w:t>课程收获</w:t>
      </w:r>
    </w:p>
    <w:p>
      <w:pPr>
        <w:pStyle w:val="Normal"/>
        <w:framePr w:w="11380" w:x="937" w:y="13302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1、一套听得懂的关于货币、金融危机等宏观经济演化逻辑。</w:t>
      </w:r>
    </w:p>
    <w:p>
      <w:pPr>
        <w:pStyle w:val="Normal"/>
        <w:framePr w:w="11380" w:x="937" w:y="13302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2、习得资产配置方法论，包含资产配置4要素、财富生命周期方案、投资方案设计思路、财富</w:t>
      </w:r>
    </w:p>
    <w:p>
      <w:pPr>
        <w:pStyle w:val="Normal"/>
        <w:framePr w:w="11380" w:x="937" w:y="13302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传承模型等。</w:t>
      </w:r>
    </w:p>
    <w:p>
      <w:pPr>
        <w:pStyle w:val="Normal"/>
        <w:framePr w:w="11486" w:x="937" w:y="14598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3、掌握海内外大类资产的投资逻辑，包括信托、外汇、对冲基金、高收益债、地产等多项投资</w:t>
      </w:r>
    </w:p>
    <w:p>
      <w:pPr>
        <w:pStyle w:val="Normal"/>
        <w:framePr w:w="11486" w:x="937" w:y="14598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标的。</w:t>
      </w:r>
    </w:p>
    <w:p>
      <w:pPr>
        <w:pStyle w:val="Normal"/>
        <w:framePr w:w="10682" w:x="937" w:y="15462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d0d0d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d0d0d"/>
          <w:spacing w:val="0"/>
          <w:sz w:val="24"/>
        </w:rPr>
        <w:t>4、了解包括AI、大数据、云计算、区块链等全球尖端科技项目的投资前景与机会分析。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0pt;margin-top:0pt;z-index:-7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GLPOEG+MicrosoftYaHei" w:hAnsi="GLPOEG+MicrosoftYaHei" w:cs="GLPOEG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40"/>
        </w:rPr>
        <w:t>课程特色</w:t>
      </w:r>
    </w:p>
    <w:p>
      <w:pPr>
        <w:pStyle w:val="Normal"/>
        <w:framePr w:w="1541" w:x="1867" w:y="309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8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8"/>
        </w:rPr>
        <w:t>环球视野</w:t>
      </w:r>
    </w:p>
    <w:p>
      <w:pPr>
        <w:pStyle w:val="Normal"/>
        <w:framePr w:w="847" w:x="1114" w:y="3385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/>
          <w:color w:val="ffffff"/>
          <w:spacing w:val="0"/>
          <w:sz w:val="40"/>
        </w:rPr>
      </w:pPr>
      <w:r>
        <w:rPr>
          <w:rFonts w:ascii="TFENKO+MicrosoftYaHei-Bold"/>
          <w:color w:val="ffffff"/>
          <w:spacing w:val="0"/>
          <w:sz w:val="40"/>
        </w:rPr>
        <w:t>1</w:t>
      </w:r>
    </w:p>
    <w:p>
      <w:pPr>
        <w:pStyle w:val="Normal"/>
        <w:framePr w:w="847" w:x="1114" w:y="3385"/>
        <w:widowControl w:val="off"/>
        <w:autoSpaceDE w:val="off"/>
        <w:autoSpaceDN w:val="off"/>
        <w:spacing w:before="0" w:after="0" w:line="1715" w:lineRule="exact"/>
        <w:ind w:left="0" w:right="0" w:first-line="0"/>
        <w:jc w:val="left"/>
        <w:rPr>
          <w:rFonts w:ascii="TFENKO+MicrosoftYaHei-Bold"/>
          <w:color w:val="ffffff"/>
          <w:spacing w:val="0"/>
          <w:sz w:val="40"/>
        </w:rPr>
      </w:pPr>
      <w:r>
        <w:rPr>
          <w:rFonts w:ascii="TFENKO+MicrosoftYaHei-Bold"/>
          <w:color w:val="ffffff"/>
          <w:spacing w:val="0"/>
          <w:sz w:val="40"/>
        </w:rPr>
        <w:t>2</w:t>
      </w:r>
    </w:p>
    <w:p>
      <w:pPr>
        <w:pStyle w:val="Normal"/>
        <w:framePr w:w="8695" w:x="1867" w:y="359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具有全球宏观经济视野，深度洞察国内国外蕴含的投资机会点</w:t>
      </w:r>
    </w:p>
    <w:p>
      <w:pPr>
        <w:pStyle w:val="Normal"/>
        <w:framePr w:w="1541" w:x="1827" w:y="474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8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8"/>
        </w:rPr>
        <w:t>前沿预判</w:t>
      </w:r>
    </w:p>
    <w:p>
      <w:pPr>
        <w:pStyle w:val="Normal"/>
        <w:framePr w:w="10512" w:x="1827" w:y="525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通过分析当下经济环境，预判对未来大类资产可能造成的影响，快人半</w:t>
      </w:r>
    </w:p>
    <w:p>
      <w:pPr>
        <w:pStyle w:val="Normal"/>
        <w:framePr w:w="10512" w:x="1827" w:y="5251"/>
        <w:widowControl w:val="off"/>
        <w:autoSpaceDE w:val="off"/>
        <w:autoSpaceDN w:val="off"/>
        <w:spacing w:before="0" w:after="0" w:line="207" w:lineRule="exact"/>
        <w:ind w:left="242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0"/>
        </w:rPr>
      </w:pPr>
      <w:r>
        <w:rPr>
          <w:rFonts w:ascii="GLPOEG+MicrosoftYaHei" w:hAnsi="GLPOEG+MicrosoftYaHei" w:cs="GLPOEG+MicrosoftYaHei"/>
          <w:color w:val="000000"/>
          <w:spacing w:val="0"/>
          <w:sz w:val="20"/>
        </w:rPr>
        <w:t>实战：有具体的私募机构内部运作流程，以及老师个人参投的各个项目经验分享，具有较强的实战应</w:t>
      </w:r>
    </w:p>
    <w:p>
      <w:pPr>
        <w:pStyle w:val="Normal"/>
        <w:framePr w:w="699" w:x="2069" w:y="5671"/>
        <w:widowControl w:val="off"/>
        <w:autoSpaceDE w:val="off"/>
        <w:autoSpaceDN w:val="off"/>
        <w:spacing w:before="0" w:after="0" w:line="207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0"/>
        </w:rPr>
      </w:pPr>
      <w:r>
        <w:rPr>
          <w:rFonts w:ascii="GLPOEG+MicrosoftYaHei" w:hAnsi="GLPOEG+MicrosoftYaHei" w:cs="GLPOEG+MicrosoftYaHei"/>
          <w:color w:val="000000"/>
          <w:spacing w:val="0"/>
          <w:sz w:val="20"/>
        </w:rPr>
        <w:t>用性</w:t>
      </w:r>
    </w:p>
    <w:p>
      <w:pPr>
        <w:pStyle w:val="Normal"/>
        <w:framePr w:w="1541" w:x="1827" w:y="575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步做决策</w:t>
      </w:r>
    </w:p>
    <w:p>
      <w:pPr>
        <w:pStyle w:val="Normal"/>
        <w:framePr w:w="1541" w:x="1849" w:y="674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8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8"/>
        </w:rPr>
        <w:t>实战应用</w:t>
      </w:r>
    </w:p>
    <w:p>
      <w:pPr>
        <w:pStyle w:val="Normal"/>
        <w:framePr w:w="847" w:x="1114" w:y="7183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/>
          <w:color w:val="ffffff"/>
          <w:spacing w:val="0"/>
          <w:sz w:val="40"/>
        </w:rPr>
      </w:pPr>
      <w:r>
        <w:rPr>
          <w:rFonts w:ascii="TFENKO+MicrosoftYaHei-Bold"/>
          <w:color w:val="ffffff"/>
          <w:spacing w:val="0"/>
          <w:sz w:val="40"/>
        </w:rPr>
        <w:t>3</w:t>
      </w:r>
    </w:p>
    <w:p>
      <w:pPr>
        <w:pStyle w:val="Normal"/>
        <w:framePr w:w="10489" w:x="1849" w:y="724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输出1套具体的资产配置方法论，有效指引个体思考如何做好资产配置，</w:t>
      </w:r>
    </w:p>
    <w:p>
      <w:pPr>
        <w:pStyle w:val="Normal"/>
        <w:framePr w:w="10489" w:x="1849" w:y="7247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让投资的知识不再零散碎片。</w:t>
      </w:r>
    </w:p>
    <w:p>
      <w:pPr>
        <w:pStyle w:val="Normal"/>
        <w:framePr w:w="2381" w:x="5032" w:y="8674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40"/>
        </w:rPr>
        <w:t>课程大纲</w:t>
      </w:r>
    </w:p>
    <w:p>
      <w:pPr>
        <w:pStyle w:val="Normal"/>
        <w:framePr w:w="3036" w:x="1158" w:y="9657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4"/>
        </w:rPr>
        <w:t>一、揭开投资神秘的面纱</w:t>
      </w:r>
    </w:p>
    <w:p>
      <w:pPr>
        <w:pStyle w:val="Normal"/>
        <w:framePr w:w="3036" w:x="1158" w:y="9657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1.GDP与景气循环</w:t>
      </w:r>
    </w:p>
    <w:p>
      <w:pPr>
        <w:pStyle w:val="Normal"/>
        <w:framePr w:w="2809" w:x="1158" w:y="1052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2.钱不只是被印出来的</w:t>
      </w:r>
    </w:p>
    <w:p>
      <w:pPr>
        <w:pStyle w:val="Normal"/>
        <w:framePr w:w="2809" w:x="1158" w:y="1052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3.破解2008年金融危机</w:t>
      </w:r>
    </w:p>
    <w:p>
      <w:pPr>
        <w:pStyle w:val="Normal"/>
        <w:framePr w:w="2809" w:x="1158" w:y="1052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4.中国与套利者央行</w:t>
      </w:r>
    </w:p>
    <w:p>
      <w:pPr>
        <w:pStyle w:val="Normal"/>
        <w:framePr w:w="4369" w:x="1158" w:y="1224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4"/>
        </w:rPr>
        <w:t>二、资产配置与财富传承</w:t>
      </w:r>
    </w:p>
    <w:p>
      <w:pPr>
        <w:pStyle w:val="Normal"/>
        <w:framePr w:w="4369" w:x="1158" w:y="12249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1.资产配置的四大关键策略</w:t>
      </w:r>
    </w:p>
    <w:p>
      <w:pPr>
        <w:pStyle w:val="Normal"/>
        <w:framePr w:w="4369" w:x="1158" w:y="12249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2.顶尖捐赠基金、养老金的投资组合</w:t>
      </w:r>
    </w:p>
    <w:p>
      <w:pPr>
        <w:pStyle w:val="Normal"/>
        <w:framePr w:w="4369" w:x="1158" w:y="12249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3.个人/家庭配置路径</w:t>
      </w:r>
    </w:p>
    <w:p>
      <w:pPr>
        <w:pStyle w:val="Normal"/>
        <w:framePr w:w="2989" w:x="1158" w:y="13977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4.资产配置实际案例剖析</w:t>
      </w:r>
    </w:p>
    <w:p>
      <w:pPr>
        <w:pStyle w:val="Normal"/>
        <w:framePr w:w="2989" w:x="1158" w:y="13977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5.信托与保险</w:t>
      </w:r>
    </w:p>
    <w:p>
      <w:pPr>
        <w:pStyle w:val="Normal"/>
        <w:framePr w:w="1999" w:x="1158" w:y="1484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6.信托案例解析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0pt;margin-top:0pt;z-index:-11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GLPOEG+MicrosoftYaHei" w:hAnsi="GLPOEG+MicrosoftYaHei" w:cs="GLPOEG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4" w:y="2039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40"/>
        </w:rPr>
        <w:t>课程大纲</w:t>
      </w:r>
    </w:p>
    <w:p>
      <w:pPr>
        <w:pStyle w:val="Normal"/>
        <w:framePr w:w="2520" w:x="1158" w:y="275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4"/>
        </w:rPr>
        <w:t>三、股票与对冲基金</w:t>
      </w:r>
    </w:p>
    <w:p>
      <w:pPr>
        <w:pStyle w:val="Normal"/>
        <w:framePr w:w="2520" w:x="1158" w:y="275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1.基金筛选论</w:t>
      </w:r>
    </w:p>
    <w:p>
      <w:pPr>
        <w:pStyle w:val="Normal"/>
        <w:framePr w:w="2479" w:x="1158" w:y="344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2.私募基金的全类别</w:t>
      </w:r>
    </w:p>
    <w:p>
      <w:pPr>
        <w:pStyle w:val="Normal"/>
        <w:framePr w:w="2479" w:x="1158" w:y="344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3.中国股市投资机会</w:t>
      </w:r>
    </w:p>
    <w:p>
      <w:pPr>
        <w:pStyle w:val="Normal"/>
        <w:framePr w:w="2479" w:x="1158" w:y="344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4.对冲基金</w:t>
      </w:r>
    </w:p>
    <w:p>
      <w:pPr>
        <w:pStyle w:val="Normal"/>
        <w:framePr w:w="1519" w:x="1158" w:y="447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5.外汇投资</w:t>
      </w:r>
    </w:p>
    <w:p>
      <w:pPr>
        <w:pStyle w:val="Normal"/>
        <w:framePr w:w="2040" w:x="1158" w:y="516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4"/>
        </w:rPr>
        <w:t>四、债券与信贷</w:t>
      </w:r>
    </w:p>
    <w:p>
      <w:pPr>
        <w:pStyle w:val="Normal"/>
        <w:framePr w:w="3817" w:x="1158" w:y="551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1.信托、非标、理财的转型之路</w:t>
      </w:r>
    </w:p>
    <w:p>
      <w:pPr>
        <w:pStyle w:val="Normal"/>
        <w:framePr w:w="3817" w:x="1158" w:y="551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2.影响债券投资的关键因素</w:t>
      </w:r>
    </w:p>
    <w:p>
      <w:pPr>
        <w:pStyle w:val="Normal"/>
        <w:framePr w:w="3817" w:x="1158" w:y="551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3.投资级债、高收益债与信贷</w:t>
      </w:r>
    </w:p>
    <w:p>
      <w:pPr>
        <w:pStyle w:val="Normal"/>
        <w:framePr w:w="3817" w:x="1158" w:y="551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4.高收益债与新兴市场债</w:t>
      </w:r>
    </w:p>
    <w:p>
      <w:pPr>
        <w:pStyle w:val="Normal"/>
        <w:framePr w:w="3817" w:x="1158" w:y="551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5.困境投资</w:t>
      </w:r>
    </w:p>
    <w:p>
      <w:pPr>
        <w:pStyle w:val="Normal"/>
        <w:framePr w:w="4245" w:x="1158" w:y="758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4"/>
        </w:rPr>
        <w:t>五、私募股权与并购</w:t>
      </w:r>
    </w:p>
    <w:p>
      <w:pPr>
        <w:pStyle w:val="Normal"/>
        <w:framePr w:w="4245" w:x="1158" w:y="758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1.私募股权的全分类</w:t>
      </w:r>
    </w:p>
    <w:p>
      <w:pPr>
        <w:pStyle w:val="Normal"/>
        <w:framePr w:w="4245" w:x="1158" w:y="758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2.直投、基金、母基金(FOF)的优劣</w:t>
      </w:r>
    </w:p>
    <w:p>
      <w:pPr>
        <w:pStyle w:val="Normal"/>
        <w:framePr w:w="4245" w:x="1158" w:y="758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3.PE基金案例剖析</w:t>
      </w:r>
    </w:p>
    <w:p>
      <w:pPr>
        <w:pStyle w:val="Normal"/>
        <w:framePr w:w="1898" w:x="1158" w:y="896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4.另类的S基金</w:t>
      </w:r>
    </w:p>
    <w:p>
      <w:pPr>
        <w:pStyle w:val="Normal"/>
        <w:framePr w:w="1800" w:x="1158" w:y="965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4"/>
        </w:rPr>
        <w:t>六、地产投资</w:t>
      </w:r>
    </w:p>
    <w:p>
      <w:pPr>
        <w:pStyle w:val="Normal"/>
        <w:framePr w:w="1999" w:x="1158" w:y="999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1.中国地产投资</w:t>
      </w:r>
    </w:p>
    <w:p>
      <w:pPr>
        <w:pStyle w:val="Normal"/>
        <w:framePr w:w="1999" w:x="1158" w:y="1034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2.全球地产投资</w:t>
      </w:r>
    </w:p>
    <w:p>
      <w:pPr>
        <w:pStyle w:val="Normal"/>
        <w:framePr w:w="3114" w:x="1158" w:y="1068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3.REITs与核心增益型基金</w:t>
      </w:r>
    </w:p>
    <w:p>
      <w:pPr>
        <w:pStyle w:val="Normal"/>
        <w:framePr w:w="3114" w:x="1158" w:y="10686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4.地产投资实际案例剖析</w:t>
      </w:r>
    </w:p>
    <w:p>
      <w:pPr>
        <w:pStyle w:val="Normal"/>
        <w:framePr w:w="3265" w:x="1158" w:y="1172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4"/>
        </w:rPr>
        <w:t>七、全球投资趋势分析</w:t>
      </w:r>
    </w:p>
    <w:p>
      <w:pPr>
        <w:pStyle w:val="Normal"/>
        <w:framePr w:w="3265" w:x="1158" w:y="1172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1.对抗下新时代的中美关系</w:t>
      </w:r>
    </w:p>
    <w:p>
      <w:pPr>
        <w:pStyle w:val="Normal"/>
        <w:framePr w:w="3265" w:x="1158" w:y="1172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2.全球大印钞的结局</w:t>
      </w:r>
    </w:p>
    <w:p>
      <w:pPr>
        <w:pStyle w:val="Normal"/>
        <w:framePr w:w="2479" w:x="1158" w:y="1275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3.美国的软肋与要害</w:t>
      </w:r>
    </w:p>
    <w:p>
      <w:pPr>
        <w:pStyle w:val="Normal"/>
        <w:framePr w:w="2989" w:x="1158" w:y="1310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4.资产负债表衰退启示录</w:t>
      </w:r>
    </w:p>
    <w:p>
      <w:pPr>
        <w:pStyle w:val="Normal"/>
        <w:framePr w:w="2280" w:x="1158" w:y="1379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4"/>
        </w:rPr>
      </w:pPr>
      <w:r>
        <w:rPr>
          <w:rFonts w:ascii="TFENKO+MicrosoftYaHei-Bold" w:hAnsi="TFENKO+MicrosoftYaHei-Bold" w:cs="TFENKO+MicrosoftYaHei-Bold"/>
          <w:color w:val="000000"/>
          <w:spacing w:val="0"/>
          <w:sz w:val="24"/>
        </w:rPr>
        <w:t>八、尖端科技投资</w:t>
      </w:r>
    </w:p>
    <w:p>
      <w:pPr>
        <w:pStyle w:val="Normal"/>
        <w:framePr w:w="1759" w:x="1158" w:y="1413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1.AI人工智能</w:t>
      </w:r>
    </w:p>
    <w:p>
      <w:pPr>
        <w:pStyle w:val="Normal"/>
        <w:framePr w:w="3541" w:x="1158" w:y="1448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2.区块链与生技医疗</w:t>
      </w:r>
    </w:p>
    <w:p>
      <w:pPr>
        <w:pStyle w:val="Normal"/>
        <w:framePr w:w="3541" w:x="1158" w:y="1448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3.云计算、小卫星与芯片革命</w:t>
      </w:r>
    </w:p>
    <w:p>
      <w:pPr>
        <w:pStyle w:val="Normal"/>
        <w:framePr w:w="3541" w:x="1158" w:y="14481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4.大数据、自驾车与元宇宙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0pt;margin-top:0pt;z-index:-15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GLPOEG+MicrosoftYaHei" w:hAnsi="GLPOEG+MicrosoftYaHei" w:cs="GLPOEG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40"/>
        </w:rPr>
        <w:t>专家简介</w:t>
      </w:r>
    </w:p>
    <w:p>
      <w:pPr>
        <w:pStyle w:val="Normal"/>
        <w:framePr w:w="2160" w:x="4525" w:y="4212"/>
        <w:widowControl w:val="off"/>
        <w:autoSpaceDE w:val="off"/>
        <w:autoSpaceDN w:val="off"/>
        <w:spacing w:before="0" w:after="0" w:line="500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48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48"/>
        </w:rPr>
        <w:t>熊靖宇</w:t>
      </w:r>
    </w:p>
    <w:p>
      <w:pPr>
        <w:pStyle w:val="Normal"/>
        <w:framePr w:w="5797" w:x="4525" w:y="491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416e"/>
          <w:spacing w:val="0"/>
          <w:sz w:val="28"/>
        </w:rPr>
      </w:pPr>
      <w:r>
        <w:rPr>
          <w:rFonts w:ascii="GLPOEG+MicrosoftYaHei" w:hAnsi="GLPOEG+MicrosoftYaHei" w:cs="GLPOEG+MicrosoftYaHei"/>
          <w:color w:val="00416e"/>
          <w:spacing w:val="0"/>
          <w:sz w:val="28"/>
        </w:rPr>
        <w:t>中鼎研究院院长、前诺亚财富首席投资官</w:t>
      </w:r>
    </w:p>
    <w:p>
      <w:pPr>
        <w:pStyle w:val="Normal"/>
        <w:framePr w:w="3001" w:x="731" w:y="7052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40"/>
        </w:rPr>
        <w:t>【专业背景】</w:t>
      </w:r>
    </w:p>
    <w:p>
      <w:pPr>
        <w:pStyle w:val="Normal"/>
        <w:framePr w:w="11537" w:x="937" w:y="765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熊靖宇老师目前是中鼎研究院院长，经济趋势专家，中欧国际工商学院FMBA。曾任诺亚财富-</w:t>
      </w:r>
    </w:p>
    <w:p>
      <w:pPr>
        <w:pStyle w:val="Normal"/>
        <w:framePr w:w="11537" w:x="937" w:y="7656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首席投资顾问、富邦证券-资深协理、全球人寿-宏观分析师、安联基金-投资经理。</w:t>
      </w:r>
    </w:p>
    <w:p>
      <w:pPr>
        <w:pStyle w:val="Normal"/>
        <w:framePr w:w="3001" w:x="731" w:y="8552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40"/>
        </w:rPr>
        <w:t>【实战经验】</w:t>
      </w:r>
    </w:p>
    <w:p>
      <w:pPr>
        <w:pStyle w:val="Normal"/>
        <w:framePr w:w="11537" w:x="937" w:y="9144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擅长经济趋势分析，曾成功预言欧元贬值、新兴市场股灾，黄金崩跌等重大财经事件。</w:t>
      </w:r>
    </w:p>
    <w:p>
      <w:pPr>
        <w:pStyle w:val="Normal"/>
        <w:framePr w:w="11537" w:x="937" w:y="9144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创办诺亚海外板块并担任事业部总经理，负责整体海外产品业务，2017年同时带领国内二级市</w:t>
      </w:r>
    </w:p>
    <w:p>
      <w:pPr>
        <w:pStyle w:val="Normal"/>
        <w:framePr w:w="11537" w:x="937" w:y="9144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场板块并兼任事业部总经理。</w:t>
      </w:r>
    </w:p>
    <w:p>
      <w:pPr>
        <w:pStyle w:val="Normal"/>
        <w:framePr w:w="3312" w:x="937" w:y="10008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诺亚财富期间内主导发行：</w:t>
      </w:r>
    </w:p>
    <w:p>
      <w:pPr>
        <w:pStyle w:val="Normal"/>
        <w:framePr w:w="4027" w:x="1177" w:y="1029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黑石集团  在中国第一支私募基金</w:t>
      </w:r>
    </w:p>
    <w:p>
      <w:pPr>
        <w:pStyle w:val="Normal"/>
        <w:framePr w:w="2521" w:x="5105" w:y="1029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成功募集2.15亿美元</w:t>
      </w:r>
    </w:p>
    <w:p>
      <w:pPr>
        <w:pStyle w:val="Normal"/>
        <w:framePr w:w="11537" w:x="937" w:y="10584"/>
        <w:widowControl w:val="off"/>
        <w:autoSpaceDE w:val="off"/>
        <w:autoSpaceDN w:val="off"/>
        <w:spacing w:before="0" w:after="0" w:line="250" w:lineRule="exact"/>
        <w:ind w:left="24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橡树资本  在中国第一支QDLP基金    成功募集2.2亿美元</w:t>
      </w:r>
    </w:p>
    <w:p>
      <w:pPr>
        <w:pStyle w:val="Normal"/>
        <w:framePr w:w="11537" w:x="937" w:y="10584"/>
        <w:widowControl w:val="off"/>
        <w:autoSpaceDE w:val="off"/>
        <w:autoSpaceDN w:val="off"/>
        <w:spacing w:before="0" w:after="0" w:line="288" w:lineRule="exact"/>
        <w:ind w:left="24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瑞士合众  在中国第一支全配置基金    成功募集2亿美元</w:t>
      </w:r>
    </w:p>
    <w:p>
      <w:pPr>
        <w:pStyle w:val="Normal"/>
        <w:framePr w:w="11537" w:x="937" w:y="10584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合作机构包含：</w:t>
      </w:r>
    </w:p>
    <w:p>
      <w:pPr>
        <w:pStyle w:val="Normal"/>
        <w:framePr w:w="11537" w:x="937" w:y="10584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黑石、橡树、凯雷、KKR、TPG、华平、合众、高盛、贝莱德、道富、红衫、光速、Founders</w:t>
      </w:r>
    </w:p>
    <w:p>
      <w:pPr>
        <w:pStyle w:val="Normal"/>
        <w:framePr w:w="11537" w:x="937" w:y="10584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Fund、IDG、惠理、景林、高毅…等。</w:t>
      </w:r>
    </w:p>
    <w:p>
      <w:pPr>
        <w:pStyle w:val="Normal"/>
        <w:framePr w:w="3001" w:x="814" w:y="12295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40"/>
        </w:rPr>
        <w:t>【授课风格】</w:t>
      </w:r>
    </w:p>
    <w:p>
      <w:pPr>
        <w:pStyle w:val="Normal"/>
        <w:framePr w:w="11537" w:x="1019" w:y="1295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擅长从全球宏观经济的视野出发，深刻分析每种投资品背后的逻辑，提纲挈领，风趣幽默，擅</w:t>
      </w:r>
    </w:p>
    <w:p>
      <w:pPr>
        <w:pStyle w:val="Normal"/>
        <w:framePr w:w="11537" w:x="1019" w:y="12959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长将高净值人士的资产配置经验萃取总结，形成切实可行的财富管理方法论，注重视野的多维</w:t>
      </w:r>
    </w:p>
    <w:p>
      <w:pPr>
        <w:pStyle w:val="Normal"/>
        <w:framePr w:w="11537" w:x="1019" w:y="12959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及经验的转移。</w:t>
      </w:r>
    </w:p>
    <w:p>
      <w:pPr>
        <w:pStyle w:val="Normal"/>
        <w:framePr w:w="3001" w:x="854" w:y="14114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416e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00416e"/>
          <w:spacing w:val="0"/>
          <w:sz w:val="40"/>
        </w:rPr>
        <w:t>【主讲课程】</w:t>
      </w:r>
    </w:p>
    <w:p>
      <w:pPr>
        <w:pStyle w:val="Normal"/>
        <w:framePr w:w="5244" w:x="1059" w:y="14778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《宏观经济分析》《财富管理与资产配置》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0pt;margin-top:0pt;z-index:-19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d0d0d"/>
          <w:spacing w:val="0"/>
          <w:sz w:val="24"/>
        </w:rPr>
      </w:pPr>
      <w:r>
        <w:rPr>
          <w:rFonts w:ascii="GLPOEG+MicrosoftYaHei" w:hAnsi="GLPOEG+MicrosoftYaHei" w:cs="GLPOEG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841" w:x="4802" w:y="2580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ffffff"/>
          <w:spacing w:val="0"/>
          <w:sz w:val="40"/>
        </w:rPr>
      </w:pPr>
      <w:r>
        <w:rPr>
          <w:rFonts w:ascii="TFENKO+MicrosoftYaHei-Bold" w:hAnsi="TFENKO+MicrosoftYaHei-Bold" w:cs="TFENKO+MicrosoftYaHei-Bold"/>
          <w:color w:val="ffffff"/>
          <w:spacing w:val="0"/>
          <w:sz w:val="40"/>
        </w:rPr>
        <w:t>关键知识点</w:t>
      </w:r>
    </w:p>
    <w:p>
      <w:pPr>
        <w:pStyle w:val="Normal"/>
        <w:framePr w:w="2551" w:x="1048" w:y="1048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8"/>
        </w:rPr>
      </w:pPr>
      <w:r>
        <w:rPr>
          <w:rFonts w:ascii="VMQEWI+Wingdings-Regular"/>
          <w:color w:val="000000"/>
          <w:spacing w:val="0"/>
          <w:sz w:val="28"/>
        </w:rPr>
        <w:t xml:space="preserve">l   </w:t>
      </w:r>
      <w:r>
        <w:rPr>
          <w:rFonts w:ascii="TFENKO+MicrosoftYaHei-Bold" w:hAnsi="TFENKO+MicrosoftYaHei-Bold" w:cs="TFENKO+MicrosoftYaHei-Bold"/>
          <w:color w:val="000000"/>
          <w:spacing w:val="0"/>
          <w:sz w:val="28"/>
        </w:rPr>
        <w:t>资产配置策略</w:t>
      </w:r>
    </w:p>
    <w:p>
      <w:pPr>
        <w:pStyle w:val="Normal"/>
        <w:framePr w:w="10949" w:x="1048" w:y="1099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财富生命周期的资产配置策略，一图读懂财富如何起步、积累与实现背后的需</w:t>
      </w:r>
    </w:p>
    <w:p>
      <w:pPr>
        <w:pStyle w:val="Normal"/>
        <w:framePr w:w="10949" w:x="1048" w:y="10991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求特征和配置工具与重点。</w:t>
      </w:r>
    </w:p>
    <w:p>
      <w:pPr>
        <w:pStyle w:val="Normal"/>
        <w:framePr w:w="2551" w:x="1048" w:y="1199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TFENKO+MicrosoftYaHei-Bold" w:hAnsi="TFENKO+MicrosoftYaHei-Bold" w:cs="TFENKO+MicrosoftYaHei-Bold"/>
          <w:color w:val="000000"/>
          <w:spacing w:val="0"/>
          <w:sz w:val="28"/>
        </w:rPr>
      </w:pPr>
      <w:r>
        <w:rPr>
          <w:rFonts w:ascii="VMQEWI+Wingdings-Regular"/>
          <w:color w:val="000000"/>
          <w:spacing w:val="0"/>
          <w:sz w:val="28"/>
        </w:rPr>
        <w:t xml:space="preserve">l   </w:t>
      </w:r>
      <w:r>
        <w:rPr>
          <w:rFonts w:ascii="TFENKO+MicrosoftYaHei-Bold" w:hAnsi="TFENKO+MicrosoftYaHei-Bold" w:cs="TFENKO+MicrosoftYaHei-Bold"/>
          <w:color w:val="000000"/>
          <w:spacing w:val="0"/>
          <w:sz w:val="28"/>
        </w:rPr>
        <w:t>财富规划模型</w:t>
      </w:r>
    </w:p>
    <w:p>
      <w:pPr>
        <w:pStyle w:val="Normal"/>
        <w:framePr w:w="11216" w:x="1048" w:y="1250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总结一套从</w:t>
      </w:r>
      <w:r>
        <w:rPr>
          <w:rFonts w:ascii="IMDTBI+ArialMT"/>
          <w:color w:val="000000"/>
          <w:spacing w:val="0"/>
          <w:sz w:val="28"/>
        </w:rPr>
        <w:t>20</w:t>
      </w:r>
      <w:r>
        <w:rPr>
          <w:rFonts w:ascii="GLPOEG+MicrosoftYaHei" w:hAnsi="GLPOEG+MicrosoftYaHei" w:cs="GLPOEG+MicrosoftYaHei"/>
          <w:color w:val="000000"/>
          <w:spacing w:val="0"/>
          <w:sz w:val="28"/>
        </w:rPr>
        <w:t>岁到</w:t>
      </w:r>
      <w:r>
        <w:rPr>
          <w:rFonts w:ascii="IMDTBI+ArialMT"/>
          <w:color w:val="000000"/>
          <w:spacing w:val="0"/>
          <w:sz w:val="28"/>
        </w:rPr>
        <w:t>60</w:t>
      </w:r>
      <w:r>
        <w:rPr>
          <w:rFonts w:ascii="GLPOEG+MicrosoftYaHei" w:hAnsi="GLPOEG+MicrosoftYaHei" w:cs="GLPOEG+MicrosoftYaHei"/>
          <w:color w:val="000000"/>
          <w:spacing w:val="0"/>
          <w:sz w:val="28"/>
        </w:rPr>
        <w:t>岁</w:t>
      </w:r>
      <w:r>
        <w:rPr>
          <w:rFonts w:ascii="IMDTBI+ArialMT"/>
          <w:color w:val="000000"/>
          <w:spacing w:val="0"/>
          <w:sz w:val="28"/>
        </w:rPr>
        <w:t>+</w:t>
      </w:r>
      <w:r>
        <w:rPr>
          <w:rFonts w:ascii="GLPOEG+MicrosoftYaHei" w:hAnsi="GLPOEG+MicrosoftYaHei" w:cs="GLPOEG+MicrosoftYaHei"/>
          <w:color w:val="000000"/>
          <w:spacing w:val="0"/>
          <w:sz w:val="28"/>
        </w:rPr>
        <w:t>的财富规划路径，根据大数据的统计，重点呈现每个年</w:t>
      </w:r>
    </w:p>
    <w:p>
      <w:pPr>
        <w:pStyle w:val="Normal"/>
        <w:framePr w:w="11216" w:x="1048" w:y="12503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龄阶段的需求、产品和配置区域，旨在帮助中高净值人群建立一条清晰的财富</w:t>
      </w:r>
    </w:p>
    <w:p>
      <w:pPr>
        <w:pStyle w:val="Normal"/>
        <w:framePr w:w="11216" w:x="1048" w:y="12503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8"/>
        </w:rPr>
      </w:pPr>
      <w:r>
        <w:rPr>
          <w:rFonts w:ascii="GLPOEG+MicrosoftYaHei" w:hAnsi="GLPOEG+MicrosoftYaHei" w:cs="GLPOEG+MicrosoftYaHei"/>
          <w:color w:val="000000"/>
          <w:spacing w:val="0"/>
          <w:sz w:val="28"/>
        </w:rPr>
        <w:t>增长路径。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POEG+MicrosoftYaHei" w:hAnsi="GLPOEG+MicrosoftYaHei" w:cs="GLPOEG+MicrosoftYaHei"/>
          <w:color w:val="000000"/>
          <w:spacing w:val="0"/>
          <w:sz w:val="24"/>
        </w:rPr>
      </w:pPr>
      <w:r>
        <w:rPr>
          <w:rFonts w:ascii="GLPOEG+MicrosoftYaHei" w:hAnsi="GLPOEG+MicrosoftYaHei" w:cs="GLPOEG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5" style="position:absolute;margin-left:0pt;margin-top:0pt;z-index:-2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GLPOEG+MicrosoftYaHei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5db789c5-0000-0000-0000-000000000000}"/>
  </w:font>
  <w:font w:name="TFENKO+MicrosoftYaHei-Bold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a48d3c34-0000-0000-0000-000000000000}"/>
  </w:font>
  <w:font w:name="VMQEWI+Wingdings-Regular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6813b1d-0000-0000-0000-000000000000}"/>
  </w:font>
  <w:font w:name="IMDTBI+ArialMT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a82e993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270</Words>
  <Characters>2270</Characters>
  <Application>Aspose</Application>
  <DocSecurity>0</DocSecurity>
  <Lines>147</Lines>
  <Paragraphs>147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2023-11-22T12:18:00+08:00</dcterms:created>
  <dcterms:modified xmlns:xsi="http://www.w3.org/2001/XMLSchema-instance" xmlns:dcterms="http://purl.org/dc/terms/" xsi:type="dcterms:W3CDTF">2023-11-22T12:18:00+08:00</dcterms:modified>
</coreProperties>
</file>