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客户服务的管理与投诉处理技巧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课程费用：4200元/人（包含课程资料、学习费、茶歇等，可统一安排午餐：30元/人/餐）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举办单位：深圳市中企智汇企业管理咨询有限公司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课程地点：深圳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课程时间：7月19-20日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课程背景：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微软雅黑" w:hAnsi="微软雅黑" w:eastAsia="微软雅黑"/>
          <w:szCs w:val="21"/>
        </w:rPr>
        <w:t>在现代社会，好的服务的必要性是不言而喻的，好的服务可以保留客户，塑造良好的客户口碑，进而无形中增加利润。好的服务不仅仅是一次的服务，而是持久的满足既定市场的长期的表现，那么卓越的服务如何从系统的角度去设计并且落地呢。这就意味着，我们不仅需要点状思维，更需要系统思维，从不同的层面看好的服务如何落地。本次课程讲带领大家从更系统、全局的角度认识服务。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课程收益：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认识到，好的服务思考的几个维度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理解服务战略，从想法到落地的步骤及关键点有哪些？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掌握上下一致、左右协同，以保证客户满意度的持续提升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理解客户抱怨的原因及需求点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掌握客诉处理的步骤及原则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掌握客诉处理的方法和策略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课程时间：</w:t>
      </w:r>
      <w:r>
        <w:rPr>
          <w:rFonts w:hint="eastAsia" w:ascii="微软雅黑" w:hAnsi="微软雅黑" w:eastAsia="微软雅黑"/>
          <w:szCs w:val="21"/>
        </w:rPr>
        <w:t>2天</w:t>
      </w:r>
    </w:p>
    <w:p>
      <w:pPr>
        <w:spacing w:line="460" w:lineRule="exact"/>
        <w:jc w:val="center"/>
        <w:rPr>
          <w:rFonts w:hint="eastAsia" w:ascii="思源黑体 CN Heavy" w:hAnsi="思源黑体 CN Heavy" w:eastAsia="思源黑体 CN Heavy"/>
          <w:b/>
          <w:color w:val="244061"/>
          <w:sz w:val="32"/>
          <w:szCs w:val="24"/>
        </w:rPr>
      </w:pPr>
    </w:p>
    <w:p>
      <w:pPr>
        <w:spacing w:line="460" w:lineRule="exact"/>
        <w:jc w:val="center"/>
        <w:rPr>
          <w:rFonts w:hint="eastAsia" w:ascii="思源黑体 CN Heavy" w:hAnsi="思源黑体 CN Heavy" w:eastAsia="思源黑体 CN Heavy"/>
          <w:b/>
          <w:color w:val="244061"/>
          <w:sz w:val="32"/>
          <w:szCs w:val="24"/>
        </w:rPr>
      </w:pPr>
    </w:p>
    <w:p>
      <w:pPr>
        <w:spacing w:line="460" w:lineRule="exact"/>
        <w:jc w:val="center"/>
        <w:rPr>
          <w:rFonts w:hint="eastAsia" w:ascii="思源黑体 CN Heavy" w:hAnsi="思源黑体 CN Heavy" w:eastAsia="思源黑体 CN Heavy"/>
          <w:b/>
          <w:color w:val="244061"/>
          <w:sz w:val="32"/>
          <w:szCs w:val="24"/>
        </w:rPr>
      </w:pPr>
    </w:p>
    <w:p>
      <w:pPr>
        <w:spacing w:line="460" w:lineRule="exact"/>
        <w:jc w:val="center"/>
        <w:rPr>
          <w:rFonts w:ascii="思源黑体 CN Heavy" w:hAnsi="思源黑体 CN Heavy" w:eastAsia="思源黑体 CN Heavy"/>
          <w:b/>
          <w:color w:val="244061"/>
          <w:sz w:val="32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32"/>
          <w:szCs w:val="24"/>
        </w:rPr>
        <w:t>课程大纲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单元一、</w:t>
      </w:r>
      <w:r>
        <w:rPr>
          <w:rStyle w:val="15"/>
          <w:rFonts w:ascii="微软雅黑" w:hAnsi="微软雅黑" w:eastAsia="微软雅黑"/>
          <w:sz w:val="21"/>
          <w:szCs w:val="21"/>
        </w:rPr>
        <w:t>服务是追求客户满意的过程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1、</w:t>
      </w:r>
      <w:r>
        <w:rPr>
          <w:rStyle w:val="15"/>
          <w:rFonts w:hint="eastAsia" w:ascii="微软雅黑" w:hAnsi="微软雅黑" w:eastAsia="微软雅黑"/>
          <w:sz w:val="21"/>
          <w:szCs w:val="21"/>
        </w:rPr>
        <w:t>在</w:t>
      </w:r>
      <w:r>
        <w:rPr>
          <w:rStyle w:val="15"/>
          <w:rFonts w:ascii="微软雅黑" w:hAnsi="微软雅黑" w:eastAsia="微软雅黑"/>
          <w:sz w:val="21"/>
          <w:szCs w:val="21"/>
        </w:rPr>
        <w:t>客户眼中的服务是什么？</w:t>
      </w:r>
    </w:p>
    <w:p>
      <w:pPr>
        <w:pStyle w:val="14"/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为什么我们尽了力，客户还不满意？</w:t>
      </w:r>
    </w:p>
    <w:p>
      <w:pPr>
        <w:pStyle w:val="14"/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客户对服务需求层次的变化</w:t>
      </w:r>
    </w:p>
    <w:p>
      <w:pPr>
        <w:pStyle w:val="14"/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一份客户满意度调查带来的启示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2、优质客户服务的基本构成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核心服务（物的层面）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客户关系（人的层面）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3、优质的服务不是你为客户付出了多少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服务不仅仅要满足客户的需求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服务还要关注客户的感受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客户的评价是他的体验而不是你的付出</w:t>
      </w:r>
    </w:p>
    <w:p>
      <w:pPr>
        <w:pStyle w:val="14"/>
        <w:spacing w:line="360" w:lineRule="auto"/>
        <w:rPr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单元二、上下一致的角度看，服务战略的落地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1、客户服务管理的价值和使命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制定服务战略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创造服务理念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建立服务服务流程和服务标准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案例解析：星巴克、鼎泰丰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思考：本企业的服务理念是什么，为了推动此服务理念落地，我们做了什么？什么是顺利的？哪些还存在卡点。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2、科学的服务流程的建立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前台接触环节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后台传递环节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预期服务管理</w:t>
      </w:r>
    </w:p>
    <w:p>
      <w:pPr>
        <w:pStyle w:val="14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3</w:t>
      </w:r>
      <w:r>
        <w:rPr>
          <w:rStyle w:val="15"/>
          <w:rFonts w:ascii="微软雅黑" w:hAnsi="微软雅黑" w:eastAsia="微软雅黑"/>
          <w:sz w:val="21"/>
          <w:szCs w:val="21"/>
        </w:rPr>
        <w:t>、提升客户感受的出发点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制造正面的关键时刻－提升感知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ascii="微软雅黑" w:hAnsi="微软雅黑" w:eastAsia="微软雅黑"/>
          <w:sz w:val="21"/>
          <w:szCs w:val="21"/>
        </w:rPr>
        <w:t>服务产品化经营－无形变有形</w:t>
      </w:r>
    </w:p>
    <w:p>
      <w:pPr>
        <w:pStyle w:val="5"/>
        <w:spacing w:before="0" w:beforeAutospacing="0" w:after="0" w:afterAutospacing="0" w:line="360" w:lineRule="auto"/>
        <w:rPr>
          <w:rFonts w:hint="eastAsia" w:ascii="微软雅黑" w:hAnsi="微软雅黑" w:eastAsia="微软雅黑"/>
          <w:color w:val="313131"/>
          <w:sz w:val="21"/>
          <w:szCs w:val="21"/>
        </w:rPr>
      </w:pPr>
      <w:r>
        <w:rPr>
          <w:rFonts w:hint="eastAsia" w:ascii="微软雅黑" w:hAnsi="微软雅黑" w:eastAsia="微软雅黑"/>
          <w:color w:val="313131"/>
          <w:sz w:val="21"/>
          <w:szCs w:val="21"/>
        </w:rPr>
        <w:t>单元三、从左到右，看跨部门之间如何实现服务协同</w:t>
      </w:r>
    </w:p>
    <w:p>
      <w:pPr>
        <w:pStyle w:val="5"/>
        <w:spacing w:before="0" w:beforeAutospacing="0" w:after="0" w:afterAutospacing="0" w:line="360" w:lineRule="auto"/>
        <w:rPr>
          <w:rFonts w:hint="eastAsia" w:ascii="微软雅黑" w:hAnsi="微软雅黑" w:eastAsia="微软雅黑"/>
          <w:color w:val="313131"/>
          <w:sz w:val="21"/>
          <w:szCs w:val="21"/>
        </w:rPr>
      </w:pPr>
      <w:r>
        <w:rPr>
          <w:rFonts w:hint="eastAsia" w:ascii="微软雅黑" w:hAnsi="微软雅黑" w:eastAsia="微软雅黑"/>
          <w:color w:val="313131"/>
          <w:sz w:val="21"/>
          <w:szCs w:val="21"/>
        </w:rPr>
        <w:t>1、规范服务的接触环节，承担解决问题的责任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快捷、便利－建立迅速响应的机制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规范、安全－建立客户对企业的信心</w:t>
      </w:r>
    </w:p>
    <w:p>
      <w:pPr>
        <w:pStyle w:val="14"/>
        <w:numPr>
          <w:ilvl w:val="0"/>
          <w:numId w:val="2"/>
        </w:numPr>
        <w:spacing w:line="360" w:lineRule="auto"/>
        <w:rPr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确认双方责任－赢得沟通的主动性</w:t>
      </w:r>
    </w:p>
    <w:p>
      <w:pPr>
        <w:pStyle w:val="5"/>
        <w:spacing w:before="0" w:beforeAutospacing="0" w:after="0" w:afterAutospacing="0" w:line="360" w:lineRule="auto"/>
        <w:rPr>
          <w:rFonts w:hint="eastAsia" w:ascii="微软雅黑" w:hAnsi="微软雅黑" w:eastAsia="微软雅黑"/>
          <w:color w:val="313131"/>
          <w:sz w:val="21"/>
          <w:szCs w:val="21"/>
        </w:rPr>
      </w:pPr>
      <w:r>
        <w:rPr>
          <w:rFonts w:hint="eastAsia" w:ascii="微软雅黑" w:hAnsi="微软雅黑" w:eastAsia="微软雅黑"/>
          <w:color w:val="313131"/>
          <w:sz w:val="21"/>
          <w:szCs w:val="21"/>
        </w:rPr>
        <w:t>2、减少服务的传递环节，提高解决问题的效率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全员服务－建立内部服务的机制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虚拟团队－内部沟通渠道通畅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单元四、基于投诉本身进行客户投诉分析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1、客户投诉的价值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客户投诉的三大定律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投诉客户的价值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抱怨是金——重新认识客户投诉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投诉新旧观念对比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2、投诉客户分析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客户满意与客户投诉分析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投诉客户的心智模式分析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讨论：投诉处理为什么会失效？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投诉处理失败的四个原因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单元五、投诉处理“诉战速决”之实战技巧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1、客户投诉处理的六个步骤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客户发泄、充分道歉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受理客户投诉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协商解决、处理问题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答复客户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特事特办、直至满意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跟踪服务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 xml:space="preserve">投诉处理的四项法则 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案例演练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单元六、有效处理客户投诉的6个沟通技巧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1、投诉沟通原则</w:t>
      </w:r>
    </w:p>
    <w:p>
      <w:pPr>
        <w:spacing w:line="360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2、投诉处理的六个沟通技巧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移情法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三明治法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破解法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3F法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7＋1说服法</w:t>
      </w:r>
    </w:p>
    <w:p>
      <w:pPr>
        <w:pStyle w:val="14"/>
        <w:numPr>
          <w:ilvl w:val="0"/>
          <w:numId w:val="2"/>
        </w:numPr>
        <w:spacing w:line="360" w:lineRule="auto"/>
        <w:rPr>
          <w:rStyle w:val="15"/>
          <w:rFonts w:hint="eastAsia" w:ascii="微软雅黑" w:hAnsi="微软雅黑" w:eastAsia="微软雅黑"/>
          <w:sz w:val="21"/>
          <w:szCs w:val="21"/>
        </w:rPr>
      </w:pPr>
      <w:r>
        <w:rPr>
          <w:rStyle w:val="15"/>
          <w:rFonts w:hint="eastAsia" w:ascii="微软雅黑" w:hAnsi="微软雅黑" w:eastAsia="微软雅黑"/>
          <w:sz w:val="21"/>
          <w:szCs w:val="21"/>
        </w:rPr>
        <w:t>引导征询法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单元七、处理客户投诉的6个方法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1、一站式服务法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2、服务承诺法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3、替换法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4、补偿关照法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5、变通法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6、外部审评法</w:t>
      </w:r>
    </w:p>
    <w:p>
      <w:pPr>
        <w:spacing w:line="360" w:lineRule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7、补救服务的4A行动</w:t>
      </w:r>
    </w:p>
    <w:p>
      <w:pPr>
        <w:spacing w:line="460" w:lineRule="exact"/>
        <w:jc w:val="center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460" w:lineRule="exact"/>
        <w:jc w:val="both"/>
        <w:rPr>
          <w:rFonts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="微软雅黑" w:hAnsi="微软雅黑" w:eastAsia="微软雅黑"/>
          <w:b/>
          <w:color w:val="FF0000"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123825</wp:posOffset>
            </wp:positionV>
            <wp:extent cx="1632585" cy="2447290"/>
            <wp:effectExtent l="0" t="0" r="5715" b="10160"/>
            <wp:wrapSquare wrapText="bothSides"/>
            <wp:docPr id="2" name="图片 1" descr="自我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自我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褚立欣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老师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 xml:space="preserve">  服务型组织发展顾问</w:t>
      </w:r>
    </w:p>
    <w:p>
      <w:pPr>
        <w:spacing w:line="360" w:lineRule="auto"/>
        <w:rPr>
          <w:rFonts w:ascii="微软雅黑" w:hAnsi="微软雅黑" w:eastAsia="微软雅黑"/>
          <w:bCs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经历：</w:t>
      </w:r>
      <w:r>
        <w:rPr>
          <w:rFonts w:hint="eastAsia" w:ascii="微软雅黑" w:hAnsi="微软雅黑" w:eastAsia="微软雅黑"/>
          <w:bCs/>
          <w:color w:val="000000"/>
          <w:szCs w:val="21"/>
        </w:rPr>
        <w:t>从事推进服务型组织的发展20余年；服务领域专家，组织发展顾问，香港大学</w:t>
      </w:r>
      <w:r>
        <w:rPr>
          <w:rFonts w:ascii="微软雅黑" w:hAnsi="微软雅黑" w:eastAsia="微软雅黑"/>
          <w:bCs/>
          <w:color w:val="000000"/>
          <w:szCs w:val="21"/>
        </w:rPr>
        <w:t>MBA</w:t>
      </w:r>
      <w:r>
        <w:rPr>
          <w:rFonts w:hint="eastAsia" w:ascii="微软雅黑" w:hAnsi="微软雅黑" w:eastAsia="微软雅黑"/>
          <w:bCs/>
          <w:color w:val="000000"/>
          <w:szCs w:val="21"/>
        </w:rPr>
        <w:t>；曾任职于外资培训经理、民企内部讲师、事业单位等</w:t>
      </w:r>
    </w:p>
    <w:p>
      <w:pPr>
        <w:pStyle w:val="5"/>
        <w:spacing w:line="360" w:lineRule="auto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专长：</w:t>
      </w: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擅长精准诊断组织的现状及问题，基于理性目标和感性目标，有针对性的设计参与形式，让学员的思维打开，从更多维度思考和改善，进而提升组织服务效能。</w:t>
      </w:r>
    </w:p>
    <w:p>
      <w:pPr>
        <w:pStyle w:val="5"/>
        <w:spacing w:line="360" w:lineRule="auto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对话促进者：</w:t>
      </w: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相信参与对话可以看到更完整的画面，更多元化的视角，参与能够带来承诺和行动，进而提升改变的可能性及改变的深度；通过多维度的对话设计，形成多层次的连接，反思，群策群力，对产出形成共识，进而转换心智模式。</w:t>
      </w:r>
      <w:r>
        <w:rPr>
          <w:rFonts w:ascii="微软雅黑" w:hAnsi="微软雅黑" w:eastAsia="微软雅黑"/>
          <w:bCs/>
          <w:color w:val="000000"/>
          <w:sz w:val="21"/>
          <w:szCs w:val="21"/>
        </w:rPr>
        <w:t xml:space="preserve"> </w:t>
      </w:r>
    </w:p>
    <w:p>
      <w:pPr>
        <w:pStyle w:val="5"/>
        <w:spacing w:line="360" w:lineRule="auto"/>
        <w:rPr>
          <w:rFonts w:hint="eastAsia"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著有《服务制胜》，以下课程的认证讲师：《引导力》、《od思维与无痕咨询》、《组织文化引导与咨询》、《高管商业教练》、《moka促动型培训师》、《教练的艺术与科学》、华商基业《结构性思维》等，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 xml:space="preserve">  </w:t>
      </w:r>
    </w:p>
    <w:p>
      <w:pPr>
        <w:spacing w:line="360" w:lineRule="auto"/>
        <w:rPr>
          <w:rFonts w:hint="eastAsia"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主讲课程：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《从技术专家到服务专家》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《客户投诉与索赔谈判技能提升》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《客户投诉处理技能提升》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《做最好的自己-压力与情绪管理》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《服务意识及服务技能提升》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《管理者的角色认知及员工辅导》</w:t>
      </w:r>
    </w:p>
    <w:p>
      <w:pPr>
        <w:spacing w:line="360" w:lineRule="auto"/>
        <w:rPr>
          <w:rFonts w:hint="eastAsia" w:ascii="微软雅黑" w:hAnsi="微软雅黑" w:eastAsia="微软雅黑" w:cs="宋体"/>
          <w:b/>
          <w:color w:val="FF0000"/>
          <w:szCs w:val="21"/>
        </w:rPr>
      </w:pPr>
      <w:r>
        <w:rPr>
          <w:rFonts w:hint="eastAsia" w:ascii="微软雅黑" w:hAnsi="微软雅黑" w:eastAsia="微软雅黑" w:cs="宋体"/>
          <w:b/>
          <w:color w:val="FF0000"/>
          <w:szCs w:val="21"/>
        </w:rPr>
        <w:t>可带工作坊：</w:t>
      </w:r>
    </w:p>
    <w:p>
      <w:pPr>
        <w:numPr>
          <w:ilvl w:val="0"/>
          <w:numId w:val="4"/>
        </w:numPr>
        <w:spacing w:line="360" w:lineRule="auto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《服务文化共识工作坊》</w:t>
      </w:r>
    </w:p>
    <w:p>
      <w:pPr>
        <w:numPr>
          <w:ilvl w:val="0"/>
          <w:numId w:val="4"/>
        </w:numPr>
        <w:spacing w:line="360" w:lineRule="auto"/>
        <w:ind w:left="0" w:firstLine="0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《基于服务蓝图及峰终理论的客户体验流程优化》</w:t>
      </w:r>
    </w:p>
    <w:p>
      <w:pPr>
        <w:numPr>
          <w:ilvl w:val="0"/>
          <w:numId w:val="4"/>
        </w:numPr>
        <w:spacing w:line="360" w:lineRule="auto"/>
        <w:ind w:left="0" w:firstLine="0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《对话、共识-唤醒心中正能量，拥抱变革创佳绩》</w:t>
      </w:r>
    </w:p>
    <w:p>
      <w:pPr>
        <w:spacing w:line="360" w:lineRule="auto"/>
        <w:rPr>
          <w:rFonts w:hint="eastAsia"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近五年的培训及项目经历：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通信客户</w:t>
      </w:r>
      <w:r>
        <w:rPr>
          <w:rFonts w:hint="eastAsia" w:ascii="微软雅黑" w:hAnsi="微软雅黑" w:eastAsia="微软雅黑"/>
          <w:szCs w:val="21"/>
        </w:rPr>
        <w:t xml:space="preserve">：广西移动、深圳移动、北京移动、南昌移动、广东移动、贵阳移动、杭州移动等 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银行客户</w:t>
      </w:r>
      <w:r>
        <w:rPr>
          <w:rFonts w:hint="eastAsia" w:ascii="微软雅黑" w:hAnsi="微软雅黑" w:eastAsia="微软雅黑"/>
          <w:szCs w:val="21"/>
        </w:rPr>
        <w:t xml:space="preserve">：北京银行、广州工行、深圳中行、深圳建行、深圳农行、四川建行、北京工行等 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保险行业：</w:t>
      </w:r>
      <w:r>
        <w:rPr>
          <w:rFonts w:hint="eastAsia" w:ascii="微软雅黑" w:hAnsi="微软雅黑" w:eastAsia="微软雅黑"/>
          <w:szCs w:val="21"/>
        </w:rPr>
        <w:t>深圳太平洋保险、广州太平洋保险、太平洋保险呼叫中心、上海平安财险、江苏平安财险、重庆平安财险、深圳中国人保、中国人保呼叫中心、广州中国人保等</w:t>
      </w:r>
    </w:p>
    <w:p>
      <w:pPr>
        <w:widowControl/>
        <w:snapToGrid w:val="0"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其他客户</w:t>
      </w:r>
      <w:r>
        <w:rPr>
          <w:rFonts w:hint="eastAsia" w:ascii="微软雅黑" w:hAnsi="微软雅黑" w:eastAsia="微软雅黑"/>
          <w:szCs w:val="21"/>
        </w:rPr>
        <w:t>：奥迪、上海通用汽车、华帝、佛兰卡、森歌、广州机场、广东粤运、日立电梯、、三星售后、华为售后服务中心、老板电器、安徽广电、一号店、广州燃气、博西家电、温州德力西、福田康明斯、、vivo手机、三一重工、无限极、小熊电器、连云港港口等</w:t>
      </w:r>
    </w:p>
    <w:p>
      <w:pPr>
        <w:spacing w:line="360" w:lineRule="exact"/>
        <w:ind w:left="420" w:leftChars="200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276" w:right="991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Heavy">
    <w:altName w:val="黑体"/>
    <w:panose1 w:val="020B0A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4819"/>
        <w:tab w:val="left" w:pos="8610"/>
        <w:tab w:val="right" w:pos="9639"/>
        <w:tab w:val="clear" w:pos="4153"/>
        <w:tab w:val="clear" w:pos="8306"/>
      </w:tabs>
    </w:pPr>
    <w:r>
      <w:drawing>
        <wp:inline distT="0" distB="0" distL="114300" distR="114300">
          <wp:extent cx="3771900" cy="4286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654AC"/>
    <w:multiLevelType w:val="singleLevel"/>
    <w:tmpl w:val="20C654A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25B7BF3"/>
    <w:multiLevelType w:val="multilevel"/>
    <w:tmpl w:val="325B7B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635328"/>
    <w:multiLevelType w:val="multilevel"/>
    <w:tmpl w:val="48635328"/>
    <w:lvl w:ilvl="0" w:tentative="0">
      <w:start w:val="1"/>
      <w:numFmt w:val="bullet"/>
      <w:lvlText w:val=""/>
      <w:lvlJc w:val="left"/>
      <w:pPr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3">
    <w:nsid w:val="7F3B61F6"/>
    <w:multiLevelType w:val="multilevel"/>
    <w:tmpl w:val="7F3B61F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3YWVlZTk3NjZkY2JmZDU1NTg4YWNhMDMyYjNhNTMifQ=="/>
  </w:docVars>
  <w:rsids>
    <w:rsidRoot w:val="00247DD7"/>
    <w:rsid w:val="000025DF"/>
    <w:rsid w:val="00010636"/>
    <w:rsid w:val="00042A2E"/>
    <w:rsid w:val="00042DAA"/>
    <w:rsid w:val="00075B72"/>
    <w:rsid w:val="00087C73"/>
    <w:rsid w:val="00097EFE"/>
    <w:rsid w:val="000A2046"/>
    <w:rsid w:val="000C187B"/>
    <w:rsid w:val="00114C27"/>
    <w:rsid w:val="00130D0A"/>
    <w:rsid w:val="001379A9"/>
    <w:rsid w:val="00180852"/>
    <w:rsid w:val="001A6848"/>
    <w:rsid w:val="001B66FF"/>
    <w:rsid w:val="001C5472"/>
    <w:rsid w:val="001D3182"/>
    <w:rsid w:val="001F42A4"/>
    <w:rsid w:val="002022C4"/>
    <w:rsid w:val="00206B5E"/>
    <w:rsid w:val="00211033"/>
    <w:rsid w:val="00213266"/>
    <w:rsid w:val="00221455"/>
    <w:rsid w:val="002251C1"/>
    <w:rsid w:val="00247DD7"/>
    <w:rsid w:val="00312841"/>
    <w:rsid w:val="003623FF"/>
    <w:rsid w:val="003710C6"/>
    <w:rsid w:val="003732B1"/>
    <w:rsid w:val="00376113"/>
    <w:rsid w:val="00383C72"/>
    <w:rsid w:val="00390697"/>
    <w:rsid w:val="003957C1"/>
    <w:rsid w:val="003C194F"/>
    <w:rsid w:val="003C1C12"/>
    <w:rsid w:val="003E6732"/>
    <w:rsid w:val="003F134B"/>
    <w:rsid w:val="004476E6"/>
    <w:rsid w:val="00456775"/>
    <w:rsid w:val="004F2BE1"/>
    <w:rsid w:val="004F72EA"/>
    <w:rsid w:val="00504BD6"/>
    <w:rsid w:val="00507A4B"/>
    <w:rsid w:val="00511A75"/>
    <w:rsid w:val="00525D29"/>
    <w:rsid w:val="005604B7"/>
    <w:rsid w:val="00592C4F"/>
    <w:rsid w:val="005B6BEB"/>
    <w:rsid w:val="005C0908"/>
    <w:rsid w:val="005D6995"/>
    <w:rsid w:val="006276C7"/>
    <w:rsid w:val="006362C8"/>
    <w:rsid w:val="00646BB6"/>
    <w:rsid w:val="00650885"/>
    <w:rsid w:val="00671872"/>
    <w:rsid w:val="0067345D"/>
    <w:rsid w:val="00676155"/>
    <w:rsid w:val="006B18D2"/>
    <w:rsid w:val="006E203B"/>
    <w:rsid w:val="006F4941"/>
    <w:rsid w:val="00722998"/>
    <w:rsid w:val="007B6840"/>
    <w:rsid w:val="007E3C13"/>
    <w:rsid w:val="007F5954"/>
    <w:rsid w:val="00805961"/>
    <w:rsid w:val="00897BC9"/>
    <w:rsid w:val="008A114B"/>
    <w:rsid w:val="008C7E37"/>
    <w:rsid w:val="008D0F81"/>
    <w:rsid w:val="008F73C8"/>
    <w:rsid w:val="00906562"/>
    <w:rsid w:val="00972941"/>
    <w:rsid w:val="009C46C2"/>
    <w:rsid w:val="009C4923"/>
    <w:rsid w:val="00A168F7"/>
    <w:rsid w:val="00A35600"/>
    <w:rsid w:val="00A35EAE"/>
    <w:rsid w:val="00A45CB2"/>
    <w:rsid w:val="00B10552"/>
    <w:rsid w:val="00B42388"/>
    <w:rsid w:val="00B53CCA"/>
    <w:rsid w:val="00B672F9"/>
    <w:rsid w:val="00B7627D"/>
    <w:rsid w:val="00BA1490"/>
    <w:rsid w:val="00BD7AA4"/>
    <w:rsid w:val="00C11004"/>
    <w:rsid w:val="00C222C7"/>
    <w:rsid w:val="00C648B8"/>
    <w:rsid w:val="00C70642"/>
    <w:rsid w:val="00C80D58"/>
    <w:rsid w:val="00CB1960"/>
    <w:rsid w:val="00CC2F12"/>
    <w:rsid w:val="00CD7575"/>
    <w:rsid w:val="00CE4728"/>
    <w:rsid w:val="00CF13E4"/>
    <w:rsid w:val="00D12090"/>
    <w:rsid w:val="00D63E68"/>
    <w:rsid w:val="00D812B5"/>
    <w:rsid w:val="00DC240A"/>
    <w:rsid w:val="00DC3E47"/>
    <w:rsid w:val="00EC1BAC"/>
    <w:rsid w:val="00EE0E50"/>
    <w:rsid w:val="00F2611B"/>
    <w:rsid w:val="00F268F4"/>
    <w:rsid w:val="00F53FED"/>
    <w:rsid w:val="00F62BBA"/>
    <w:rsid w:val="00F74A1E"/>
    <w:rsid w:val="00F86B2A"/>
    <w:rsid w:val="00F907EB"/>
    <w:rsid w:val="00FE246F"/>
    <w:rsid w:val="072559B2"/>
    <w:rsid w:val="09145E68"/>
    <w:rsid w:val="0B3F14D4"/>
    <w:rsid w:val="0CB3377E"/>
    <w:rsid w:val="15D05BB5"/>
    <w:rsid w:val="18FA3E1C"/>
    <w:rsid w:val="193500DD"/>
    <w:rsid w:val="19E62A14"/>
    <w:rsid w:val="1A150FEE"/>
    <w:rsid w:val="1CE32036"/>
    <w:rsid w:val="1DC15A77"/>
    <w:rsid w:val="222D2B49"/>
    <w:rsid w:val="25037E29"/>
    <w:rsid w:val="279B10D2"/>
    <w:rsid w:val="282E11F8"/>
    <w:rsid w:val="2C143C0B"/>
    <w:rsid w:val="2C7C5BE6"/>
    <w:rsid w:val="2EBE3FFE"/>
    <w:rsid w:val="3C456262"/>
    <w:rsid w:val="3FA972EA"/>
    <w:rsid w:val="47E34E85"/>
    <w:rsid w:val="4E57715D"/>
    <w:rsid w:val="590D7AE9"/>
    <w:rsid w:val="668545BD"/>
    <w:rsid w:val="68DF711F"/>
    <w:rsid w:val="6A7B666D"/>
    <w:rsid w:val="6DBA48BD"/>
    <w:rsid w:val="747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3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semiHidden/>
    <w:qFormat/>
    <w:uiPriority w:val="0"/>
    <w:rPr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4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ql-font-timesnewrom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113</Words>
  <Characters>116</Characters>
  <Lines>34</Lines>
  <Paragraphs>9</Paragraphs>
  <TotalTime>1</TotalTime>
  <ScaleCrop>false</ScaleCrop>
  <LinksUpToDate>false</LinksUpToDate>
  <CharactersWithSpaces>118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2021-01-07T05:36:00Z</dcterms:created>
  <dc:creator>Lenovo</dc:creator>
  <cp:lastModifiedBy>郭欣怡</cp:lastModifiedBy>
  <cp:lastPrinted>2411-12-30T00:00:00Z</cp:lastPrinted>
  <dcterms:modified xsi:type="dcterms:W3CDTF">2023-11-20T09:35:39Z</dcterms:modified>
  <dc:title>基于素质的人才甄选技术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(2)7o1YNuUI6UZVplZvZw1JhdFE97sCaqllg3Tnw07mWvgOnesNL80SDYGv8iclYkOkHREqlcEW
Kqp9eDmehW+2zEZ/dMYGCk6isPWwWa/nTeasfkUlK9uyWO3t77uxUleeOmMKHirACEXgYatK
6kXoBAynJVVHj2RKCBDHr2wMY5beyWM9SJqhfqv6uegXb6/BhbPTkbxwJvkUtjarMZtJNkc6
D4SxDJD38rYOAakiG04AQ</vt:lpwstr>
  </property>
  <property fmtid="{D5CDD505-2E9C-101B-9397-08002B2CF9AE}" pid="3" name="_ms_pID_7253431">
    <vt:lpwstr>L2UKe7VI26lJSkaw7uXa5C/UsfVObanErWf85FNYS/pbQgn1BnZ
gIvG/cTWffHhe3SCUYZzWNKgKxvnNRfHvhoOH003NfoUzY3QqmDaZaOhte+V6usJzfm/KNcB
KBFSG1vfxDynwUknoYSOaBQc9Q+ibJvLRPR58KMa/McgVw==</vt:lpwstr>
  </property>
  <property fmtid="{D5CDD505-2E9C-101B-9397-08002B2CF9AE}" pid="4" name="KSOProductBuildVer">
    <vt:lpwstr>2052-12.1.0.15712</vt:lpwstr>
  </property>
  <property fmtid="{D5CDD505-2E9C-101B-9397-08002B2CF9AE}" pid="5" name="sflag">
    <vt:lpwstr>1319598693</vt:lpwstr>
  </property>
  <property fmtid="{D5CDD505-2E9C-101B-9397-08002B2CF9AE}" pid="6" name="ICV">
    <vt:lpwstr>80AE279BE1C54E178E620958C82231B2</vt:lpwstr>
  </property>
</Properties>
</file>