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5198B" w14:textId="77777777" w:rsidR="00F42A0C" w:rsidRDefault="00000000">
      <w:pPr>
        <w:spacing w:after="0" w:line="20" w:lineRule="auto"/>
        <w:jc w:val="center"/>
        <w:rPr>
          <w:rFonts w:ascii="Microsoft YaHei Regular" w:eastAsia="Microsoft YaHei Regular" w:hAnsi="Microsoft YaHei Regular" w:cs="Microsoft YaHei Regular"/>
          <w:b/>
          <w:color w:val="000000" w:themeColor="text1"/>
          <w:sz w:val="36"/>
          <w:szCs w:val="36"/>
        </w:rPr>
      </w:pPr>
      <w:bookmarkStart w:id="0" w:name="_Hlk51321466"/>
      <w:r>
        <w:rPr>
          <w:rFonts w:ascii="Microsoft YaHei Regular" w:eastAsia="Microsoft YaHei Regular" w:hAnsi="Microsoft YaHei Regular" w:cs="Microsoft YaHei Regular" w:hint="eastAsia"/>
          <w:b/>
          <w:color w:val="000000" w:themeColor="text1"/>
          <w:sz w:val="36"/>
          <w:szCs w:val="36"/>
        </w:rPr>
        <w:t>《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  <w:lang w:eastAsia="zh-Hans"/>
        </w:rPr>
        <w:t>5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6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  <w:lang w:eastAsia="zh-Hans"/>
        </w:rPr>
        <w:t>类员工离职情形及优化谈判实务</w:t>
      </w:r>
      <w:r>
        <w:rPr>
          <w:rFonts w:ascii="Microsoft YaHei Regular" w:eastAsia="Microsoft YaHei Regular" w:hAnsi="Microsoft YaHei Regular" w:cs="Microsoft YaHei Regular" w:hint="eastAsia"/>
          <w:b/>
          <w:color w:val="000000" w:themeColor="text1"/>
          <w:sz w:val="36"/>
          <w:szCs w:val="36"/>
        </w:rPr>
        <w:t>》</w:t>
      </w:r>
    </w:p>
    <w:p w14:paraId="1B61A13F" w14:textId="77777777" w:rsidR="00F42A0C" w:rsidRDefault="00000000">
      <w:pPr>
        <w:spacing w:after="0" w:line="20" w:lineRule="auto"/>
        <w:jc w:val="left"/>
        <w:rPr>
          <w:rFonts w:ascii="Microsoft YaHei Regular" w:eastAsia="Microsoft YaHei Regular" w:hAnsi="Microsoft YaHei Regular" w:cs="Microsoft YaHei Regular"/>
          <w:b/>
          <w:color w:val="000000" w:themeColor="text1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3230D"/>
          <w:szCs w:val="21"/>
        </w:rPr>
        <w:t>【报名详情】</w:t>
      </w:r>
    </w:p>
    <w:p w14:paraId="0B73A6C3" w14:textId="77777777" w:rsidR="00F42A0C" w:rsidRDefault="00000000">
      <w:pPr>
        <w:spacing w:after="0" w:line="15" w:lineRule="auto"/>
        <w:jc w:val="left"/>
        <w:rPr>
          <w:rFonts w:ascii="Microsoft YaHei Regular" w:eastAsia="Microsoft YaHei Regular" w:hAnsi="Microsoft YaHei Regular" w:cs="Microsoft YaHei Regular"/>
          <w:b/>
          <w:bCs/>
          <w:color w:val="000000" w:themeColor="text1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333333"/>
          <w:szCs w:val="21"/>
          <w:u w:val="single"/>
        </w:rPr>
        <w:t>场次： 2024年</w:t>
      </w:r>
    </w:p>
    <w:p w14:paraId="6ED13525" w14:textId="77777777" w:rsidR="00F42A0C" w:rsidRDefault="00000000">
      <w:pPr>
        <w:spacing w:after="0" w:line="15" w:lineRule="auto"/>
        <w:jc w:val="left"/>
        <w:rPr>
          <w:rFonts w:ascii="Microsoft YaHei Regular" w:eastAsia="Microsoft YaHei Regular" w:hAnsi="Microsoft YaHei Regular" w:cs="Microsoft YaHei Regular"/>
          <w:b/>
          <w:bCs/>
          <w:color w:val="000000" w:themeColor="text1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333333"/>
          <w:szCs w:val="21"/>
          <w:u w:val="single"/>
        </w:rPr>
        <w:t>费用： 4</w:t>
      </w:r>
      <w:r>
        <w:rPr>
          <w:rFonts w:ascii="Microsoft YaHei Regular" w:eastAsia="Microsoft YaHei Regular" w:hAnsi="Microsoft YaHei Regular" w:cs="Microsoft YaHei Regular" w:hint="eastAsia"/>
          <w:b/>
          <w:bCs/>
          <w:szCs w:val="21"/>
          <w:u w:val="single"/>
        </w:rPr>
        <w:t>980元/ 人</w:t>
      </w:r>
      <w:r>
        <w:rPr>
          <w:rFonts w:ascii="Microsoft YaHei Regular" w:eastAsia="Microsoft YaHei Regular" w:hAnsi="Microsoft YaHei Regular" w:cs="Microsoft YaHei Regular" w:hint="eastAsia"/>
          <w:b/>
          <w:bCs/>
          <w:color w:val="333333"/>
          <w:szCs w:val="21"/>
          <w:u w:val="single"/>
        </w:rPr>
        <w:t>（差旅费用请自理）</w:t>
      </w:r>
    </w:p>
    <w:p w14:paraId="6AF0B005" w14:textId="77777777" w:rsidR="00F42A0C" w:rsidRDefault="00000000">
      <w:pPr>
        <w:spacing w:line="420" w:lineRule="exact"/>
        <w:jc w:val="left"/>
        <w:rPr>
          <w:rFonts w:ascii="Microsoft YaHei Regular" w:eastAsia="Microsoft YaHei Regular" w:hAnsi="Microsoft YaHei Regular" w:cs="Microsoft YaHei Regular"/>
          <w:b/>
          <w:color w:val="C3230D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3230D"/>
          <w:szCs w:val="21"/>
        </w:rPr>
        <w:t>【课程背景】</w:t>
      </w:r>
    </w:p>
    <w:p w14:paraId="2E9D9918" w14:textId="77777777" w:rsidR="00F42A0C" w:rsidRDefault="00000000">
      <w:pPr>
        <w:pStyle w:val="a0"/>
        <w:overflowPunct/>
        <w:autoSpaceDE/>
        <w:autoSpaceDN/>
        <w:adjustRightInd/>
        <w:spacing w:line="300" w:lineRule="exact"/>
        <w:ind w:firstLineChars="200" w:firstLine="420"/>
        <w:rPr>
          <w:rFonts w:ascii="微软雅黑" w:eastAsia="微软雅黑" w:hAnsi="微软雅黑" w:cs="微软雅黑"/>
          <w:kern w:val="2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随着法律体系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员工法律意识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维权途径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法律能力的变化等影响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企业需要从碎片式的合规方式调整为建立系统性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全面性预警合规机制建设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因此特设计本次课程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。</w:t>
      </w:r>
    </w:p>
    <w:p w14:paraId="6F06E922" w14:textId="77777777" w:rsidR="00F42A0C" w:rsidRDefault="00000000">
      <w:pPr>
        <w:pStyle w:val="a0"/>
        <w:overflowPunct/>
        <w:autoSpaceDE/>
        <w:autoSpaceDN/>
        <w:adjustRightInd/>
        <w:spacing w:line="300" w:lineRule="exact"/>
        <w:ind w:firstLineChars="200" w:firstLine="420"/>
        <w:rPr>
          <w:rFonts w:ascii="微软雅黑" w:eastAsia="微软雅黑" w:hAnsi="微软雅黑" w:cs="微软雅黑"/>
          <w:kern w:val="2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从内容框架角度讲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涵盖所有劳资双方结束关系的情形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；</w:t>
      </w:r>
    </w:p>
    <w:p w14:paraId="772ABF20" w14:textId="77777777" w:rsidR="00F42A0C" w:rsidRDefault="00000000">
      <w:pPr>
        <w:pStyle w:val="a0"/>
        <w:overflowPunct/>
        <w:autoSpaceDE/>
        <w:autoSpaceDN/>
        <w:adjustRightInd/>
        <w:spacing w:line="300" w:lineRule="exact"/>
        <w:ind w:firstLineChars="200" w:firstLine="420"/>
        <w:rPr>
          <w:rFonts w:ascii="微软雅黑" w:eastAsia="微软雅黑" w:hAnsi="微软雅黑" w:cs="微软雅黑"/>
          <w:kern w:val="2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从研习逻辑讲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每一解除方式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都从法定概念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解除流程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高频风险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成本结算等角度进行全纬度讲解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；</w:t>
      </w:r>
    </w:p>
    <w:p w14:paraId="3DF31F8B" w14:textId="77777777" w:rsidR="00F42A0C" w:rsidRDefault="00000000">
      <w:pPr>
        <w:pStyle w:val="a0"/>
        <w:overflowPunct/>
        <w:autoSpaceDE/>
        <w:autoSpaceDN/>
        <w:adjustRightInd/>
        <w:spacing w:line="300" w:lineRule="exact"/>
        <w:ind w:firstLineChars="200" w:firstLine="420"/>
        <w:rPr>
          <w:rFonts w:ascii="微软雅黑" w:eastAsia="微软雅黑" w:hAnsi="微软雅黑" w:cs="微软雅黑"/>
          <w:kern w:val="2"/>
          <w:szCs w:val="21"/>
          <w:lang w:eastAsia="zh-Hans"/>
        </w:rPr>
      </w:pP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从劳动法规的地方差异讲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除了体系讲解全国和各省市共性内容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还要单独增加地方深化课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保障体系内容在各地区的适用性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；</w:t>
      </w:r>
    </w:p>
    <w:p w14:paraId="330DE725" w14:textId="77777777" w:rsidR="00F42A0C" w:rsidRDefault="00000000">
      <w:pPr>
        <w:pStyle w:val="a0"/>
        <w:overflowPunct/>
        <w:autoSpaceDE/>
        <w:autoSpaceDN/>
        <w:adjustRightInd/>
        <w:spacing w:line="300" w:lineRule="exact"/>
        <w:ind w:firstLineChars="200" w:firstLine="420"/>
        <w:rPr>
          <w:lang w:eastAsia="zh-Hans"/>
        </w:rPr>
      </w:pP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从学习效果保障讲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有体系学习输入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课程演练输出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，</w:t>
      </w:r>
      <w:r>
        <w:rPr>
          <w:rFonts w:ascii="微软雅黑" w:eastAsia="微软雅黑" w:hAnsi="微软雅黑" w:cs="微软雅黑" w:hint="eastAsia"/>
          <w:kern w:val="2"/>
          <w:szCs w:val="21"/>
          <w:lang w:eastAsia="zh-Hans"/>
        </w:rPr>
        <w:t>训练营全过程答疑解惑来保障</w:t>
      </w:r>
      <w:r>
        <w:rPr>
          <w:rFonts w:ascii="微软雅黑" w:eastAsia="微软雅黑" w:hAnsi="微软雅黑" w:cs="微软雅黑"/>
          <w:kern w:val="2"/>
          <w:szCs w:val="21"/>
          <w:lang w:eastAsia="zh-Hans"/>
        </w:rPr>
        <w:t>。</w:t>
      </w:r>
    </w:p>
    <w:p w14:paraId="37695381" w14:textId="77777777" w:rsidR="00F42A0C" w:rsidRDefault="00000000">
      <w:pPr>
        <w:spacing w:line="420" w:lineRule="exact"/>
        <w:jc w:val="left"/>
        <w:rPr>
          <w:rFonts w:ascii="Microsoft YaHei Regular" w:eastAsia="Microsoft YaHei Regular" w:hAnsi="Microsoft YaHei Regular" w:cs="Microsoft YaHei Regular"/>
          <w:b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3230D"/>
          <w:szCs w:val="21"/>
        </w:rPr>
        <w:t>【培训目标】</w:t>
      </w:r>
    </w:p>
    <w:bookmarkEnd w:id="0"/>
    <w:p w14:paraId="5EB54644" w14:textId="77777777" w:rsidR="00F42A0C" w:rsidRDefault="00000000">
      <w:pPr>
        <w:spacing w:line="3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本课程体系</w:t>
      </w:r>
      <w:r>
        <w:rPr>
          <w:rFonts w:ascii="微软雅黑" w:eastAsia="微软雅黑" w:hAnsi="微软雅黑" w:cs="微软雅黑" w:hint="eastAsia"/>
          <w:szCs w:val="21"/>
        </w:rPr>
        <w:t>以帮助HR提升劳动法律知识应用能力及员工关系实务管理能力。</w:t>
      </w:r>
    </w:p>
    <w:p w14:paraId="6B5586B4" w14:textId="77777777" w:rsidR="00F42A0C" w:rsidRDefault="00000000">
      <w:pPr>
        <w:spacing w:line="3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/>
          <w:szCs w:val="21"/>
        </w:rPr>
        <w:t>本课程体系</w:t>
      </w:r>
      <w:r>
        <w:rPr>
          <w:rFonts w:ascii="微软雅黑" w:eastAsia="微软雅黑" w:hAnsi="微软雅黑" w:cs="微软雅黑" w:hint="eastAsia"/>
          <w:szCs w:val="21"/>
        </w:rPr>
        <w:t>以帮助HR成为具备人力资源管理能力+法务实操能力的双向人才。</w:t>
      </w:r>
    </w:p>
    <w:p w14:paraId="4B1D85BA" w14:textId="77777777" w:rsidR="00F42A0C" w:rsidRDefault="00000000">
      <w:pPr>
        <w:spacing w:line="3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 法律体系：HR必备法律体系及法律逻辑体系</w:t>
      </w:r>
    </w:p>
    <w:p w14:paraId="469FFE6C" w14:textId="77777777" w:rsidR="00F42A0C" w:rsidRDefault="00000000">
      <w:pPr>
        <w:spacing w:line="3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 法务能力：系统掌握法律结合员工关系处理实操的方法</w:t>
      </w:r>
    </w:p>
    <w:p w14:paraId="02F04483" w14:textId="77777777" w:rsidR="00F42A0C" w:rsidRDefault="00000000">
      <w:pPr>
        <w:spacing w:line="3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 xml:space="preserve">◆ 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工具</w:t>
      </w:r>
      <w:r>
        <w:rPr>
          <w:rFonts w:ascii="微软雅黑" w:eastAsia="微软雅黑" w:hAnsi="微软雅黑" w:cs="微软雅黑" w:hint="eastAsia"/>
          <w:szCs w:val="21"/>
        </w:rPr>
        <w:t>设计：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培养用工表单</w:t>
      </w:r>
      <w:r>
        <w:rPr>
          <w:rFonts w:ascii="微软雅黑" w:eastAsia="微软雅黑" w:hAnsi="微软雅黑" w:cs="微软雅黑"/>
          <w:szCs w:val="21"/>
          <w:lang w:eastAsia="zh-Hans"/>
        </w:rPr>
        <w:t>、</w:t>
      </w:r>
      <w:r>
        <w:rPr>
          <w:rFonts w:ascii="微软雅黑" w:eastAsia="微软雅黑" w:hAnsi="微软雅黑" w:cs="微软雅黑" w:hint="eastAsia"/>
          <w:szCs w:val="21"/>
          <w:lang w:eastAsia="zh-Hans"/>
        </w:rPr>
        <w:t>协议的</w:t>
      </w:r>
      <w:r>
        <w:rPr>
          <w:rFonts w:ascii="微软雅黑" w:eastAsia="微软雅黑" w:hAnsi="微软雅黑" w:cs="微软雅黑" w:hint="eastAsia"/>
          <w:szCs w:val="21"/>
        </w:rPr>
        <w:t xml:space="preserve">设计修订能力 </w:t>
      </w:r>
    </w:p>
    <w:p w14:paraId="56810FCF" w14:textId="77777777" w:rsidR="00F42A0C" w:rsidRDefault="00000000">
      <w:pPr>
        <w:spacing w:line="300" w:lineRule="exact"/>
        <w:ind w:firstLineChars="200" w:firstLine="420"/>
        <w:rPr>
          <w:rFonts w:ascii="微软雅黑" w:eastAsia="微软雅黑" w:hAnsi="微软雅黑" w:cs="微软雅黑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 风险防控：提升企业劳资纠纷法律风险预判、分析、防范能力</w:t>
      </w:r>
    </w:p>
    <w:p w14:paraId="30485736" w14:textId="77777777" w:rsidR="00F42A0C" w:rsidRDefault="00000000">
      <w:pPr>
        <w:spacing w:line="300" w:lineRule="exact"/>
        <w:ind w:firstLineChars="200" w:firstLine="420"/>
        <w:rPr>
          <w:rFonts w:ascii="Microsoft YaHei Regular" w:eastAsia="Microsoft YaHei Regular" w:hAnsi="Microsoft YaHei Regular" w:cs="Microsoft YaHei Regular"/>
          <w:b/>
          <w:bCs/>
          <w:color w:val="C00000"/>
          <w:szCs w:val="21"/>
        </w:rPr>
      </w:pPr>
      <w:r>
        <w:rPr>
          <w:rFonts w:ascii="微软雅黑" w:eastAsia="微软雅黑" w:hAnsi="微软雅黑" w:cs="微软雅黑" w:hint="eastAsia"/>
          <w:szCs w:val="21"/>
        </w:rPr>
        <w:t>◆ 和谐稳定：帮助企业调整管理思路，维持劳动关系和谐稳定</w:t>
      </w:r>
    </w:p>
    <w:p w14:paraId="62468962" w14:textId="77777777" w:rsidR="00F42A0C" w:rsidRDefault="00000000">
      <w:pPr>
        <w:spacing w:line="480" w:lineRule="auto"/>
        <w:rPr>
          <w:rFonts w:ascii="Microsoft YaHei Regular" w:eastAsia="Microsoft YaHei Regular" w:hAnsi="Microsoft YaHei Regular" w:cs="Microsoft YaHei Regular"/>
          <w:b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bCs/>
          <w:color w:val="C00000"/>
          <w:szCs w:val="21"/>
        </w:rPr>
        <w:t xml:space="preserve">【课程大纲】 </w:t>
      </w:r>
    </w:p>
    <w:p w14:paraId="47115B7A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C00000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00000"/>
          <w:szCs w:val="21"/>
          <w:lang w:eastAsia="zh-Hans"/>
        </w:rPr>
        <w:t>第一章 企业解除10类情形</w:t>
      </w:r>
    </w:p>
    <w:p w14:paraId="7FEF4037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【过错性辞退】</w:t>
      </w:r>
    </w:p>
    <w:p w14:paraId="187F8993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一、过错性辞退风控操作指引（不符合录用条件解除）</w:t>
      </w:r>
    </w:p>
    <w:p w14:paraId="6FCD8F29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1“不符合录用条件”法定概念分析</w:t>
      </w:r>
    </w:p>
    <w:p w14:paraId="3BFA1207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2“不符合录用条件”解除流程指引</w:t>
      </w:r>
    </w:p>
    <w:p w14:paraId="03927362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3“录用条件”10类共性+个性条款设计</w:t>
      </w:r>
    </w:p>
    <w:p w14:paraId="24612C1A" w14:textId="77777777" w:rsidR="00F42A0C" w:rsidRDefault="00000000">
      <w:pPr>
        <w:spacing w:line="300" w:lineRule="exact"/>
        <w:jc w:val="lef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4解除高频风控实务（试用期内精神病、工伤、培训服务期、泡病号）</w:t>
      </w:r>
    </w:p>
    <w:p w14:paraId="3EE5AF72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二、过错性辞退风控操作指引（严重违规解除）</w:t>
      </w:r>
    </w:p>
    <w:p w14:paraId="0C8885A1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1严重违反用人单位规章制度中“严重”法定概念分析</w:t>
      </w:r>
    </w:p>
    <w:p w14:paraId="6C7B2377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严重违规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”解除流程指引</w:t>
      </w:r>
    </w:p>
    <w:p w14:paraId="4B0C6BFD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lastRenderedPageBreak/>
        <w:t>3解除高频风控实务（小错不断/大错不犯、旷工处理、异议程序、无适用条款）</w:t>
      </w:r>
    </w:p>
    <w:p w14:paraId="3697A825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三、过错性辞退风控操作指引（严重失职解除）</w:t>
      </w:r>
    </w:p>
    <w:p w14:paraId="731A681C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1“严重失职”“营私舞弊”“重大损害”法定概念分析</w:t>
      </w:r>
    </w:p>
    <w:p w14:paraId="5718DDC0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严重失职，营私舞弊，给用人单位造成重大损害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”解除流程指引</w:t>
      </w:r>
    </w:p>
    <w:p w14:paraId="6FFFF806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3解除高频风控实务（本职工作界定、重大损害界定）</w:t>
      </w:r>
    </w:p>
    <w:p w14:paraId="49DADFE3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四、过错性辞退风控操作指引（兼职、合同无效、被追究刑事责任）</w:t>
      </w:r>
    </w:p>
    <w:p w14:paraId="6CCBDBE8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1“兼职”“合同无效”“被追究刑事责任”法定概念分析</w:t>
      </w:r>
    </w:p>
    <w:p w14:paraId="63C04851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2“三类”解除流程指引</w:t>
      </w:r>
    </w:p>
    <w:p w14:paraId="62A34123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【非过错性辞退】</w:t>
      </w:r>
    </w:p>
    <w:p w14:paraId="2C06C344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五、非过错性辞退风控操作指引（医疗期满解除）</w:t>
      </w:r>
    </w:p>
    <w:p w14:paraId="1A7DE298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1“医疗期满”“不能从事工作”法定概念分析</w:t>
      </w:r>
    </w:p>
    <w:p w14:paraId="6A6AA15B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患病或非因工负伤，医疗期满后不能从事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新旧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工作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”解除流程指引</w:t>
      </w:r>
    </w:p>
    <w:p w14:paraId="17BD0C7C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3解除高频风控实务（虚假病假、泡病号、特殊疾病医疗期计算）</w:t>
      </w:r>
    </w:p>
    <w:p w14:paraId="4A949E27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六、非过错性辞退风控操作指引（不胜任工作解除）</w:t>
      </w:r>
    </w:p>
    <w:p w14:paraId="42842558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1“不胜任”“培训”“调岗”法定概念分析</w:t>
      </w:r>
    </w:p>
    <w:p w14:paraId="62997F60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2“不胜任工作”解除流程指引</w:t>
      </w:r>
    </w:p>
    <w:p w14:paraId="35B880FC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3解除高频风控实务（岗位职责设计、岗位拒签、绩效改进替代培训、调岗违法）</w:t>
      </w:r>
    </w:p>
    <w:p w14:paraId="023907BC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七、非过错性辞退风控操作指引（情势变更解除）</w:t>
      </w:r>
    </w:p>
    <w:p w14:paraId="60EA7603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1“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客观情况发生重大变化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”“合同无法履行”法定概念分析</w:t>
      </w:r>
    </w:p>
    <w:p w14:paraId="1DBE2C35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2“情势变更”解除流程指引</w:t>
      </w:r>
    </w:p>
    <w:p w14:paraId="23B2B2F0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4解除高频风控实务（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如何认定客观情况发生变化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、变化是否包含员工之情况）</w:t>
      </w:r>
    </w:p>
    <w:p w14:paraId="1987782F" w14:textId="77777777" w:rsidR="00F42A0C" w:rsidRDefault="00000000">
      <w:pPr>
        <w:spacing w:line="240" w:lineRule="auto"/>
        <w:jc w:val="left"/>
        <w:rPr>
          <w:rFonts w:ascii="Microsoft YaHei Regular" w:eastAsia="Microsoft YaHei Regular" w:hAnsi="Microsoft YaHei Regular" w:cs="Microsoft YaHei Regular"/>
          <w:b/>
          <w:color w:val="C00000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00000"/>
          <w:szCs w:val="21"/>
          <w:lang w:eastAsia="zh-Hans"/>
        </w:rPr>
        <w:t>第二章 员工辞职10类情形</w:t>
      </w:r>
    </w:p>
    <w:p w14:paraId="7D1A5220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【员工主动辞职】</w:t>
      </w:r>
    </w:p>
    <w:p w14:paraId="75CD9886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一、主动辞职风控操作指引</w:t>
      </w:r>
    </w:p>
    <w:p w14:paraId="6B61331B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主动辞职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法定概念分析及要件</w:t>
      </w:r>
    </w:p>
    <w:p w14:paraId="0AF27857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2如何最大化规避员工未提前30天或3天辞职</w:t>
      </w:r>
    </w:p>
    <w:p w14:paraId="12FF59E1" w14:textId="77777777" w:rsidR="00F42A0C" w:rsidRDefault="00000000">
      <w:pPr>
        <w:spacing w:line="300" w:lineRule="exact"/>
        <w:jc w:val="lef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3主动辞职操作高频风控实务（口头辞职、不告而别、撤销辞职申请）</w:t>
      </w:r>
    </w:p>
    <w:p w14:paraId="6927D006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【员工被动辞职】</w:t>
      </w:r>
    </w:p>
    <w:p w14:paraId="3764545E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二、被动辞职风控操作指引（劳保条件、劳动报酬、社保）</w:t>
      </w:r>
    </w:p>
    <w:p w14:paraId="1F0559FD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1被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动辞职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法定概念分析及要件</w:t>
      </w:r>
    </w:p>
    <w:p w14:paraId="2B5A0F76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2裁判实践中如何认定企业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未提供约定劳保条件</w:t>
      </w:r>
    </w:p>
    <w:p w14:paraId="390FDF76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lastRenderedPageBreak/>
        <w:t>3裁判实践中如何认定企业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用人单位未及时足额支付劳动报酬</w:t>
      </w:r>
    </w:p>
    <w:p w14:paraId="30FC712F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4裁判实践中如何认定企业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用人单位未依法缴纳社会保险</w:t>
      </w:r>
    </w:p>
    <w:p w14:paraId="5F8EDE35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三、被动辞职风控操作指引（制度违法、合同无效、强迫劳动）</w:t>
      </w:r>
    </w:p>
    <w:p w14:paraId="06EF71B2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1裁判实践中如何认定企业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用人单位规章制度违法且损害员工利益</w:t>
      </w:r>
    </w:p>
    <w:p w14:paraId="2AE9765C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2裁判实践中如何认定企业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用人单位以欺诈、胁迫或乘人之危与员工签订或变更合同导致条款无效</w:t>
      </w:r>
    </w:p>
    <w:p w14:paraId="596E5FD7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3裁判实践中如何认定企业</w:t>
      </w:r>
      <w:r>
        <w:rPr>
          <w:rFonts w:ascii="Microsoft YaHei Regular" w:eastAsia="Microsoft YaHei Regular" w:hAnsi="Microsoft YaHei Regular" w:cs="Microsoft YaHei Regular" w:hint="eastAsia"/>
          <w:bCs/>
          <w:szCs w:val="21"/>
        </w:rPr>
        <w:t>用人单位违反法律强制性规定用工</w:t>
      </w:r>
    </w:p>
    <w:p w14:paraId="7A5FB2B0" w14:textId="77777777" w:rsidR="00F42A0C" w:rsidRDefault="00000000">
      <w:pPr>
        <w:spacing w:line="240" w:lineRule="auto"/>
        <w:jc w:val="left"/>
        <w:rPr>
          <w:rFonts w:ascii="Microsoft YaHei Regular" w:eastAsia="Microsoft YaHei Regular" w:hAnsi="Microsoft YaHei Regular" w:cs="Microsoft YaHei Regular"/>
          <w:b/>
          <w:color w:val="C00000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00000"/>
          <w:szCs w:val="21"/>
          <w:lang w:eastAsia="zh-Hans"/>
        </w:rPr>
        <w:t>第三章 合同终止13类情形</w:t>
      </w:r>
    </w:p>
    <w:p w14:paraId="4457063E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一、法定终止风控操作指引</w:t>
      </w:r>
    </w:p>
    <w:p w14:paraId="59975F8C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1合同（期满终止 ）    </w:t>
      </w:r>
    </w:p>
    <w:p w14:paraId="1F3974B3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2员工（享受退休待遇、达到退休年龄、死亡或失踪）</w:t>
      </w:r>
    </w:p>
    <w:p w14:paraId="7A3EADA6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3企业（破产、执照被吊销、关闭、撤销、自行解散）</w:t>
      </w:r>
    </w:p>
    <w:p w14:paraId="5198A31A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二、特殊终止风控操作指引</w:t>
      </w:r>
    </w:p>
    <w:p w14:paraId="67B60891" w14:textId="77777777" w:rsidR="00F42A0C" w:rsidRDefault="00000000">
      <w:pPr>
        <w:pStyle w:val="a9"/>
        <w:spacing w:before="0" w:beforeAutospacing="0" w:after="0" w:afterAutospacing="0" w:line="300" w:lineRule="exact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</w:rPr>
        <w:t>1以完成一定工作任务为期限合同</w:t>
      </w: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终止</w:t>
      </w:r>
    </w:p>
    <w:p w14:paraId="4D7380A3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2非全日制劳动合同终止</w:t>
      </w:r>
    </w:p>
    <w:p w14:paraId="631ABE83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3劳务派遣经营期限届满不再继续经营终止</w:t>
      </w:r>
    </w:p>
    <w:p w14:paraId="140B8481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4分支机构撤销后员工关系终止</w:t>
      </w:r>
    </w:p>
    <w:p w14:paraId="18E70555" w14:textId="77777777" w:rsidR="00F42A0C" w:rsidRDefault="00000000">
      <w:pPr>
        <w:spacing w:line="240" w:lineRule="auto"/>
        <w:jc w:val="left"/>
        <w:rPr>
          <w:rFonts w:ascii="Microsoft YaHei Regular" w:eastAsia="Microsoft YaHei Regular" w:hAnsi="Microsoft YaHei Regular" w:cs="Microsoft YaHei Regular"/>
          <w:b/>
          <w:color w:val="C00000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00000"/>
          <w:szCs w:val="21"/>
          <w:lang w:eastAsia="zh-Hans"/>
        </w:rPr>
        <w:t>第四章 非标准解除终止11类情形</w:t>
      </w:r>
    </w:p>
    <w:p w14:paraId="71C457C1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【事实劳动关系结束】</w:t>
      </w:r>
    </w:p>
    <w:p w14:paraId="14678B11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一、事实劳动关系结束风控操作指引</w:t>
      </w:r>
    </w:p>
    <w:p w14:paraId="634EB9B4" w14:textId="77777777" w:rsidR="00F42A0C" w:rsidRDefault="00000000">
      <w:pPr>
        <w:pStyle w:val="a9"/>
        <w:spacing w:before="0" w:beforeAutospacing="0" w:after="0" w:afterAutospacing="0" w:line="300" w:lineRule="exact"/>
        <w:rPr>
          <w:rFonts w:ascii="Microsoft YaHei Regular" w:eastAsia="Microsoft YaHei Regular" w:hAnsi="Microsoft YaHei Regular" w:cs="Microsoft YaHei Regular"/>
          <w:bCs/>
          <w:sz w:val="21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</w:rPr>
        <w:t>1</w:t>
      </w: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首月劳动者不签合同企业终止关系</w:t>
      </w:r>
    </w:p>
    <w:p w14:paraId="5E3726E0" w14:textId="77777777" w:rsidR="00F42A0C" w:rsidRDefault="00000000">
      <w:pPr>
        <w:pStyle w:val="a9"/>
        <w:spacing w:before="0" w:beforeAutospacing="0" w:after="0" w:afterAutospacing="0" w:line="300" w:lineRule="exact"/>
        <w:rPr>
          <w:rFonts w:ascii="Microsoft YaHei Regular" w:eastAsia="Microsoft YaHei Regular" w:hAnsi="Microsoft YaHei Regular" w:cs="Microsoft YaHei Regular"/>
          <w:bCs/>
          <w:sz w:val="21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</w:rPr>
        <w:t>2</w:t>
      </w: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超过1月不满1年劳动者不签合同企业终止关系</w:t>
      </w:r>
    </w:p>
    <w:p w14:paraId="04DB3C37" w14:textId="77777777" w:rsidR="00F42A0C" w:rsidRDefault="00000000">
      <w:pPr>
        <w:pStyle w:val="a0"/>
        <w:overflowPunct/>
        <w:autoSpaceDE/>
        <w:autoSpaceDN/>
        <w:adjustRightInd/>
        <w:spacing w:line="300" w:lineRule="exact"/>
        <w:rPr>
          <w:rFonts w:ascii="Microsoft YaHei Regular" w:eastAsia="Microsoft YaHei Regular" w:hAnsi="Microsoft YaHei Regular" w:cs="Microsoft YaHei Regular"/>
          <w:bCs/>
          <w:color w:val="auto"/>
          <w:kern w:val="2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auto"/>
          <w:kern w:val="2"/>
          <w:szCs w:val="21"/>
        </w:rPr>
        <w:t>3合同期满</w:t>
      </w:r>
      <w:r>
        <w:rPr>
          <w:rFonts w:ascii="Microsoft YaHei Regular" w:eastAsia="Microsoft YaHei Regular" w:hAnsi="Microsoft YaHei Regular" w:cs="Microsoft YaHei Regular" w:hint="eastAsia"/>
          <w:bCs/>
          <w:color w:val="auto"/>
          <w:kern w:val="2"/>
          <w:szCs w:val="21"/>
          <w:lang w:eastAsia="zh-Hans"/>
        </w:rPr>
        <w:t>未续签继续用工终止劳动关系</w:t>
      </w:r>
    </w:p>
    <w:p w14:paraId="69A1BF7A" w14:textId="77777777" w:rsidR="00F42A0C" w:rsidRDefault="00000000">
      <w:pPr>
        <w:pStyle w:val="a0"/>
        <w:overflowPunct/>
        <w:autoSpaceDE/>
        <w:autoSpaceDN/>
        <w:adjustRightInd/>
        <w:spacing w:line="300" w:lineRule="exact"/>
        <w:rPr>
          <w:rFonts w:ascii="Microsoft YaHei Regular" w:eastAsia="Microsoft YaHei Regular" w:hAnsi="Microsoft YaHei Regular" w:cs="Microsoft YaHei Regular"/>
          <w:bCs/>
          <w:color w:val="auto"/>
          <w:kern w:val="2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color w:val="auto"/>
          <w:kern w:val="2"/>
          <w:szCs w:val="21"/>
          <w:lang w:eastAsia="zh-Hans"/>
        </w:rPr>
        <w:t>4签订《合作协议》+被认定事实劳动关系下的解除赔偿新变化（赔偿金、未签合同2倍工资）</w:t>
      </w:r>
    </w:p>
    <w:p w14:paraId="7D3B9FAE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【协商解除】</w:t>
      </w:r>
    </w:p>
    <w:p w14:paraId="7369D9C8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二、协商解除风控操作指引</w:t>
      </w:r>
    </w:p>
    <w:p w14:paraId="3ED4CC5C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1“协商一致”法定概念分析</w:t>
      </w:r>
    </w:p>
    <w:p w14:paraId="04B0C542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2“协商一致”解除流程指引</w:t>
      </w:r>
    </w:p>
    <w:p w14:paraId="0C8C34AB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3协商解除4日约定技巧（解除日、离岗日、交接日、付款日）</w:t>
      </w:r>
    </w:p>
    <w:p w14:paraId="79CD46BB" w14:textId="77777777" w:rsidR="00F42A0C" w:rsidRDefault="00000000">
      <w:pPr>
        <w:spacing w:line="300" w:lineRule="exact"/>
        <w:jc w:val="lef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4解除高频风控实务（补偿项目及标准约定、签订后反悔申请认定协议无效或撤销、员工放弃诉权效力）</w:t>
      </w:r>
    </w:p>
    <w:p w14:paraId="531F6021" w14:textId="77777777" w:rsidR="00F42A0C" w:rsidRDefault="00000000">
      <w:pPr>
        <w:spacing w:line="240" w:lineRule="auto"/>
        <w:jc w:val="left"/>
        <w:rPr>
          <w:rFonts w:ascii="Microsoft YaHei Regular" w:eastAsia="Microsoft YaHei Regular" w:hAnsi="Microsoft YaHei Regular" w:cs="Microsoft YaHei Regular"/>
          <w:b/>
          <w:color w:val="C00000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00000"/>
          <w:szCs w:val="21"/>
          <w:lang w:eastAsia="zh-Hans"/>
        </w:rPr>
        <w:t>第五章 特殊解除终止12情形</w:t>
      </w:r>
    </w:p>
    <w:p w14:paraId="75B7B6EA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【限制解除终止】</w:t>
      </w:r>
    </w:p>
    <w:p w14:paraId="23F1228D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lastRenderedPageBreak/>
        <w:t>一、限制解除终止风控操作指引</w:t>
      </w:r>
    </w:p>
    <w:p w14:paraId="74C7324B" w14:textId="77777777" w:rsidR="00F42A0C" w:rsidRDefault="00000000">
      <w:pPr>
        <w:spacing w:line="300" w:lineRule="exact"/>
        <w:jc w:val="lef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1限制解除或终止的6类情形（职业病未检、工伤丧劳、医疗期、女工三期、15+5员工、试用期）</w:t>
      </w:r>
    </w:p>
    <w:p w14:paraId="18E1547F" w14:textId="77777777" w:rsidR="00F42A0C" w:rsidRDefault="00000000">
      <w:pPr>
        <w:spacing w:line="300" w:lineRule="exac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Cs w:val="21"/>
          <w:lang w:eastAsia="zh-Hans"/>
        </w:rPr>
        <w:t>2限制终止4类情形（培训服务期未到期、疫情、工会主席等、职工协商代表）</w:t>
      </w:r>
    </w:p>
    <w:p w14:paraId="17733952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>【违法解除终止】</w:t>
      </w:r>
    </w:p>
    <w:p w14:paraId="3A6AC692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二、违法解除终止风控操作指引</w:t>
      </w:r>
    </w:p>
    <w:p w14:paraId="2D50A954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1所有合同终止解除情形需满足的通用法定程序及要求</w:t>
      </w:r>
    </w:p>
    <w:p w14:paraId="0A7CD0A3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2违法解除终止后果（支付赔偿金、支付诉讼期工资、恢复劳动关系）</w:t>
      </w:r>
    </w:p>
    <w:p w14:paraId="715CBDE0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3仲裁法院判决恢复劳动关系的裁审标准</w:t>
      </w:r>
    </w:p>
    <w:p w14:paraId="0DED3137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4472C4" w:themeColor="accent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4472C4" w:themeColor="accent1"/>
          <w:szCs w:val="21"/>
          <w:lang w:eastAsia="zh-Hans"/>
        </w:rPr>
        <w:t xml:space="preserve">【特殊群体解除】 </w:t>
      </w:r>
    </w:p>
    <w:p w14:paraId="5F85C1C0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三 、特殊群体解除风控操作指引</w:t>
      </w:r>
    </w:p>
    <w:p w14:paraId="2966DA7D" w14:textId="77777777" w:rsidR="00F42A0C" w:rsidRDefault="00000000">
      <w:pPr>
        <w:widowControl/>
        <w:spacing w:line="300" w:lineRule="exact"/>
        <w:jc w:val="left"/>
        <w:rPr>
          <w:rFonts w:ascii="Microsoft YaHei Regular" w:eastAsia="Microsoft YaHei Regular" w:hAnsi="Microsoft YaHei Regular" w:cs="Microsoft YaHei Regular"/>
          <w:bCs/>
          <w:kern w:val="0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kern w:val="0"/>
          <w:szCs w:val="21"/>
          <w:lang w:eastAsia="zh-Hans"/>
        </w:rPr>
        <w:t>1董事会聘任高级管理人员的岗位终止及合同解除</w:t>
      </w:r>
    </w:p>
    <w:p w14:paraId="69D8AAED" w14:textId="77777777" w:rsidR="00F42A0C" w:rsidRDefault="00000000">
      <w:pPr>
        <w:widowControl/>
        <w:spacing w:line="300" w:lineRule="exact"/>
        <w:jc w:val="left"/>
        <w:rPr>
          <w:rFonts w:ascii="Microsoft YaHei Regular" w:eastAsia="Microsoft YaHei Regular" w:hAnsi="Microsoft YaHei Regular" w:cs="Microsoft YaHei Regular"/>
          <w:bCs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kern w:val="0"/>
          <w:szCs w:val="21"/>
          <w:lang w:eastAsia="zh-Hans"/>
        </w:rPr>
        <w:t>2非董事会聘任中高级管理人员的岗位终止及合同解除</w:t>
      </w:r>
    </w:p>
    <w:p w14:paraId="382224CF" w14:textId="77777777" w:rsidR="00F42A0C" w:rsidRDefault="00000000">
      <w:pPr>
        <w:spacing w:line="240" w:lineRule="auto"/>
        <w:jc w:val="left"/>
        <w:rPr>
          <w:rFonts w:ascii="Microsoft YaHei Regular" w:eastAsia="Microsoft YaHei Regular" w:hAnsi="Microsoft YaHei Regular" w:cs="Microsoft YaHei Regular"/>
          <w:b/>
          <w:color w:val="C00000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00000"/>
          <w:szCs w:val="21"/>
          <w:lang w:eastAsia="zh-Hans"/>
        </w:rPr>
        <w:t>第六章 解除、终止、辞职“8金”离职成本核算</w:t>
      </w:r>
    </w:p>
    <w:p w14:paraId="10EAE375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一、支付解除成本的情形及科目</w:t>
      </w:r>
    </w:p>
    <w:p w14:paraId="1E24B335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1 44类离职成本汇总表对照</w:t>
      </w:r>
    </w:p>
    <w:p w14:paraId="00FBB879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2离职最常见“8金”</w:t>
      </w:r>
    </w:p>
    <w:p w14:paraId="53E0A09F" w14:textId="77777777" w:rsidR="00F42A0C" w:rsidRDefault="00000000">
      <w:pPr>
        <w:pStyle w:val="a9"/>
        <w:spacing w:before="0" w:beforeAutospacing="0" w:after="0" w:afterAutospacing="0" w:line="300" w:lineRule="exact"/>
        <w:jc w:val="both"/>
        <w:rPr>
          <w:rFonts w:ascii="Microsoft YaHei Regular" w:eastAsia="Microsoft YaHei Regular" w:hAnsi="Microsoft YaHei Regular" w:cs="Microsoft YaHei Regular"/>
          <w:bCs/>
          <w:sz w:val="21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Cs/>
          <w:sz w:val="21"/>
          <w:szCs w:val="21"/>
          <w:lang w:eastAsia="zh-Hans"/>
        </w:rPr>
        <w:t>3通过关联公司轮流签订合同等方式清零工龄，达到降低赔偿年限的裁判口径分析</w:t>
      </w:r>
    </w:p>
    <w:p w14:paraId="6B7EC31C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二、赔偿补偿计发实务（经济补偿金、赔偿金、代通知金、医疗补助费、一次性伤残就业补助金）</w:t>
      </w:r>
    </w:p>
    <w:p w14:paraId="790FFC2F" w14:textId="77777777" w:rsidR="00F42A0C" w:rsidRDefault="00000000">
      <w:pPr>
        <w:spacing w:line="240" w:lineRule="auto"/>
        <w:rPr>
          <w:rFonts w:ascii="Microsoft YaHei Regular" w:eastAsia="Microsoft YaHei Regular" w:hAnsi="Microsoft YaHei Regular" w:cs="Microsoft YaHei Regular"/>
          <w:b/>
          <w:color w:val="C3230D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noProof/>
          <w:szCs w:val="21"/>
        </w:rPr>
        <w:drawing>
          <wp:anchor distT="0" distB="0" distL="114300" distR="114300" simplePos="0" relativeHeight="251659264" behindDoc="1" locked="0" layoutInCell="1" allowOverlap="1" wp14:anchorId="1FC1671F" wp14:editId="599DE4DB">
            <wp:simplePos x="0" y="0"/>
            <wp:positionH relativeFrom="column">
              <wp:posOffset>4664710</wp:posOffset>
            </wp:positionH>
            <wp:positionV relativeFrom="paragraph">
              <wp:posOffset>22225</wp:posOffset>
            </wp:positionV>
            <wp:extent cx="1824990" cy="2738120"/>
            <wp:effectExtent l="0" t="0" r="3810" b="5080"/>
            <wp:wrapTight wrapText="bothSides">
              <wp:wrapPolygon edited="0">
                <wp:start x="256" y="0"/>
                <wp:lineTo x="256" y="21440"/>
                <wp:lineTo x="21600" y="21440"/>
                <wp:lineTo x="21600" y="0"/>
                <wp:lineTo x="256" y="0"/>
              </wp:wrapPolygon>
            </wp:wrapTight>
            <wp:docPr id="1" name="图片 1" descr="7aa94fa77a8036d1d958a66b4d04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a94fa77a8036d1d958a66b4d0490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24990" cy="2738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Microsoft YaHei Regular" w:eastAsia="Microsoft YaHei Regular" w:hAnsi="Microsoft YaHei Regular" w:cs="Microsoft YaHei Regular" w:hint="eastAsia"/>
          <w:b/>
          <w:szCs w:val="21"/>
          <w:lang w:eastAsia="zh-Hans"/>
        </w:rPr>
        <w:t>三、赔偿补偿计发实务（服务期违约金、竞业限制违约金、员工履职赔偿金）</w:t>
      </w:r>
    </w:p>
    <w:p w14:paraId="754A9061" w14:textId="77777777" w:rsidR="00F42A0C" w:rsidRDefault="00000000">
      <w:pPr>
        <w:spacing w:line="420" w:lineRule="exact"/>
        <w:jc w:val="left"/>
        <w:rPr>
          <w:rFonts w:ascii="Microsoft YaHei Regular" w:eastAsia="Microsoft YaHei Regular" w:hAnsi="Microsoft YaHei Regular" w:cs="Microsoft YaHei Regular"/>
          <w:b/>
          <w:color w:val="C3230D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b/>
          <w:color w:val="C3230D"/>
          <w:szCs w:val="21"/>
        </w:rPr>
        <w:t>【讲师介绍-</w:t>
      </w:r>
      <w:r>
        <w:rPr>
          <w:rFonts w:ascii="Microsoft YaHei Regular" w:eastAsia="Microsoft YaHei Regular" w:hAnsi="Microsoft YaHei Regular" w:cs="Microsoft YaHei Regular" w:hint="eastAsia"/>
          <w:b/>
          <w:color w:val="C3230D"/>
          <w:szCs w:val="21"/>
          <w:lang w:eastAsia="zh-Hans"/>
        </w:rPr>
        <w:t>祝老师</w:t>
      </w:r>
      <w:r>
        <w:rPr>
          <w:rFonts w:ascii="Microsoft YaHei Regular" w:eastAsia="Microsoft YaHei Regular" w:hAnsi="Microsoft YaHei Regular" w:cs="Microsoft YaHei Regular" w:hint="eastAsia"/>
          <w:b/>
          <w:color w:val="C3230D"/>
          <w:szCs w:val="21"/>
        </w:rPr>
        <w:t>】</w:t>
      </w:r>
    </w:p>
    <w:p w14:paraId="1EC290A0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  <w:lang w:eastAsia="zh-Hans"/>
        </w:rPr>
        <w:t>智联特聘劳动法讲师、咨询师</w:t>
      </w:r>
    </w:p>
    <w:p w14:paraId="29331F18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“HR法研社”创始人</w:t>
      </w:r>
    </w:p>
    <w:p w14:paraId="293CB4CF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晋泰律师事务所特聘灵工法务项目发起人</w:t>
      </w:r>
    </w:p>
    <w:p w14:paraId="18F141EB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先之教育劳动法特聘专家</w:t>
      </w:r>
    </w:p>
    <w:p w14:paraId="7A7A8A3E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  <w:lang w:eastAsia="zh-Hans"/>
        </w:rPr>
      </w:pPr>
      <w:r>
        <w:rPr>
          <w:rFonts w:ascii="Microsoft YaHei Regular" w:eastAsia="Microsoft YaHei Regular" w:hAnsi="Microsoft YaHei Regular" w:cs="Microsoft YaHei Regular" w:hint="eastAsia"/>
          <w:szCs w:val="21"/>
          <w:lang w:eastAsia="zh-Hans"/>
        </w:rPr>
        <w:t>天眼查特聘劳动法讲师</w:t>
      </w:r>
    </w:p>
    <w:p w14:paraId="4A165D5D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人才培养与发展专家，资深人力资源</w:t>
      </w:r>
      <w:r>
        <w:rPr>
          <w:rFonts w:ascii="Microsoft YaHei Regular" w:eastAsia="Microsoft YaHei Regular" w:hAnsi="Microsoft YaHei Regular" w:cs="Microsoft YaHei Regular" w:hint="eastAsia"/>
          <w:szCs w:val="21"/>
          <w:lang w:eastAsia="zh-Hans"/>
        </w:rPr>
        <w:t>法务</w:t>
      </w:r>
      <w:r>
        <w:rPr>
          <w:rFonts w:ascii="Microsoft YaHei Regular" w:eastAsia="Microsoft YaHei Regular" w:hAnsi="Microsoft YaHei Regular" w:cs="Microsoft YaHei Regular" w:hint="eastAsia"/>
          <w:szCs w:val="21"/>
        </w:rPr>
        <w:t>管理者</w:t>
      </w:r>
    </w:p>
    <w:p w14:paraId="5708A7E7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8年人力资源管理</w:t>
      </w:r>
      <w:r>
        <w:rPr>
          <w:rFonts w:ascii="Microsoft YaHei Regular" w:eastAsia="Microsoft YaHei Regular" w:hAnsi="Microsoft YaHei Regular" w:cs="Microsoft YaHei Regular" w:hint="eastAsia"/>
          <w:szCs w:val="21"/>
          <w:lang w:eastAsia="zh-Hans"/>
        </w:rPr>
        <w:t>法务风控</w:t>
      </w:r>
      <w:r>
        <w:rPr>
          <w:rFonts w:ascii="Microsoft YaHei Regular" w:eastAsia="Microsoft YaHei Regular" w:hAnsi="Microsoft YaHei Regular" w:cs="Microsoft YaHei Regular" w:hint="eastAsia"/>
          <w:szCs w:val="21"/>
        </w:rPr>
        <w:t>落地指导经验</w:t>
      </w:r>
    </w:p>
    <w:p w14:paraId="021E3113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szCs w:val="21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8年专业劳动法律师事务所管理经验</w:t>
      </w:r>
    </w:p>
    <w:p w14:paraId="5B4D4572" w14:textId="77777777" w:rsidR="00F42A0C" w:rsidRDefault="00000000">
      <w:pPr>
        <w:jc w:val="left"/>
        <w:rPr>
          <w:rFonts w:ascii="Microsoft YaHei Regular" w:eastAsia="Microsoft YaHei Regular" w:hAnsi="Microsoft YaHei Regular" w:cs="Microsoft YaHei Regular"/>
          <w:color w:val="C00000"/>
          <w:sz w:val="15"/>
          <w:szCs w:val="15"/>
        </w:rPr>
      </w:pPr>
      <w:r>
        <w:rPr>
          <w:rFonts w:ascii="Microsoft YaHei Regular" w:eastAsia="Microsoft YaHei Regular" w:hAnsi="Microsoft YaHei Regular" w:cs="Microsoft YaHei Regular" w:hint="eastAsia"/>
          <w:szCs w:val="21"/>
        </w:rPr>
        <w:t>HR法研社“人财法税”12+灵工模式项目设计导师</w:t>
      </w:r>
    </w:p>
    <w:p w14:paraId="3E6E1250" w14:textId="77777777" w:rsidR="00F42A0C" w:rsidRDefault="00F42A0C">
      <w:pPr>
        <w:widowControl/>
        <w:jc w:val="left"/>
        <w:rPr>
          <w:rFonts w:ascii="Microsoft YaHei Regular" w:eastAsia="Microsoft YaHei Regular" w:hAnsi="Microsoft YaHei Regular" w:cs="Microsoft YaHei Regular"/>
          <w:szCs w:val="21"/>
          <w:lang w:eastAsia="zh-Hans"/>
        </w:rPr>
      </w:pPr>
    </w:p>
    <w:sectPr w:rsidR="00F42A0C">
      <w:headerReference w:type="default" r:id="rId7"/>
      <w:footerReference w:type="default" r:id="rId8"/>
      <w:pgSz w:w="11900" w:h="16840"/>
      <w:pgMar w:top="1440" w:right="1080" w:bottom="1440" w:left="1080" w:header="758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0A06E" w14:textId="77777777" w:rsidR="00AF3D66" w:rsidRDefault="00AF3D66">
      <w:pPr>
        <w:spacing w:line="240" w:lineRule="auto"/>
      </w:pPr>
      <w:r>
        <w:separator/>
      </w:r>
    </w:p>
  </w:endnote>
  <w:endnote w:type="continuationSeparator" w:id="0">
    <w:p w14:paraId="1B9BB50C" w14:textId="77777777" w:rsidR="00AF3D66" w:rsidRDefault="00AF3D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crosoft YaHei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6FD4" w14:textId="77777777" w:rsidR="00F42A0C" w:rsidRDefault="00000000">
    <w:pPr>
      <w:pStyle w:val="a5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EDBCA" w14:textId="77777777" w:rsidR="00AF3D66" w:rsidRDefault="00AF3D66">
      <w:pPr>
        <w:spacing w:after="0"/>
      </w:pPr>
      <w:r>
        <w:separator/>
      </w:r>
    </w:p>
  </w:footnote>
  <w:footnote w:type="continuationSeparator" w:id="0">
    <w:p w14:paraId="37BFC310" w14:textId="77777777" w:rsidR="00AF3D66" w:rsidRDefault="00AF3D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4A712" w14:textId="77777777" w:rsidR="00F42A0C" w:rsidRDefault="00000000">
    <w:pPr>
      <w:pStyle w:val="a7"/>
      <w:ind w:rightChars="37" w:right="78"/>
      <w:jc w:val="left"/>
    </w:pPr>
    <w:r>
      <w:rPr>
        <w:rFonts w:hint="eastAsia"/>
      </w:rPr>
      <w:t xml:space="preserve"> </w:t>
    </w:r>
    <w: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AyYjM4NjJhZjVhMjU1OTFjZTljZmJlZjVkNzRhZDAifQ=="/>
  </w:docVars>
  <w:rsids>
    <w:rsidRoot w:val="009D0CF5"/>
    <w:rsid w:val="AFFEEFE1"/>
    <w:rsid w:val="D7B3BDC9"/>
    <w:rsid w:val="DEBFAD07"/>
    <w:rsid w:val="DFFBE7B7"/>
    <w:rsid w:val="EAFCC5C7"/>
    <w:rsid w:val="EBFF5086"/>
    <w:rsid w:val="F9F35B1C"/>
    <w:rsid w:val="FBBF85B0"/>
    <w:rsid w:val="FFE62138"/>
    <w:rsid w:val="FFFFDCD3"/>
    <w:rsid w:val="00000EE5"/>
    <w:rsid w:val="00010D2B"/>
    <w:rsid w:val="000936A0"/>
    <w:rsid w:val="000A3BBB"/>
    <w:rsid w:val="000D4DF5"/>
    <w:rsid w:val="0017530F"/>
    <w:rsid w:val="00183B62"/>
    <w:rsid w:val="001A3097"/>
    <w:rsid w:val="00265D84"/>
    <w:rsid w:val="00297F41"/>
    <w:rsid w:val="0030157E"/>
    <w:rsid w:val="003135CE"/>
    <w:rsid w:val="00407CAF"/>
    <w:rsid w:val="00416221"/>
    <w:rsid w:val="00430D8A"/>
    <w:rsid w:val="00522443"/>
    <w:rsid w:val="00595B6F"/>
    <w:rsid w:val="005A23BF"/>
    <w:rsid w:val="00634BE3"/>
    <w:rsid w:val="00657FD1"/>
    <w:rsid w:val="006B1367"/>
    <w:rsid w:val="006D36E1"/>
    <w:rsid w:val="006D7B5A"/>
    <w:rsid w:val="006E0553"/>
    <w:rsid w:val="00716671"/>
    <w:rsid w:val="007501C8"/>
    <w:rsid w:val="007C1EF0"/>
    <w:rsid w:val="007C7000"/>
    <w:rsid w:val="008D61F7"/>
    <w:rsid w:val="008E162F"/>
    <w:rsid w:val="008F047F"/>
    <w:rsid w:val="00937DEE"/>
    <w:rsid w:val="009D04FF"/>
    <w:rsid w:val="009D0CF5"/>
    <w:rsid w:val="009F3A3D"/>
    <w:rsid w:val="00A74755"/>
    <w:rsid w:val="00AF3D66"/>
    <w:rsid w:val="00BB7B9F"/>
    <w:rsid w:val="00BF7A30"/>
    <w:rsid w:val="00C707BC"/>
    <w:rsid w:val="00C730AC"/>
    <w:rsid w:val="00D56FEE"/>
    <w:rsid w:val="00D96CEB"/>
    <w:rsid w:val="00DF2D8E"/>
    <w:rsid w:val="00DF555D"/>
    <w:rsid w:val="00E45089"/>
    <w:rsid w:val="00E45F2C"/>
    <w:rsid w:val="00E64501"/>
    <w:rsid w:val="00ED7DAF"/>
    <w:rsid w:val="00F35E02"/>
    <w:rsid w:val="00F42A0C"/>
    <w:rsid w:val="00FC5152"/>
    <w:rsid w:val="02AD739F"/>
    <w:rsid w:val="17086F76"/>
    <w:rsid w:val="186B1138"/>
    <w:rsid w:val="27FFA0F4"/>
    <w:rsid w:val="2B8B12B1"/>
    <w:rsid w:val="2EAB4F9F"/>
    <w:rsid w:val="2ED50182"/>
    <w:rsid w:val="36FFC43F"/>
    <w:rsid w:val="39B917E2"/>
    <w:rsid w:val="3D4E02B1"/>
    <w:rsid w:val="57A16050"/>
    <w:rsid w:val="5E679304"/>
    <w:rsid w:val="5F7E4AB3"/>
    <w:rsid w:val="5FB71E97"/>
    <w:rsid w:val="759323FF"/>
    <w:rsid w:val="75DD2B1B"/>
    <w:rsid w:val="77FC6EFA"/>
    <w:rsid w:val="7BDF611B"/>
    <w:rsid w:val="7BFA3A28"/>
    <w:rsid w:val="7C4EE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FB0BE69"/>
  <w15:docId w15:val="{9DE6164B-3113-4221-860D-E0B0B4C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unhideWhenUsed="1" w:qFormat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spacing w:after="160" w:line="259" w:lineRule="auto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uiPriority w:val="9"/>
    <w:unhideWhenUsed/>
    <w:qFormat/>
    <w:pPr>
      <w:spacing w:beforeAutospacing="1" w:after="0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unhideWhenUsed/>
    <w:qFormat/>
    <w:pPr>
      <w:overflowPunct w:val="0"/>
      <w:autoSpaceDE w:val="0"/>
      <w:autoSpaceDN w:val="0"/>
      <w:adjustRightInd w:val="0"/>
      <w:spacing w:after="120" w:line="312" w:lineRule="auto"/>
    </w:pPr>
    <w:rPr>
      <w:rFonts w:ascii="Georgia" w:eastAsia="宋体" w:hAnsi="Georgia" w:cs="Times New Roman"/>
      <w:color w:val="000000"/>
      <w:kern w:val="28"/>
    </w:rPr>
  </w:style>
  <w:style w:type="paragraph" w:styleId="a4">
    <w:name w:val="Block Text"/>
    <w:basedOn w:val="a"/>
    <w:uiPriority w:val="99"/>
    <w:qFormat/>
    <w:pPr>
      <w:tabs>
        <w:tab w:val="left" w:pos="9000"/>
      </w:tabs>
      <w:spacing w:after="120"/>
      <w:ind w:leftChars="700" w:left="1440" w:rightChars="700" w:right="144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a">
    <w:name w:val="Table Grid"/>
    <w:basedOn w:val="a2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1"/>
    <w:uiPriority w:val="99"/>
    <w:qFormat/>
    <w:rPr>
      <w:b/>
      <w:bCs/>
    </w:rPr>
  </w:style>
  <w:style w:type="character" w:styleId="ac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a8">
    <w:name w:val="页眉 字符"/>
    <w:basedOn w:val="a1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rPr>
      <w:rFonts w:asciiTheme="minorHAnsi" w:eastAsia="Microsoft YaHei UI" w:hAnsiTheme="minorHAnsi" w:cstheme="minorBidi"/>
      <w:sz w:val="22"/>
      <w:szCs w:val="22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paragraph" w:customStyle="1" w:styleId="11">
    <w:name w:val="列出段落1"/>
    <w:basedOn w:val="a"/>
    <w:qFormat/>
    <w:pPr>
      <w:ind w:firstLineChars="200" w:firstLine="420"/>
    </w:pPr>
    <w:rPr>
      <w:rFonts w:ascii="等线" w:eastAsia="等线" w:hAnsi="等线" w:cs="Times New Roman" w:hint="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401</Words>
  <Characters>2289</Characters>
  <Application>Microsoft Office Word</Application>
  <DocSecurity>0</DocSecurity>
  <Lines>19</Lines>
  <Paragraphs>5</Paragraphs>
  <ScaleCrop>false</ScaleCrop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罗 燕</cp:lastModifiedBy>
  <cp:revision>3</cp:revision>
  <cp:lastPrinted>2020-11-26T23:19:00Z</cp:lastPrinted>
  <dcterms:created xsi:type="dcterms:W3CDTF">2021-03-22T17:49:00Z</dcterms:created>
  <dcterms:modified xsi:type="dcterms:W3CDTF">2023-12-19T09:10:00Z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D89614F9584D0CA31A9F0B6523F9896E_43</vt:lpwstr>
  </property>
</Properties>
</file>