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黑体" w:hAnsi="黑体" w:eastAsia="黑体" w:cs="黑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企业用工全解析—招聘录用、离职辞退、劳务派遣与加班工资、工伤病假、女职工保护等相关问题操作实务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44"/>
          <w:szCs w:val="44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高级培训班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一、课程背景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您是否有过同样的经历？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●人员工资上涨、社保上涨、用工成本加重，企业利润严重流失！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●未与员工签订劳动合同，支付双倍工资！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●医疗期内早辞退一天，用人单位多赔4万多元！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●解雇“诈病”员工，企业被判赔偿４万多！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●劳动者工作满22年，单位拒续签判赔44个月工资！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●员工违纪、旷工，单位却苦苦找不到合法的对策！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●依据企业制度做出的处理决定，员工工却坚称“不认可”，结果遭遇败诉，赔钱了事！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●单位做出的绩效考核结论，仲裁委和法院不予采信，还得赔钱！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●核心骨干带走了客户，带走了技术，但是您却无处索赔！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各企业人力资源总监（经理）、行政总监（经理）、薪资福利主管(专员)、绩效主管(专员)、社保主管(专员)、培训主管(专员)、培训师、招聘主管(专员)，工会、企业法律顾问，各类管理人员和业务骨干以及总经办、办公室、企管部、综合部、人事部、劳资部、销售部等部门相关人员参加；</w:t>
      </w:r>
    </w:p>
    <w:p>
      <w:pPr>
        <w:spacing w:line="360" w:lineRule="exact"/>
      </w:pP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24"/>
        </w:rPr>
        <w:t>、培训时间、地点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color w:val="0000FF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202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年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月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*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日、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*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日两天全天上课（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*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日报到）  地点：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武汉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2" w:firstLineChars="200"/>
        <w:textAlignment w:val="auto"/>
      </w:pP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202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年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月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*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日、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*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日两天全天上课（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val="en-US" w:eastAsia="zh-CN"/>
        </w:rPr>
        <w:t>*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日报到）  地点：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lang w:eastAsia="zh-CN"/>
        </w:rPr>
        <w:t>成都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</w:pPr>
      <w:r>
        <w:rPr>
          <w:rFonts w:hint="eastAsia" w:asciiTheme="minorEastAsia" w:hAnsiTheme="minorEastAsia" w:cstheme="minorEastAsia"/>
          <w:sz w:val="24"/>
        </w:rPr>
        <w:t>会务组根据各单位回传报名回执表，于开班前一星期以传真形式通知参加培训人员具体报到地点、乘车路线及相关注意事项等。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4"/>
        </w:rPr>
        <w:t>四、培训内容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第一部分 入职管理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一、招聘环节法律风险及防范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（一）招聘广告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1、招聘广告中哪些必备条款不能少？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2、招聘广告是否有约束力？广告内容与劳动合同内容不一致，如何处理？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3、如何避免招聘广告中的就业歧视？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（二）特殊招聘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1、如何避免与招聘的实习生之间被认定为劳动关系？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2、如何避免与招聘的退休人员之间被认定为劳动关系？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二、面试环节法律风险及防范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1、面试时，单位有权了解应聘人员哪些信息？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2、面试时单位应当审查哪些事项？如何处理？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3、如何进行背景调查？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22" w:firstLineChars="175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三、录用环节法律风险及防范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1、Offer发出后，发现不符合背景调查，如何处理？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2、如何利用Offer防范法律风险？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3、Offer与劳动合同内容不一致，如何处理？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四、入职环节法律风险及防范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1、入职当天即发生争议，能否认定存在劳动关系？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2、如何利用入职登记表防范法律风险？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left="482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3、入职登记表能否视为劳动合同？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2" w:firstLineChars="200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第二部分 在职管理部分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22" w:firstLineChars="175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一、加班工资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（一）标准工时制度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1、标准工时制下，工作时间如何安排？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2、每周工作六天，每天工作6.5小时，是否需要支付加班工资？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3、标准工时制下，如何支付加班工资？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4、法定节假日和延时工作能否以补休方式代替加班工资支付？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5、员工能否不补休而要求支付加班费？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6、部分公民放假的节假日安排工作，是否需要支付加班工资？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7、出差路途期间在周末，是否需要支付加班工资？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8、值班是否需要支付加班工资？如何区分加班和值班？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9、加班超时，承担何种法律责任？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240" w:firstLineChars="1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（二）综合工时制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1、何种岗位适用综合工时制？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2、综合工时制下如何支付加班工资？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3、综合工时制员工请病假期间是否计入总工时？将病休时间另行安排工作，是否支付加班工资？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4、不定时工作制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5、何种岗位适用不定时工作制？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6、实行不定时工作制，法定节假日工作是否有加班工资？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7、实行不定时工作制的员工作息制度与标准工时制员工相同，是否需支付加班工资？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8、实行不定时工作制未经审批，是否需支付加班工资？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9、加班工资的管控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10、延时工作的限制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11、如何有效控制加班？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12、如何约定加班工资，以降低加班成本？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13、加班工资的举证及司法操作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14、加班工资的举证规则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15、加班工资的诉讼时效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16、如何利用考勤记录与工资支付记录降低支付加班工资风险？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17、如何有效降低加班工资争议的法律风险？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1" w:firstLineChars="150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二、劳务派遣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1、劳务派遣中“同工同酬”的认定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2、违反“同工同酬”的法律责任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3、逆向劳务派遣的效力，劳动者与用工单位的用工关系认定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4、劳务派遣单位无资质，派遣劳动者与用工单位法律关系如何认定？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5、非三性岗位派遣的，劳动者与用工单位是否建立事实劳动关系？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6、被派遣劳动者的退回；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7、劳务派遣中“无工作期间”的认定；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8、劳务派遣中违法解除合同能否要求继续履行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9、劳务派遣与劳务外包的区别要点；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10、假外包、真派遣的风险防控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11、劳务派遣中用工单位的连带责任；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12、劳务派遣单位能否与劳动者约定两次试用期；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13、劳务派遣中是否适用无固定期限合同；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1" w:firstLineChars="150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三、工伤纠纷实务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1、工伤认定规则原则及免责条款；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2、哪些情形能够认定为工伤？每种情形如何认定？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3、哪些情形视同为工伤？每种情形如何认定？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4、哪些情形不能被认定为工伤？每种情形如何认定？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5、低于社保缴费基数缴纳工伤保险，是否由单位承担赔偿责任？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6、“停工留薪期”如何确定？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7、停工留薪期内工作，员工能否同时主张正常工资和停工留薪期工资？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8、停工留薪期内的护理费如何确定？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9、停工留薪期待遇中的“原工资”标准如何确定？是否包括加班费？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10、停工留薪期内，单位可否解除劳动合同？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11、哪些费用由单位支付？哪些费用由社保基金支付？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12、第三人侵权导致工伤，工伤赔偿和民事赔偿是否兼得？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13、劳动者签了工伤私了协议后能否反悔？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14、单位购买商业保险，能否免除购买工伤保险的法定义务？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22" w:firstLineChars="175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第三部分 离职管理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1、劳动合同的解除类型分析；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2、员工辞职中的法律风险与操作技巧；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3、员工不辞而别的法律风险控制及实务操作技巧；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4、员工“被迫解除”对企业的风险及应对措施；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5、协商一致解除合同的法律风险控制与操作；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6、离职协议的起草要点与风险控制；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7、试用期不符合录用条件解除要点与实务操作；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8、严重违反规章制度解除的法律风险控制与实务操作；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9、严重失职解除的法律风险控制与实务操作；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10、利益冲突解除的法律风险控制与实务操作；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11、员工欺诈行为解除的法律风险控制与实务操作；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12、刑事责任解除的法律风险控制与实务操作；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13、患病员工解除的法律风险控制与实务操作；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14、不能胜任工作解除的法律风险控制与实务操作；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15、客观情况发生重大变化解除的法律风险控制与实务操作；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16、经济性裁员的法律风险控制与实务操作；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17、非过失性解除的方案选择及经济成本、法律风险分析；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18、劳动合同终止的法定条件及风险控制；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19、解除合同程序要求及法律风险控制与实务操作；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20、解除合同前的风险评估方法；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21、解除理由的选择与解除理由的转化；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22、解除通知的设计与送达技巧；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23、离职证明的出具与法律风险控制；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360" w:firstLineChars="15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24、经济补偿和赔偿金支付情形，以及如何计算经济补偿和赔偿金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五</w:t>
      </w:r>
      <w:r>
        <w:rPr>
          <w:rFonts w:hint="eastAsia" w:asciiTheme="minorEastAsia" w:hAnsiTheme="minorEastAsia" w:cstheme="minorEastAsia"/>
          <w:b/>
          <w:bCs/>
          <w:sz w:val="24"/>
        </w:rPr>
        <w:t>、主讲专家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2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赵济强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百朗特约专家，执业律师，中华全国律师协会会员、青岛市律师协会劳动法专委会主任，实战派资深人力资源管理专家。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2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李大涛 </w:t>
      </w:r>
      <w:r>
        <w:rPr>
          <w:rFonts w:hint="eastAsia" w:asciiTheme="minorEastAsia" w:hAnsiTheme="minorEastAsia" w:cstheme="minorEastAsia"/>
          <w:sz w:val="24"/>
        </w:rPr>
        <w:t xml:space="preserve"> 百朗特约专家，高级培训师，六年大型外资企业及六年中国民营企业实践管理经验，积累了丰富的管理实战与心得。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2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程  阳  </w:t>
      </w:r>
      <w:r>
        <w:rPr>
          <w:rFonts w:hint="eastAsia" w:asciiTheme="minorEastAsia" w:hAnsiTheme="minorEastAsia" w:cstheme="minorEastAsia"/>
          <w:sz w:val="24"/>
        </w:rPr>
        <w:t>百朗特约专家、首席讲师，兰台律师事务所高级合伙人，长期专注于劳动、合规法律事务领域，尤其在劳动法领域有很深的造诣。任北京市劳动与社会保障法专业委员会副主任，北京市劳动与社会保障法学会劳动保障法分会理事。主要著述包括《劳动纠纷实战解析》、《劳动疑难问题操作指引》、《HR每天学点劳动法-第一本法律日志书》、《企业法律顾问实务操作全书》劳动业务部分等，曾在多家权威媒体上发表专业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2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苏建伟  </w:t>
      </w:r>
      <w:r>
        <w:rPr>
          <w:rFonts w:hint="eastAsia" w:asciiTheme="minorEastAsia" w:hAnsiTheme="minorEastAsia" w:cstheme="minorEastAsia"/>
          <w:sz w:val="24"/>
        </w:rPr>
        <w:t xml:space="preserve">百朗特约专家、首席讲师，法学硕士，律师，毕业于华东政法大学法律系。系世界500强企业上海汽车工业（集团）总公司企业法律顾问、高级经济师。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2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闫  东</w:t>
      </w:r>
      <w:r>
        <w:rPr>
          <w:rFonts w:hint="eastAsia" w:asciiTheme="minorEastAsia" w:hAnsiTheme="minorEastAsia" w:cstheme="minorEastAsia"/>
          <w:sz w:val="24"/>
        </w:rPr>
        <w:t xml:space="preserve">  百朗特约专家，职业律师,行政法律事务部副主任,劳动法律事务部核心成员,劳动人事仲裁委员会兼职仲裁员. 专业方向：劳动人事争议、工伤行政诉讼、公司法律事务, 辽宁电视台公共频道法治栏目《第一现场》,沈阳电视台新闻频道法治栏目《看今天》特约评论律师。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82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李  阳</w:t>
      </w:r>
      <w:r>
        <w:rPr>
          <w:rFonts w:hint="eastAsia" w:asciiTheme="minorEastAsia" w:hAnsiTheme="minorEastAsia" w:cstheme="minorEastAsia"/>
          <w:sz w:val="24"/>
        </w:rPr>
        <w:t xml:space="preserve">  百朗特约专家，财税方向执业律师。曾任职国家税务局，原公职律师、税务稽查案件审理员、国税系统政策法规人才库成员，主要业务方向：企业财税健康检查、税务筹划、税务稽查应对、税务争议处理、常年法律顾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361" w:firstLineChars="15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</w:rPr>
        <w:t>（每次培训从以上专家中选配，以实际</w:t>
      </w:r>
      <w:r>
        <w:rPr>
          <w:rFonts w:hint="eastAsia" w:asciiTheme="minorEastAsia" w:hAnsiTheme="minorEastAsia" w:cstheme="minorEastAsia"/>
          <w:b/>
          <w:bCs/>
          <w:sz w:val="24"/>
        </w:rPr>
        <w:t>通知</w:t>
      </w:r>
      <w:r>
        <w:rPr>
          <w:rFonts w:hint="eastAsia" w:asciiTheme="minorEastAsia" w:hAnsiTheme="minorEastAsia" w:cstheme="minorEastAsia"/>
          <w:b/>
          <w:bCs/>
          <w:kern w:val="0"/>
          <w:sz w:val="24"/>
        </w:rPr>
        <w:t>到会专家为准）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-483" w:rightChars="-230"/>
        <w:textAlignment w:val="auto"/>
        <w:rPr>
          <w:rFonts w:ascii="宋体" w:hAnsi="宋体" w:cs="宋体"/>
          <w:color w:val="000000"/>
          <w:szCs w:val="21"/>
        </w:rPr>
      </w:pPr>
    </w:p>
    <w:p>
      <w:pPr>
        <w:spacing w:line="36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六、培训费用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-483" w:rightChars="-230"/>
        <w:textAlignment w:val="auto"/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收费一：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00元/人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（含培训费、资料讲义、学习文具、培训午餐），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-483" w:rightChars="-230"/>
        <w:textAlignment w:val="auto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收费二：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会员300元/人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（含资料讲义、学习文具、培训期间午餐）开具培训费电子发票；如需安排住宿，会务组可统一安排，费用自理；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华文细黑" w:hAnsi="华文细黑" w:eastAsia="华文细黑" w:cs="Arial"/>
          <w:b/>
          <w:color w:val="E36C09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highlight w:val="none"/>
        </w:rPr>
        <w:t>百朗企业管理整体解决方案会员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宋体" w:hAnsi="宋体" w:eastAsia="宋体" w:cs="宋体"/>
          <w:b/>
          <w:color w:val="E36C09"/>
          <w:sz w:val="24"/>
          <w:szCs w:val="24"/>
        </w:rPr>
      </w:pPr>
      <w:r>
        <w:rPr>
          <w:rFonts w:hint="eastAsia" w:ascii="宋体" w:hAnsi="宋体" w:eastAsia="宋体" w:cs="宋体"/>
          <w:b/>
          <w:color w:val="E36C09"/>
          <w:sz w:val="24"/>
          <w:szCs w:val="24"/>
        </w:rPr>
        <w:t>（一）标准培训会员</w:t>
      </w:r>
      <w:r>
        <w:rPr>
          <w:rFonts w:hint="eastAsia" w:ascii="宋体" w:hAnsi="宋体" w:eastAsia="宋体" w:cs="宋体"/>
          <w:b/>
          <w:color w:val="E36C09"/>
          <w:sz w:val="24"/>
          <w:szCs w:val="24"/>
          <w:lang w:val="en-US" w:eastAsia="zh-CN"/>
        </w:rPr>
        <w:t xml:space="preserve">A </w:t>
      </w:r>
      <w:r>
        <w:rPr>
          <w:rFonts w:hint="eastAsia" w:ascii="宋体" w:hAnsi="宋体" w:eastAsia="宋体" w:cs="宋体"/>
          <w:b/>
          <w:color w:val="E36C09"/>
          <w:sz w:val="24"/>
          <w:szCs w:val="24"/>
        </w:rPr>
        <w:t>3.6万元/年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2024年会员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公开课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（详见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>2024年年度计划表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免学费，不限人数，资料费300元/人（含授课讲义、授课期间午餐）；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入企职业化素养或主管提升内训实施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请按各层级岗位对应师资选配，跨层级选配师资需补差价，请按各层级岗位对应师资选配，跨层级选配师资需补差价；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甲方提供配套版权电子课件，知名讲师走进企业内部，授课讲师的往返机票、食宿费、培训地的接送站，老师驻地往返打车费由乙方承担。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标杆经验类及其他非会员课程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（详见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>2024年年度计划表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可享培训费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8折优惠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E36C09"/>
          <w:sz w:val="24"/>
          <w:szCs w:val="24"/>
        </w:rPr>
      </w:pPr>
      <w:r>
        <w:rPr>
          <w:rFonts w:hint="eastAsia" w:ascii="宋体" w:hAnsi="宋体" w:eastAsia="宋体" w:cs="宋体"/>
          <w:b/>
          <w:color w:val="E36C09"/>
          <w:sz w:val="24"/>
          <w:szCs w:val="24"/>
        </w:rPr>
        <w:t>标准培训会员</w:t>
      </w:r>
      <w:r>
        <w:rPr>
          <w:rFonts w:hint="eastAsia" w:ascii="宋体" w:hAnsi="宋体" w:eastAsia="宋体" w:cs="宋体"/>
          <w:b/>
          <w:color w:val="E36C09"/>
          <w:sz w:val="24"/>
          <w:szCs w:val="24"/>
          <w:lang w:val="en-US" w:eastAsia="zh-CN"/>
        </w:rPr>
        <w:t>B  4.8</w:t>
      </w:r>
      <w:r>
        <w:rPr>
          <w:rFonts w:hint="eastAsia" w:ascii="宋体" w:hAnsi="宋体" w:eastAsia="宋体" w:cs="宋体"/>
          <w:b/>
          <w:color w:val="E36C09"/>
          <w:sz w:val="24"/>
          <w:szCs w:val="24"/>
        </w:rPr>
        <w:t>万元/年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2024年会员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公开课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（详见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>2024年年度计划表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免学费，不限人数，资料费300元/人（含授课讲义、授课期间午餐）；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入企职业化素养或主管提升内训实施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请按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对应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层级岗位对应师资选配，跨层级选配师资需补差价；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顾问入企，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甲方提供配套版权电子课件，知名讲师走进企业内部，授课讲师的往返机票、食宿费、培训地的接送站，老师驻地往返打车费由乙方承担。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3、打造企业专属域名、企业LOGO和名称在线学习平台，开通100人内学习账号；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标杆经验类及其他非会员课程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（详见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>2024年年度计划表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可享培训费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7折优惠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宋体" w:hAnsi="宋体" w:eastAsia="宋体" w:cs="宋体"/>
          <w:b/>
          <w:color w:val="E36C09"/>
          <w:sz w:val="24"/>
          <w:szCs w:val="24"/>
        </w:rPr>
      </w:pPr>
      <w:r>
        <w:rPr>
          <w:rFonts w:hint="eastAsia" w:ascii="宋体" w:hAnsi="宋体" w:eastAsia="宋体" w:cs="宋体"/>
          <w:b/>
          <w:color w:val="E36C09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color w:val="E36C09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color w:val="E36C09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color w:val="E36C09"/>
          <w:sz w:val="24"/>
          <w:szCs w:val="24"/>
          <w:lang w:eastAsia="zh-CN"/>
        </w:rPr>
        <w:t>体验会员</w:t>
      </w:r>
      <w:r>
        <w:rPr>
          <w:rFonts w:hint="eastAsia" w:ascii="宋体" w:hAnsi="宋体" w:eastAsia="宋体" w:cs="宋体"/>
          <w:b/>
          <w:color w:val="E36C09"/>
          <w:sz w:val="24"/>
          <w:szCs w:val="24"/>
          <w:lang w:val="en-US" w:eastAsia="zh-CN"/>
        </w:rPr>
        <w:t>A 1.98</w:t>
      </w:r>
      <w:r>
        <w:rPr>
          <w:rFonts w:hint="eastAsia" w:ascii="宋体" w:hAnsi="宋体" w:eastAsia="宋体" w:cs="宋体"/>
          <w:b/>
          <w:color w:val="E36C09"/>
          <w:sz w:val="24"/>
          <w:szCs w:val="24"/>
        </w:rPr>
        <w:t>万元/年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2024年会员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公开课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（详见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>2024年年度计划表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免学费，不限人数，资料费300元/人（含授课讲义、授课期间午餐）；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入企职业化素养内训实施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请按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对应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层级岗位对应师资选配，跨层级选配师资需补差价；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顾问入企，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甲方提供配套版权电子课件，知名讲师走进企业内部，授课讲师的往返机票、食宿费、培训地的接送站，老师驻地往返打车费由乙方承担。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标杆经验类及其他开班课程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（详见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>2024年年度计划表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可享培训费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8折优惠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241" w:firstLineChars="100"/>
        <w:textAlignment w:val="auto"/>
        <w:rPr>
          <w:rFonts w:hint="eastAsia" w:ascii="宋体" w:hAnsi="宋体" w:eastAsia="宋体" w:cs="宋体"/>
          <w:b/>
          <w:color w:val="E36C09"/>
          <w:sz w:val="24"/>
          <w:szCs w:val="24"/>
        </w:rPr>
      </w:pPr>
      <w:r>
        <w:rPr>
          <w:rFonts w:hint="eastAsia" w:ascii="宋体" w:hAnsi="宋体" w:eastAsia="宋体" w:cs="宋体"/>
          <w:b/>
          <w:color w:val="E36C09"/>
          <w:sz w:val="24"/>
          <w:szCs w:val="24"/>
          <w:lang w:eastAsia="zh-CN"/>
        </w:rPr>
        <w:t>体验会员</w:t>
      </w:r>
      <w:r>
        <w:rPr>
          <w:rFonts w:hint="eastAsia" w:ascii="宋体" w:hAnsi="宋体" w:eastAsia="宋体" w:cs="宋体"/>
          <w:b/>
          <w:color w:val="E36C09"/>
          <w:sz w:val="24"/>
          <w:szCs w:val="24"/>
          <w:lang w:val="en-US" w:eastAsia="zh-CN"/>
        </w:rPr>
        <w:t>B 1.98</w:t>
      </w:r>
      <w:r>
        <w:rPr>
          <w:rFonts w:hint="eastAsia" w:ascii="宋体" w:hAnsi="宋体" w:eastAsia="宋体" w:cs="宋体"/>
          <w:b/>
          <w:color w:val="E36C09"/>
          <w:sz w:val="24"/>
          <w:szCs w:val="24"/>
        </w:rPr>
        <w:t>万元/年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2024年会员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公开课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（详见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>2024年年度计划表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免学费，不限人数，资料费300元/人（含授课讲义、授课期间午餐）；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2、打造企业专属域名、企业LOGO和名称在线学习平台，开通80人内学习账号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标杆经验类及其他开班课程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（详见</w:t>
      </w:r>
      <w:r>
        <w:rPr>
          <w:rFonts w:hint="eastAsia" w:ascii="宋体" w:hAnsi="宋体" w:eastAsia="宋体" w:cs="宋体"/>
          <w:color w:val="E36C09"/>
          <w:sz w:val="24"/>
          <w:szCs w:val="24"/>
          <w:lang w:val="en-US" w:eastAsia="zh-CN"/>
        </w:rPr>
        <w:t>2024年年度计划表</w:t>
      </w:r>
      <w:r>
        <w:rPr>
          <w:rFonts w:hint="eastAsia" w:ascii="宋体" w:hAnsi="宋体" w:eastAsia="宋体" w:cs="宋体"/>
          <w:color w:val="E36C09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可享培训费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8折优惠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宋体" w:hAnsi="宋体" w:eastAsia="宋体" w:cs="宋体"/>
          <w:b/>
          <w:color w:val="E36C09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451" w:leftChars="100" w:hanging="241" w:hangingChars="100"/>
        <w:textAlignment w:val="auto"/>
        <w:rPr>
          <w:rFonts w:hint="eastAsia" w:ascii="宋体" w:hAnsi="宋体" w:eastAsia="宋体" w:cs="宋体"/>
          <w:b/>
          <w:color w:val="E36C09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E36C09"/>
          <w:sz w:val="24"/>
          <w:szCs w:val="24"/>
          <w:lang w:eastAsia="zh-CN"/>
        </w:rPr>
        <w:t>会员增值服务：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450" w:leftChars="100" w:hanging="240" w:hangingChars="1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免费送《劳动法顾问服务》一年；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提前预约，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专线电话咨询；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②提供最新的劳动法律、法规；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③文书类审查（限5份）；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④就劳动人事管理决策事项提供法律依据；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⑤劳动合同类的制定、审查、修改（限5份）；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⑥规章制度的制定、审查、修改（限3份）；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⑦用工风险体检（限1次）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。</w:t>
      </w:r>
    </w:p>
    <w:p>
      <w:pPr>
        <w:spacing w:line="360" w:lineRule="exact"/>
        <w:rPr>
          <w:rFonts w:hint="eastAsia" w:ascii="华文中宋" w:hAnsi="华文中宋" w:eastAsia="华文中宋" w:cs="新宋体-18030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right="-483" w:rightChars="-230" w:firstLine="480" w:firstLineChars="200"/>
        <w:textAlignment w:val="auto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</w:p>
    <w:p>
      <w:pPr>
        <w:spacing w:line="360" w:lineRule="exact"/>
        <w:ind w:left="-672" w:leftChars="-320" w:right="-483" w:rightChars="-230" w:firstLine="723" w:firstLineChars="300"/>
        <w:rPr>
          <w:rFonts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七、报名及咨询联系：</w:t>
      </w:r>
    </w:p>
    <w:p>
      <w:pPr>
        <w:spacing w:line="240" w:lineRule="auto"/>
        <w:ind w:right="-483" w:rightChars="-230" w:firstLine="480" w:firstLineChars="200"/>
        <w:rPr>
          <w:rFonts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咨询专线：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2198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5351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（微信同）</w:t>
      </w:r>
    </w:p>
    <w:p>
      <w:pPr>
        <w:spacing w:line="240" w:lineRule="auto"/>
        <w:ind w:right="-483" w:rightChars="-230" w:firstLine="480" w:firstLineChars="200"/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百朗课程顾问：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武丽燕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老师</w:t>
      </w:r>
    </w:p>
    <w:p/>
    <w:p>
      <w:pPr>
        <w:bidi w:val="0"/>
      </w:pPr>
    </w:p>
    <w:p>
      <w:pPr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北京百朗精益管理咨询有限公司 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百朗创新（北京）咨询顾问有限公司</w:t>
      </w:r>
    </w:p>
    <w:p>
      <w:pPr>
        <w:bidi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二零零三年十二月</w:t>
      </w:r>
    </w:p>
    <w:p>
      <w:pPr>
        <w:bidi w:val="0"/>
        <w:jc w:val="right"/>
        <w:rPr>
          <w:rFonts w:hint="default"/>
          <w:sz w:val="28"/>
          <w:szCs w:val="28"/>
          <w:lang w:val="en-US" w:eastAsia="zh-CN"/>
        </w:rPr>
      </w:pPr>
    </w:p>
    <w:p/>
    <w:p>
      <w:pPr>
        <w:rPr>
          <w:b/>
          <w:bCs/>
          <w:sz w:val="24"/>
        </w:rPr>
      </w:pPr>
      <w:r>
        <w:rPr>
          <w:rFonts w:hint="eastAsia"/>
          <w:b/>
          <w:bCs/>
          <w:lang w:eastAsia="zh-CN"/>
        </w:rPr>
        <w:t>附件：</w:t>
      </w:r>
    </w:p>
    <w:p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企业用工全解析—招聘录用、离职辞退、劳务派遣与加班工资、工伤病假、女职工保护等相关问题操作实务高级培训班</w:t>
      </w:r>
    </w:p>
    <w:p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线下面授报名回执表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报名方式一：</w:t>
      </w:r>
      <w:r>
        <w:fldChar w:fldCharType="begin"/>
      </w:r>
      <w:r>
        <w:instrText xml:space="preserve"> HYPERLINK "mailto:请将报名回执表填写清楚后发至@qq.com；g" </w:instrText>
      </w:r>
      <w:r>
        <w:fldChar w:fldCharType="separate"/>
      </w:r>
      <w:r>
        <w:rPr>
          <w:rStyle w:val="11"/>
          <w:rFonts w:hint="eastAsia" w:ascii="宋体" w:hAnsi="宋体"/>
          <w:color w:val="000000"/>
          <w:szCs w:val="21"/>
          <w:u w:val="none"/>
        </w:rPr>
        <w:t>请将报名回执表填写清楚后发至</w:t>
      </w:r>
      <w:r>
        <w:rPr>
          <w:rStyle w:val="11"/>
          <w:rFonts w:hint="eastAsia" w:ascii="宋体" w:hAnsi="宋体"/>
          <w:color w:val="000000"/>
          <w:szCs w:val="21"/>
          <w:u w:val="none"/>
          <w:lang w:val="en-US" w:eastAsia="zh-CN"/>
        </w:rPr>
        <w:t>2853710568</w:t>
      </w:r>
      <w:r>
        <w:rPr>
          <w:rStyle w:val="11"/>
          <w:rFonts w:hint="eastAsia" w:ascii="等线 Light" w:hAnsi="等线 Light" w:eastAsia="等线 Light" w:cs="等线 Light"/>
          <w:b/>
          <w:bCs/>
          <w:color w:val="000000"/>
          <w:sz w:val="24"/>
          <w:u w:val="none"/>
        </w:rPr>
        <w:t>@qq.com</w:t>
      </w:r>
      <w:r>
        <w:rPr>
          <w:rStyle w:val="11"/>
          <w:rFonts w:hint="eastAsia" w:ascii="等线 Light" w:hAnsi="等线 Light" w:eastAsia="等线 Light" w:cs="等线 Light"/>
          <w:b/>
          <w:bCs/>
          <w:color w:val="000000"/>
          <w:sz w:val="24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ascii="方正小标宋简体" w:hAnsi="Times New Roman" w:eastAsia="方正小标宋简体" w:cs="Times New Roman"/>
          <w:b/>
          <w:bCs/>
          <w:color w:val="FF0000"/>
          <w:sz w:val="24"/>
        </w:rPr>
      </w:pPr>
      <w:r>
        <w:rPr>
          <w:rFonts w:hint="eastAsia" w:ascii="宋体" w:hAnsi="宋体"/>
          <w:szCs w:val="21"/>
        </w:rPr>
        <w:t>报名方式二：</w:t>
      </w:r>
      <w:r>
        <w:rPr>
          <w:rFonts w:hint="eastAsia" w:ascii="宋体" w:hAnsi="宋体" w:cs="宋体"/>
          <w:szCs w:val="21"/>
        </w:rPr>
        <w:t>加微信</w:t>
      </w:r>
      <w:r>
        <w:rPr>
          <w:rFonts w:hint="eastAsia" w:ascii="宋体" w:hAnsi="宋体" w:cs="宋体"/>
          <w:b/>
          <w:bCs/>
          <w:szCs w:val="21"/>
        </w:rPr>
        <w:t>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5321985351</w:t>
      </w:r>
      <w:r>
        <w:rPr>
          <w:rFonts w:hint="eastAsia" w:ascii="宋体" w:hAnsi="宋体" w:cs="宋体"/>
          <w:szCs w:val="21"/>
        </w:rPr>
        <w:t>在线提交报名表</w:t>
      </w:r>
    </w:p>
    <w:tbl>
      <w:tblPr>
        <w:tblStyle w:val="7"/>
        <w:tblW w:w="9316" w:type="dxa"/>
        <w:jc w:val="center"/>
        <w:tblCellSpacing w:w="2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03"/>
        <w:gridCol w:w="535"/>
        <w:gridCol w:w="93"/>
        <w:gridCol w:w="1843"/>
        <w:gridCol w:w="1984"/>
        <w:gridCol w:w="891"/>
        <w:gridCol w:w="1644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单位名称</w:t>
            </w:r>
          </w:p>
        </w:tc>
        <w:tc>
          <w:tcPr>
            <w:tcW w:w="7533" w:type="dxa"/>
            <w:gridSpan w:val="7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通讯地址</w:t>
            </w:r>
          </w:p>
        </w:tc>
        <w:tc>
          <w:tcPr>
            <w:tcW w:w="5018" w:type="dxa"/>
            <w:gridSpan w:val="5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邮编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联系人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联系电话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传真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QQ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邮箱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CellSpacing w:w="20" w:type="dxa"/>
          <w:jc w:val="center"/>
        </w:trPr>
        <w:tc>
          <w:tcPr>
            <w:tcW w:w="9236" w:type="dxa"/>
            <w:gridSpan w:val="8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参会企业身份确认</w:t>
            </w:r>
            <w:r>
              <w:rPr>
                <w:rFonts w:ascii="Arial" w:hAnsi="Arial" w:cs="Arial"/>
                <w:kern w:val="0"/>
              </w:rPr>
              <w:t>(</w:t>
            </w:r>
            <w:r>
              <w:rPr>
                <w:rFonts w:hint="eastAsia" w:ascii="Arial" w:hAnsi="Arial" w:cs="Arial"/>
                <w:kern w:val="0"/>
              </w:rPr>
              <w:t>百朗会员必填，在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打勾</w:t>
            </w:r>
            <w:r>
              <w:rPr>
                <w:rFonts w:ascii="Arial" w:hAnsi="Arial" w:cs="Arial"/>
                <w:kern w:val="0"/>
              </w:rPr>
              <w:t>)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本次新加入百朗会员</w:t>
            </w:r>
          </w:p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标准会员</w:t>
            </w: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中级会员</w:t>
            </w: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高级会员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非会员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学员姓名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性别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职务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eastAsia="宋体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手机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是否安排住宿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kern w:val="0"/>
              </w:rPr>
              <w:t>增值税发票开票信息</w:t>
            </w:r>
          </w:p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（在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打勾</w:t>
            </w:r>
            <w:r>
              <w:rPr>
                <w:rFonts w:ascii="Arial" w:hAnsi="Arial" w:cs="Arial"/>
                <w:kern w:val="0"/>
              </w:rPr>
              <w:t>)</w:t>
            </w:r>
            <w:r>
              <w:rPr>
                <w:rFonts w:hint="eastAsia" w:ascii="Arial" w:hAnsi="Arial" w:cs="Arial"/>
                <w:kern w:val="0"/>
              </w:rPr>
              <w:t xml:space="preserve">：    </w:t>
            </w:r>
          </w:p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 xml:space="preserve">普票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hint="eastAsia" w:ascii="Arial" w:hAnsi="Arial" w:cs="Arial"/>
                <w:kern w:val="0"/>
              </w:rPr>
              <w:t xml:space="preserve"> 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专票</w:t>
            </w:r>
          </w:p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单位名称：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0"/>
              </w:rPr>
              <w:t>纳税人识别号：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单位地址、电话：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开户银行、帐号：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</w:tbl>
    <w:p>
      <w:pPr>
        <w:spacing w:line="320" w:lineRule="exact"/>
        <w:ind w:firstLine="6720" w:firstLineChars="3200"/>
      </w:pPr>
      <w:r>
        <w:rPr>
          <w:rFonts w:hint="eastAsia"/>
        </w:rPr>
        <w:t>(此表复印有效)</w:t>
      </w:r>
    </w:p>
    <w:sectPr>
      <w:headerReference r:id="rId5" w:type="default"/>
      <w:footerReference r:id="rId6" w:type="default"/>
      <w:pgSz w:w="11906" w:h="16838"/>
      <w:pgMar w:top="1440" w:right="1406" w:bottom="1440" w:left="1406" w:header="113" w:footer="17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180"/>
        <w:tab w:val="clear" w:pos="8306"/>
      </w:tabs>
      <w:ind w:left="420" w:hanging="420"/>
      <w:jc w:val="center"/>
      <w:rPr>
        <w:rFonts w:ascii="黑体" w:eastAsia="黑体"/>
        <w:b/>
        <w:bCs/>
        <w:color w:val="843C0B" w:themeColor="accent2" w:themeShade="80"/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-1005840</wp:posOffset>
              </wp:positionH>
              <wp:positionV relativeFrom="paragraph">
                <wp:posOffset>-481965</wp:posOffset>
              </wp:positionV>
              <wp:extent cx="7645400" cy="874395"/>
              <wp:effectExtent l="0" t="0" r="5080" b="9525"/>
              <wp:wrapNone/>
              <wp:docPr id="16" name="直角三角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645400" cy="874395"/>
                      </a:xfrm>
                      <a:prstGeom prst="rtTriangle">
                        <a:avLst/>
                      </a:prstGeom>
                      <a:gradFill>
                        <a:gsLst>
                          <a:gs pos="4300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0">
                            <a:srgbClr val="2B3747"/>
                          </a:gs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AF0E6"/>
                          </a:gs>
                        </a:gsLst>
                        <a:lin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直角三角形 15" o:spid="_x0000_s1026" o:spt="6" type="#_x0000_t6" style="position:absolute;left:0pt;flip:y;margin-left:-79.2pt;margin-top:-37.95pt;height:68.85pt;width:602pt;rotation:11796480f;z-index:251660288;v-text-anchor:middle;mso-width-relative:page;mso-height-relative:page;" fillcolor="#2B3747" filled="t" stroked="f" coordsize="21600,21600" o:gfxdata="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YGsyHfAAAADAEAAA8AAAAAAAAA&#10;AQAgAAAAIgAAAGRycy9kb3ducmV2LnhtbFBLAQIUABQAAAAIAIdO4kAeSZs2fAIAAC4FAAAOAAAA&#10;AAAAAAEAIAAAAC4BAABkcnMvZTJvRG9jLnhtbFBLBQYAAAAABgAGAFkBAAAcBgAAAAA=&#10;">
              <v:fill type="gradient" on="t" color2="#FAF0E6" colors="0f #2B3747;0f #BDD7EE;28180f #FBE5D6;65536f #FAF0E6" angle="90" focus="100%" focussize="0,0" rotate="t">
                <o:fill type="gradientUnscaled" v:ext="backwardCompatible"/>
              </v:fill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2302510</wp:posOffset>
              </wp:positionH>
              <wp:positionV relativeFrom="paragraph">
                <wp:posOffset>-163195</wp:posOffset>
              </wp:positionV>
              <wp:extent cx="4484370" cy="492125"/>
              <wp:effectExtent l="0" t="0" r="0" b="0"/>
              <wp:wrapNone/>
              <wp:docPr id="23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4370" cy="492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         </w:t>
                          </w:r>
                          <w:r>
                            <w:rPr>
                              <w:rFonts w:hint="eastAsia"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 xml:space="preserve">二十二年百朗   </w:t>
                          </w:r>
                          <w:r>
                            <w:rPr>
                              <w:rFonts w:ascii="华文楷体" w:hAnsi="华文楷体" w:eastAsia="华文楷体" w:cs="Arial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 xml:space="preserve">  助力企业成长</w:t>
                          </w:r>
                        </w:p>
                        <w:p>
                          <w:pPr>
                            <w:pStyle w:val="14"/>
                            <w:rPr>
                              <w:rFonts w:ascii="华文楷体" w:hAnsi="华文楷体" w:eastAsia="华文楷体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实战公开课</w:t>
                          </w:r>
                          <w:r>
                            <w:rPr>
                              <w:rFonts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hint="eastAsia"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线上商学院</w:t>
                          </w:r>
                          <w:r>
                            <w:rPr>
                              <w:rFonts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hint="eastAsia"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定制入企内训</w:t>
                          </w:r>
                          <w:r>
                            <w:rPr>
                              <w:rFonts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hint="eastAsia"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标杆企业考察</w:t>
                          </w:r>
                          <w:r>
                            <w:rPr>
                              <w:rFonts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hint="eastAsia" w:ascii="华文楷体" w:hAnsi="华文楷体" w:eastAsia="华文楷体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咨询辅导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left:181.3pt;margin-top:-12.85pt;height:38.75pt;width:353.1pt;z-index:251662336;mso-width-relative:page;mso-height-relative:page;" filled="f" stroked="f" coordsize="21600,21600" o:gfxdata="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t9Rkk2AAAAAsBAAAPAAAAAAAAAAEAIAAAACIAAABkcnMvZG93bnJldi54bWxQSwECFAAUAAAA&#10;CACHTuJABSAwe7UBAABUAwAADgAAAAAAAAABACAAAAAnAQAAZHJzL2Uyb0RvYy54bWxQSwUGAAAA&#10;AAYABgBZAQAATg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4"/>
                      <w:rPr>
                        <w:rFonts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         </w:t>
                    </w:r>
                    <w:r>
                      <w:rPr>
                        <w:rFonts w:hint="eastAsia"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二十二年百朗   </w:t>
                    </w:r>
                    <w:r>
                      <w:rPr>
                        <w:rFonts w:ascii="华文楷体" w:hAnsi="华文楷体" w:eastAsia="华文楷体" w:cs="Arial"/>
                        <w:b/>
                        <w:bCs/>
                        <w:color w:val="002060"/>
                        <w:sz w:val="24"/>
                        <w:szCs w:val="24"/>
                      </w:rPr>
                      <w:t>•</w:t>
                    </w:r>
                    <w:r>
                      <w:rPr>
                        <w:rFonts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  助力企业成长</w:t>
                    </w:r>
                  </w:p>
                  <w:p>
                    <w:pPr>
                      <w:pStyle w:val="14"/>
                      <w:rPr>
                        <w:rFonts w:ascii="华文楷体" w:hAnsi="华文楷体" w:eastAsia="华文楷体"/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hint="eastAsia"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>实战公开课</w:t>
                    </w:r>
                    <w:r>
                      <w:rPr>
                        <w:rFonts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>
                      <w:rPr>
                        <w:rFonts w:hint="eastAsia"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>线上商学院</w:t>
                    </w:r>
                    <w:r>
                      <w:rPr>
                        <w:rFonts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>
                      <w:rPr>
                        <w:rFonts w:hint="eastAsia"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>定制入企内训</w:t>
                    </w:r>
                    <w:r>
                      <w:rPr>
                        <w:rFonts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>
                      <w:rPr>
                        <w:rFonts w:hint="eastAsia"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>标杆企业考察</w:t>
                    </w:r>
                    <w:r>
                      <w:rPr>
                        <w:rFonts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>
                      <w:rPr>
                        <w:rFonts w:hint="eastAsia" w:ascii="华文楷体" w:hAnsi="华文楷体" w:eastAsia="华文楷体"/>
                        <w:b/>
                        <w:bCs/>
                        <w:color w:val="002060"/>
                        <w:sz w:val="24"/>
                        <w:szCs w:val="24"/>
                      </w:rPr>
                      <w:t>咨询辅导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-885825</wp:posOffset>
              </wp:positionH>
              <wp:positionV relativeFrom="paragraph">
                <wp:posOffset>-56515</wp:posOffset>
              </wp:positionV>
              <wp:extent cx="7673340" cy="442595"/>
              <wp:effectExtent l="0" t="0" r="7620" b="14605"/>
              <wp:wrapNone/>
              <wp:docPr id="15" name="直角三角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7673340" cy="442595"/>
                      </a:xfrm>
                      <a:prstGeom prst="rtTriangle">
                        <a:avLst/>
                      </a:prstGeom>
                      <a:gradFill>
                        <a:gsLst>
                          <a:gs pos="40000">
                            <a:schemeClr val="accent2">
                              <a:lumMod val="40000"/>
                              <a:lumOff val="60000"/>
                            </a:schemeClr>
                          </a:gs>
                          <a:gs pos="52000">
                            <a:schemeClr val="accent3">
                              <a:lumMod val="20000"/>
                              <a:lumOff val="80000"/>
                            </a:schemeClr>
                          </a:gs>
                          <a:gs pos="62000">
                            <a:srgbClr val="D486A3"/>
                          </a:gs>
                          <a:gs pos="1700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500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100000">
                            <a:srgbClr val="AF9DD0"/>
                          </a:gs>
                        </a:gsLst>
                        <a:lin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直角三角形 14" o:spid="_x0000_s1026" o:spt="6" type="#_x0000_t6" style="position:absolute;left:0pt;flip:x y;margin-left:-69.75pt;margin-top:-4.45pt;height:34.85pt;width:604.2pt;rotation:11796480f;z-index:-251655168;v-text-anchor:middle;mso-width-relative:page;mso-height-relative:page;" fillcolor="#9DC3E6 [1940]" filled="t" stroked="f" coordsize="21600,21600" o:gfxdata="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50X9P2AAAAAsBAAAPAAAAAAAAAAEAIAAAACIAAABkcnMv&#10;ZG93bnJldi54bWxQSwECFAAUAAAACACHTuJA5LXNca4CAAAVBgAADgAAAAAAAAABACAAAAAnAQAA&#10;ZHJzL2Uyb0RvYy54bWxQSwUGAAAAAAYABgBZAQAARwYAAAAA&#10;">
              <v:fill type="gradient" on="t" color2="#AF9DD0" colors="3277f #9DC3E6;11141f #BDD7EE;26214f #F8CBAD;34079f #EDEDED;40632f #D486A3;65536f #AF9DD0" angle="90" focus="100%" focussize="0,0" rotate="t">
                <o:fill type="gradientUnscaled" v:ext="backwardCompatible"/>
              </v:fill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-546735</wp:posOffset>
          </wp:positionV>
          <wp:extent cx="7543800" cy="706755"/>
          <wp:effectExtent l="0" t="0" r="0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</w:t>
    </w:r>
  </w:p>
  <w:p>
    <w:pPr>
      <w:pStyle w:val="5"/>
      <w:pBdr>
        <w:bottom w:val="none" w:color="auto" w:sz="0" w:space="0"/>
      </w:pBdr>
      <w:ind w:firstLine="211" w:firstLineChars="100"/>
    </w:pPr>
    <w:r>
      <w:rPr>
        <w:rFonts w:hint="eastAsia"/>
        <w:b/>
        <w:sz w:val="21"/>
        <w:szCs w:val="21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OGIyNDNmMDY2M2NkNmQxOGE0NWI3MzAyZWRiMzkifQ=="/>
  </w:docVars>
  <w:rsids>
    <w:rsidRoot w:val="006613E3"/>
    <w:rsid w:val="0013763D"/>
    <w:rsid w:val="001A4948"/>
    <w:rsid w:val="00204087"/>
    <w:rsid w:val="003F29B8"/>
    <w:rsid w:val="005D31B1"/>
    <w:rsid w:val="006534AB"/>
    <w:rsid w:val="006613E3"/>
    <w:rsid w:val="00803A8E"/>
    <w:rsid w:val="008560FB"/>
    <w:rsid w:val="00937B07"/>
    <w:rsid w:val="00962C61"/>
    <w:rsid w:val="009F5033"/>
    <w:rsid w:val="00A04237"/>
    <w:rsid w:val="00B13A23"/>
    <w:rsid w:val="00C808FB"/>
    <w:rsid w:val="00D9019B"/>
    <w:rsid w:val="00E407A7"/>
    <w:rsid w:val="01041691"/>
    <w:rsid w:val="021C2B30"/>
    <w:rsid w:val="024C6950"/>
    <w:rsid w:val="038E5FFE"/>
    <w:rsid w:val="04972D0D"/>
    <w:rsid w:val="05065293"/>
    <w:rsid w:val="053940B0"/>
    <w:rsid w:val="054A2B58"/>
    <w:rsid w:val="07A95387"/>
    <w:rsid w:val="07DB4898"/>
    <w:rsid w:val="082A1975"/>
    <w:rsid w:val="08D10D44"/>
    <w:rsid w:val="09577F1F"/>
    <w:rsid w:val="0A0A032B"/>
    <w:rsid w:val="0A152539"/>
    <w:rsid w:val="0A897F0D"/>
    <w:rsid w:val="0ABA5202"/>
    <w:rsid w:val="0B0C300C"/>
    <w:rsid w:val="0B6C7DF0"/>
    <w:rsid w:val="0BB855F3"/>
    <w:rsid w:val="0BD36973"/>
    <w:rsid w:val="0C1C0CEB"/>
    <w:rsid w:val="0C1C50CC"/>
    <w:rsid w:val="0C4505C8"/>
    <w:rsid w:val="0C6907AA"/>
    <w:rsid w:val="0CA60DDB"/>
    <w:rsid w:val="0CB54792"/>
    <w:rsid w:val="0CF56BFE"/>
    <w:rsid w:val="0D50143F"/>
    <w:rsid w:val="0D8E50BA"/>
    <w:rsid w:val="0DB86CC7"/>
    <w:rsid w:val="0DC56B7B"/>
    <w:rsid w:val="0DE465C1"/>
    <w:rsid w:val="0F5622BC"/>
    <w:rsid w:val="0FA2515C"/>
    <w:rsid w:val="0FB212CC"/>
    <w:rsid w:val="10015C23"/>
    <w:rsid w:val="10380DFD"/>
    <w:rsid w:val="10BF5448"/>
    <w:rsid w:val="10F753CB"/>
    <w:rsid w:val="111F19B9"/>
    <w:rsid w:val="117B2674"/>
    <w:rsid w:val="11F8448A"/>
    <w:rsid w:val="1309726C"/>
    <w:rsid w:val="13277EB1"/>
    <w:rsid w:val="133962BF"/>
    <w:rsid w:val="15A7290F"/>
    <w:rsid w:val="165A3E94"/>
    <w:rsid w:val="169D308F"/>
    <w:rsid w:val="16A606A4"/>
    <w:rsid w:val="17055B31"/>
    <w:rsid w:val="18042C55"/>
    <w:rsid w:val="1818352B"/>
    <w:rsid w:val="18231941"/>
    <w:rsid w:val="18295FCE"/>
    <w:rsid w:val="182D0F05"/>
    <w:rsid w:val="185D5C6F"/>
    <w:rsid w:val="18A60592"/>
    <w:rsid w:val="18F01169"/>
    <w:rsid w:val="19104F53"/>
    <w:rsid w:val="193A237C"/>
    <w:rsid w:val="1A1539FB"/>
    <w:rsid w:val="1A453FC9"/>
    <w:rsid w:val="1AE551F0"/>
    <w:rsid w:val="1B4929EB"/>
    <w:rsid w:val="1B541C51"/>
    <w:rsid w:val="1B8C7A87"/>
    <w:rsid w:val="1BD247E9"/>
    <w:rsid w:val="1C4A329E"/>
    <w:rsid w:val="1CB6087D"/>
    <w:rsid w:val="1CF90791"/>
    <w:rsid w:val="1CFF3108"/>
    <w:rsid w:val="1D076FBA"/>
    <w:rsid w:val="1D2472E3"/>
    <w:rsid w:val="1D6A4A1D"/>
    <w:rsid w:val="1D6C6C42"/>
    <w:rsid w:val="1DAB01F9"/>
    <w:rsid w:val="1DB42FF4"/>
    <w:rsid w:val="1E0A6D83"/>
    <w:rsid w:val="1E122FA6"/>
    <w:rsid w:val="1E9214D5"/>
    <w:rsid w:val="1EED50B9"/>
    <w:rsid w:val="1F295F9B"/>
    <w:rsid w:val="1F861789"/>
    <w:rsid w:val="1FA86E96"/>
    <w:rsid w:val="210E0F02"/>
    <w:rsid w:val="21864A5B"/>
    <w:rsid w:val="21E009E6"/>
    <w:rsid w:val="223A4955"/>
    <w:rsid w:val="227B0DE2"/>
    <w:rsid w:val="22AA43A3"/>
    <w:rsid w:val="22D53B2A"/>
    <w:rsid w:val="230B32C9"/>
    <w:rsid w:val="23197301"/>
    <w:rsid w:val="232349AE"/>
    <w:rsid w:val="23A57FED"/>
    <w:rsid w:val="23C675D8"/>
    <w:rsid w:val="23D455A8"/>
    <w:rsid w:val="241907E0"/>
    <w:rsid w:val="24273243"/>
    <w:rsid w:val="242F2BBB"/>
    <w:rsid w:val="24F37D8A"/>
    <w:rsid w:val="25091844"/>
    <w:rsid w:val="25351259"/>
    <w:rsid w:val="25373F7A"/>
    <w:rsid w:val="258D06C0"/>
    <w:rsid w:val="25992F12"/>
    <w:rsid w:val="25D84642"/>
    <w:rsid w:val="268F52FF"/>
    <w:rsid w:val="27421CD9"/>
    <w:rsid w:val="27BF59FC"/>
    <w:rsid w:val="27ED48A0"/>
    <w:rsid w:val="288B6277"/>
    <w:rsid w:val="28B10676"/>
    <w:rsid w:val="29237316"/>
    <w:rsid w:val="29266989"/>
    <w:rsid w:val="29770A92"/>
    <w:rsid w:val="29A63900"/>
    <w:rsid w:val="29FD5A97"/>
    <w:rsid w:val="2A186177"/>
    <w:rsid w:val="2A1D10DD"/>
    <w:rsid w:val="2A2C4440"/>
    <w:rsid w:val="2AA15841"/>
    <w:rsid w:val="2ABF0EC2"/>
    <w:rsid w:val="2B2D4CFD"/>
    <w:rsid w:val="2B797102"/>
    <w:rsid w:val="2BC929E7"/>
    <w:rsid w:val="2C372724"/>
    <w:rsid w:val="2CF47BDC"/>
    <w:rsid w:val="2D0877FA"/>
    <w:rsid w:val="2D214809"/>
    <w:rsid w:val="2D350F9F"/>
    <w:rsid w:val="2DB5118E"/>
    <w:rsid w:val="2DCF0803"/>
    <w:rsid w:val="2DD6046C"/>
    <w:rsid w:val="2DF67D94"/>
    <w:rsid w:val="2E1840FA"/>
    <w:rsid w:val="2E1F5EF8"/>
    <w:rsid w:val="2E2B62BD"/>
    <w:rsid w:val="2E716A9F"/>
    <w:rsid w:val="2EE74F8C"/>
    <w:rsid w:val="2F264041"/>
    <w:rsid w:val="2F5666DE"/>
    <w:rsid w:val="2FD964ED"/>
    <w:rsid w:val="300B7058"/>
    <w:rsid w:val="30880461"/>
    <w:rsid w:val="3089448B"/>
    <w:rsid w:val="309050B0"/>
    <w:rsid w:val="310879F3"/>
    <w:rsid w:val="311367E4"/>
    <w:rsid w:val="31451ABE"/>
    <w:rsid w:val="320C2557"/>
    <w:rsid w:val="328E77E7"/>
    <w:rsid w:val="32B562A7"/>
    <w:rsid w:val="32C0335C"/>
    <w:rsid w:val="32EE0768"/>
    <w:rsid w:val="334D4420"/>
    <w:rsid w:val="3355495C"/>
    <w:rsid w:val="336D66C8"/>
    <w:rsid w:val="33904797"/>
    <w:rsid w:val="35296E75"/>
    <w:rsid w:val="353B31AC"/>
    <w:rsid w:val="35FB4250"/>
    <w:rsid w:val="3613539B"/>
    <w:rsid w:val="36237F92"/>
    <w:rsid w:val="36902B68"/>
    <w:rsid w:val="369972D0"/>
    <w:rsid w:val="36E2480E"/>
    <w:rsid w:val="37221130"/>
    <w:rsid w:val="37365ADF"/>
    <w:rsid w:val="385208E7"/>
    <w:rsid w:val="38664F32"/>
    <w:rsid w:val="3899010F"/>
    <w:rsid w:val="399D3908"/>
    <w:rsid w:val="3AD05F04"/>
    <w:rsid w:val="3B0E548E"/>
    <w:rsid w:val="3B1F5F13"/>
    <w:rsid w:val="3B2B0370"/>
    <w:rsid w:val="3B371807"/>
    <w:rsid w:val="3B6267AF"/>
    <w:rsid w:val="3BE66F92"/>
    <w:rsid w:val="3C2C56D7"/>
    <w:rsid w:val="3C2D6E19"/>
    <w:rsid w:val="3C6D484F"/>
    <w:rsid w:val="3CA90977"/>
    <w:rsid w:val="3F3E7A74"/>
    <w:rsid w:val="3F5D7BA0"/>
    <w:rsid w:val="3F6F1F8C"/>
    <w:rsid w:val="3F755BA1"/>
    <w:rsid w:val="3F973C23"/>
    <w:rsid w:val="3FA75236"/>
    <w:rsid w:val="3FD80354"/>
    <w:rsid w:val="3FDB2CF1"/>
    <w:rsid w:val="4049167C"/>
    <w:rsid w:val="40612261"/>
    <w:rsid w:val="40964D03"/>
    <w:rsid w:val="40CF4ACB"/>
    <w:rsid w:val="41D42EFC"/>
    <w:rsid w:val="41E3772D"/>
    <w:rsid w:val="41E91F6B"/>
    <w:rsid w:val="424415E0"/>
    <w:rsid w:val="42E71CAA"/>
    <w:rsid w:val="435E0535"/>
    <w:rsid w:val="4394580A"/>
    <w:rsid w:val="44327BDD"/>
    <w:rsid w:val="44834B4B"/>
    <w:rsid w:val="452B5E47"/>
    <w:rsid w:val="45331C91"/>
    <w:rsid w:val="45A70D57"/>
    <w:rsid w:val="45AA2C45"/>
    <w:rsid w:val="46341564"/>
    <w:rsid w:val="46420DBA"/>
    <w:rsid w:val="468C58D2"/>
    <w:rsid w:val="4702105E"/>
    <w:rsid w:val="47866D69"/>
    <w:rsid w:val="47E17DCB"/>
    <w:rsid w:val="480A692B"/>
    <w:rsid w:val="48A47EB5"/>
    <w:rsid w:val="48A829AE"/>
    <w:rsid w:val="4A1B13E3"/>
    <w:rsid w:val="4AA85839"/>
    <w:rsid w:val="4B5955F7"/>
    <w:rsid w:val="4C7A1B2F"/>
    <w:rsid w:val="4D81359A"/>
    <w:rsid w:val="4D884D5D"/>
    <w:rsid w:val="4D961E4D"/>
    <w:rsid w:val="4DAB2398"/>
    <w:rsid w:val="4DAE7D66"/>
    <w:rsid w:val="4DD602BE"/>
    <w:rsid w:val="4E3C64D2"/>
    <w:rsid w:val="4E7220E8"/>
    <w:rsid w:val="4F072E7A"/>
    <w:rsid w:val="4F463528"/>
    <w:rsid w:val="4F653BF0"/>
    <w:rsid w:val="4F6F71DE"/>
    <w:rsid w:val="4F705106"/>
    <w:rsid w:val="4FB241EB"/>
    <w:rsid w:val="50585A83"/>
    <w:rsid w:val="519C698D"/>
    <w:rsid w:val="51F56CCE"/>
    <w:rsid w:val="52207CCA"/>
    <w:rsid w:val="52C21F1D"/>
    <w:rsid w:val="53722E2C"/>
    <w:rsid w:val="547620E5"/>
    <w:rsid w:val="5495319A"/>
    <w:rsid w:val="549A2CFE"/>
    <w:rsid w:val="54AE639A"/>
    <w:rsid w:val="54EC562A"/>
    <w:rsid w:val="551F012E"/>
    <w:rsid w:val="55C302ED"/>
    <w:rsid w:val="56F1303B"/>
    <w:rsid w:val="571F15E3"/>
    <w:rsid w:val="57463DAB"/>
    <w:rsid w:val="58304D0C"/>
    <w:rsid w:val="587D3206"/>
    <w:rsid w:val="589A4702"/>
    <w:rsid w:val="58C62D19"/>
    <w:rsid w:val="58E36F45"/>
    <w:rsid w:val="59CA5B4C"/>
    <w:rsid w:val="5BAA0CDE"/>
    <w:rsid w:val="5BFD2ED4"/>
    <w:rsid w:val="5C637BCD"/>
    <w:rsid w:val="5CB94BF2"/>
    <w:rsid w:val="5CC61CC2"/>
    <w:rsid w:val="5CFA179D"/>
    <w:rsid w:val="5D4D6706"/>
    <w:rsid w:val="5D55066B"/>
    <w:rsid w:val="5D5A3175"/>
    <w:rsid w:val="5D717141"/>
    <w:rsid w:val="5F0F181B"/>
    <w:rsid w:val="5FD01746"/>
    <w:rsid w:val="6041606E"/>
    <w:rsid w:val="60E57629"/>
    <w:rsid w:val="61A74E61"/>
    <w:rsid w:val="625658E8"/>
    <w:rsid w:val="62DD1A9E"/>
    <w:rsid w:val="62F75AF3"/>
    <w:rsid w:val="633F4D43"/>
    <w:rsid w:val="6356308C"/>
    <w:rsid w:val="638C578E"/>
    <w:rsid w:val="644008B5"/>
    <w:rsid w:val="64EE5187"/>
    <w:rsid w:val="64FE4D4E"/>
    <w:rsid w:val="65B172AB"/>
    <w:rsid w:val="66BE2FD1"/>
    <w:rsid w:val="67374FCB"/>
    <w:rsid w:val="67D231F7"/>
    <w:rsid w:val="68EB6EDF"/>
    <w:rsid w:val="69153CA0"/>
    <w:rsid w:val="692B6719"/>
    <w:rsid w:val="692E08EC"/>
    <w:rsid w:val="697D1F6A"/>
    <w:rsid w:val="69B751ED"/>
    <w:rsid w:val="69BE74B8"/>
    <w:rsid w:val="6A257BE2"/>
    <w:rsid w:val="6A3435E2"/>
    <w:rsid w:val="6AA00D4B"/>
    <w:rsid w:val="6AA415C4"/>
    <w:rsid w:val="6AD06B0D"/>
    <w:rsid w:val="6AE223A1"/>
    <w:rsid w:val="6AF52DF0"/>
    <w:rsid w:val="6B5B0F4C"/>
    <w:rsid w:val="6B8D2103"/>
    <w:rsid w:val="6BBB14CD"/>
    <w:rsid w:val="6C114A51"/>
    <w:rsid w:val="6C3839A7"/>
    <w:rsid w:val="6C4A4C8F"/>
    <w:rsid w:val="6C4B4007"/>
    <w:rsid w:val="6CB75B64"/>
    <w:rsid w:val="6CCB2F67"/>
    <w:rsid w:val="6D1B4820"/>
    <w:rsid w:val="6D312667"/>
    <w:rsid w:val="6D3F0B5D"/>
    <w:rsid w:val="6D657E5B"/>
    <w:rsid w:val="6DAF51D3"/>
    <w:rsid w:val="6DCD1B58"/>
    <w:rsid w:val="6E8E247E"/>
    <w:rsid w:val="6F8B172C"/>
    <w:rsid w:val="6FA70EBF"/>
    <w:rsid w:val="6FA82775"/>
    <w:rsid w:val="712C679D"/>
    <w:rsid w:val="716721E5"/>
    <w:rsid w:val="716E33F4"/>
    <w:rsid w:val="71A41BB2"/>
    <w:rsid w:val="71DD634E"/>
    <w:rsid w:val="72003442"/>
    <w:rsid w:val="72482F41"/>
    <w:rsid w:val="726E6AEF"/>
    <w:rsid w:val="72B9106D"/>
    <w:rsid w:val="73184958"/>
    <w:rsid w:val="733657C6"/>
    <w:rsid w:val="73D84694"/>
    <w:rsid w:val="742750CB"/>
    <w:rsid w:val="7435573E"/>
    <w:rsid w:val="74654F05"/>
    <w:rsid w:val="7471340B"/>
    <w:rsid w:val="74BF525D"/>
    <w:rsid w:val="74F96090"/>
    <w:rsid w:val="7730566A"/>
    <w:rsid w:val="77AB4374"/>
    <w:rsid w:val="782D59C7"/>
    <w:rsid w:val="784E5E47"/>
    <w:rsid w:val="78A3376E"/>
    <w:rsid w:val="78D215C9"/>
    <w:rsid w:val="78D43FF7"/>
    <w:rsid w:val="790D5F1D"/>
    <w:rsid w:val="794A7374"/>
    <w:rsid w:val="79570D01"/>
    <w:rsid w:val="79E104AA"/>
    <w:rsid w:val="7ACD7C95"/>
    <w:rsid w:val="7B0019DF"/>
    <w:rsid w:val="7BD547BD"/>
    <w:rsid w:val="7BDF4EBD"/>
    <w:rsid w:val="7C096407"/>
    <w:rsid w:val="7C1E6424"/>
    <w:rsid w:val="7CCF0215"/>
    <w:rsid w:val="7CF46400"/>
    <w:rsid w:val="7DCE610B"/>
    <w:rsid w:val="7E896658"/>
    <w:rsid w:val="7F351F2F"/>
    <w:rsid w:val="7F42130D"/>
    <w:rsid w:val="7F4D1609"/>
    <w:rsid w:val="7F8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font41"/>
    <w:basedOn w:val="9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paragraph" w:styleId="14">
    <w:name w:val="No Spacing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3899</Words>
  <Characters>4067</Characters>
  <Lines>31</Lines>
  <Paragraphs>8</Paragraphs>
  <TotalTime>0</TotalTime>
  <ScaleCrop>false</ScaleCrop>
  <LinksUpToDate>false</LinksUpToDate>
  <CharactersWithSpaces>4134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</dc:creator>
  <cp:lastModifiedBy>AOC</cp:lastModifiedBy>
  <cp:lastPrinted>2022-03-09T01:45:00Z</cp:lastPrinted>
  <dcterms:modified xsi:type="dcterms:W3CDTF">2023-12-15T05:51:08Z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EA8F65C724A64D648CA61723B3A8C498_13</vt:lpwstr>
  </property>
</Properties>
</file>