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bookmarkStart w:id="2" w:name="_GoBack"/>
      <w:bookmarkEnd w:id="2"/>
      <w:r>
        <w:rPr>
          <w:rFonts w:hint="eastAsia" w:ascii="微软雅黑" w:hAnsi="微软雅黑" w:eastAsia="微软雅黑" w:cs="微软雅黑"/>
          <w:b/>
          <w:color w:val="2F5597" w:themeColor="accent5" w:themeShade="BF"/>
          <w:w w:val="95"/>
          <w:sz w:val="44"/>
          <w:szCs w:val="44"/>
          <w14:shadow w14:blurRad="50800" w14:dist="38100" w14:dir="0" w14:sx="100000" w14:sy="100000" w14:kx="0" w14:ky="0" w14:algn="l">
            <w14:srgbClr w14:val="000000">
              <w14:alpha w14:val="60000"/>
            </w14:srgbClr>
          </w14:shadow>
        </w:rPr>
        <w:t>战略采购管理与领导力提升</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default"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2024年</w:t>
      </w:r>
      <w:r>
        <w:rPr>
          <w:rFonts w:hint="eastAsia" w:ascii="微软雅黑" w:hAnsi="微软雅黑" w:eastAsia="微软雅黑" w:cs="微软雅黑"/>
          <w:b w:val="0"/>
          <w:bCs/>
          <w:szCs w:val="21"/>
        </w:rPr>
        <w:t>0</w:t>
      </w:r>
      <w:r>
        <w:rPr>
          <w:rFonts w:hint="eastAsia" w:ascii="微软雅黑" w:hAnsi="微软雅黑" w:eastAsia="微软雅黑" w:cs="微软雅黑"/>
          <w:b w:val="0"/>
          <w:bCs/>
          <w:szCs w:val="21"/>
          <w:lang w:val="en-US" w:eastAsia="zh-CN"/>
        </w:rPr>
        <w:t>3</w:t>
      </w:r>
      <w:r>
        <w:rPr>
          <w:rFonts w:hint="eastAsia" w:ascii="微软雅黑" w:hAnsi="微软雅黑" w:eastAsia="微软雅黑" w:cs="微软雅黑"/>
          <w:b w:val="0"/>
          <w:bCs/>
          <w:szCs w:val="21"/>
        </w:rPr>
        <w:t>月</w:t>
      </w:r>
      <w:r>
        <w:rPr>
          <w:rFonts w:hint="eastAsia" w:ascii="微软雅黑" w:hAnsi="微软雅黑" w:eastAsia="微软雅黑" w:cs="微软雅黑"/>
          <w:b w:val="0"/>
          <w:bCs/>
          <w:szCs w:val="21"/>
          <w:lang w:val="en-US" w:eastAsia="zh-CN"/>
        </w:rPr>
        <w:t>15</w:t>
      </w:r>
      <w:r>
        <w:rPr>
          <w:rFonts w:hint="eastAsia" w:ascii="微软雅黑" w:hAnsi="微软雅黑" w:eastAsia="微软雅黑" w:cs="微软雅黑"/>
          <w:b w:val="0"/>
          <w:bCs/>
          <w:szCs w:val="21"/>
        </w:rPr>
        <w:t>-</w:t>
      </w:r>
      <w:r>
        <w:rPr>
          <w:rFonts w:hint="eastAsia" w:ascii="微软雅黑" w:hAnsi="微软雅黑" w:eastAsia="微软雅黑" w:cs="微软雅黑"/>
          <w:b w:val="0"/>
          <w:bCs/>
          <w:szCs w:val="21"/>
          <w:lang w:val="en-US" w:eastAsia="zh-CN"/>
        </w:rPr>
        <w:t>16</w:t>
      </w:r>
      <w:r>
        <w:rPr>
          <w:rFonts w:hint="eastAsia" w:ascii="微软雅黑" w:hAnsi="微软雅黑" w:eastAsia="微软雅黑" w:cs="微软雅黑"/>
          <w:b w:val="0"/>
          <w:bCs/>
          <w:szCs w:val="21"/>
        </w:rPr>
        <w:t>日</w:t>
      </w:r>
      <w:r>
        <w:rPr>
          <w:rFonts w:hint="eastAsia" w:ascii="微软雅黑" w:hAnsi="微软雅黑" w:eastAsia="微软雅黑" w:cs="微软雅黑"/>
          <w:b w:val="0"/>
          <w:bCs/>
          <w:szCs w:val="21"/>
          <w:lang w:val="en-US" w:eastAsia="zh-CN"/>
        </w:rPr>
        <w:t xml:space="preserve"> 上海    06月21-22日 北京    09月12-13日 上海</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pPr>
        <w:keepNext w:val="0"/>
        <w:keepLines w:val="0"/>
        <w:pageBreakBefore w:val="0"/>
        <w:widowControl w:val="0"/>
        <w:kinsoku/>
        <w:wordWrap/>
        <w:overflowPunct/>
        <w:topLinePunct w:val="0"/>
        <w:autoSpaceDE/>
        <w:autoSpaceDN/>
        <w:bidi w:val="0"/>
        <w:adjustRightInd/>
        <w:snapToGrid/>
        <w:spacing w:after="157" w:afterLines="50" w:line="360" w:lineRule="exact"/>
        <w:ind w:left="8" w:leftChars="4" w:right="166" w:rightChars="79"/>
        <w:textAlignment w:val="auto"/>
        <w:rPr>
          <w:rFonts w:hint="eastAsia" w:ascii="微软雅黑" w:hAnsi="微软雅黑" w:eastAsia="微软雅黑" w:cs="微软雅黑"/>
          <w:b w:val="0"/>
          <w:bCs w:val="0"/>
          <w:color w:val="000000"/>
          <w:szCs w:val="21"/>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5,6</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color w:val="000000"/>
          <w:szCs w:val="21"/>
        </w:rPr>
        <w:t>含授课费、资料费、两天午餐费茶点、会务费</w:t>
      </w:r>
      <w:r>
        <w:rPr>
          <w:rFonts w:hint="eastAsia" w:ascii="微软雅黑" w:hAnsi="微软雅黑" w:eastAsia="微软雅黑" w:cs="微软雅黑"/>
          <w:b w:val="0"/>
          <w:bCs w:val="0"/>
          <w:color w:val="000000"/>
          <w:szCs w:val="21"/>
        </w:rPr>
        <w:t>）</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对战略采购有个简单的快速了解，并掌握关键点；</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w:t>
      </w:r>
      <w:r>
        <w:rPr>
          <w:rFonts w:hint="eastAsia" w:ascii="微软雅黑" w:hAnsi="微软雅黑" w:eastAsia="微软雅黑" w:cs="微软雅黑"/>
          <w:szCs w:val="29"/>
          <w:lang w:val="en"/>
        </w:rPr>
        <w:t xml:space="preserve"> 以品类采购全过程的看变革管理；</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通过了解目标管理、优先级设定明确采购管理的基础；</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着重阐述如何提升与采购管理者相关的关键领导力；</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通过详细的步骤、小工具、角色扮演来掌握实用的绩效辅导及反馈；</w:t>
      </w:r>
    </w:p>
    <w:p>
      <w:pPr>
        <w:spacing w:line="360" w:lineRule="exact"/>
        <w:rPr>
          <w:rFonts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对领导者特征工具MBTI有初步认识；</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szCs w:val="29"/>
          <w:lang w:val="en"/>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9"/>
          <w:lang w:val="en"/>
        </w:rPr>
        <w:t>初步了解比较优势理论，并部分掌握战略思维的维度，同时学习如何提升领导力成为优势。</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课程对象</w:t>
      </w:r>
    </w:p>
    <w:p>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rPr>
          <w:rFonts w:hint="eastAsia" w:ascii="微软雅黑" w:hAnsi="微软雅黑" w:eastAsia="微软雅黑" w:cs="微软雅黑"/>
          <w:szCs w:val="21"/>
        </w:rPr>
      </w:pPr>
      <w:r>
        <w:rPr>
          <w:rFonts w:hint="eastAsia" w:ascii="微软雅黑" w:hAnsi="微软雅黑" w:eastAsia="微软雅黑" w:cs="微软雅黑"/>
          <w:szCs w:val="29"/>
        </w:rPr>
        <w:t>适合采购和供应链管理人员</w:t>
      </w:r>
      <w:r>
        <w:rPr>
          <w:rFonts w:hint="eastAsia" w:ascii="微软雅黑" w:hAnsi="微软雅黑" w:eastAsia="微软雅黑" w:cs="微软雅黑"/>
          <w:szCs w:val="29"/>
          <w:lang w:eastAsia="zh-CN"/>
        </w:rPr>
        <w:t>、</w:t>
      </w:r>
      <w:r>
        <w:rPr>
          <w:rFonts w:hint="eastAsia" w:ascii="微软雅黑" w:hAnsi="微软雅黑" w:eastAsia="微软雅黑" w:cs="微软雅黑"/>
          <w:szCs w:val="29"/>
        </w:rPr>
        <w:t>集团供应链副总、供应链总监、采购总监、工厂采购部经理等，战略寻源</w:t>
      </w:r>
      <w:r>
        <w:rPr>
          <w:rFonts w:hint="eastAsia" w:ascii="微软雅黑" w:hAnsi="微软雅黑" w:eastAsia="微软雅黑" w:cs="微软雅黑"/>
          <w:szCs w:val="29"/>
          <w:lang w:eastAsia="zh-CN"/>
        </w:rPr>
        <w:t>、</w:t>
      </w:r>
      <w:r>
        <w:rPr>
          <w:rFonts w:hint="eastAsia" w:ascii="微软雅黑" w:hAnsi="微软雅黑" w:eastAsia="微软雅黑" w:cs="微软雅黑"/>
          <w:szCs w:val="29"/>
        </w:rPr>
        <w:t>品类经理、战略采购经理、技术类采购人员</w:t>
      </w:r>
      <w:r>
        <w:rPr>
          <w:rFonts w:hint="eastAsia" w:ascii="微软雅黑" w:hAnsi="微软雅黑" w:eastAsia="微软雅黑" w:cs="微软雅黑"/>
          <w:szCs w:val="29"/>
          <w:lang w:eastAsia="zh-CN"/>
        </w:rPr>
        <w:t>、</w:t>
      </w:r>
      <w:r>
        <w:rPr>
          <w:rFonts w:hint="eastAsia" w:ascii="微软雅黑" w:hAnsi="微软雅黑" w:eastAsia="微软雅黑" w:cs="微软雅黑"/>
          <w:szCs w:val="29"/>
        </w:rPr>
        <w:t>供应商开发工程师SDE、供应商质量工程师SQE等。</w:t>
      </w:r>
    </w:p>
    <w:p>
      <w:pPr>
        <w:keepNext w:val="0"/>
        <w:keepLines w:val="0"/>
        <w:pageBreakBefore w:val="0"/>
        <w:widowControl/>
        <w:kinsoku/>
        <w:wordWrap/>
        <w:overflowPunct/>
        <w:topLinePunct w:val="0"/>
        <w:autoSpaceDE/>
        <w:autoSpaceDN/>
        <w:bidi w:val="0"/>
        <w:adjustRightInd/>
        <w:snapToGrid/>
        <w:spacing w:after="157" w:afterLines="50" w:line="360" w:lineRule="exact"/>
        <w:jc w:val="both"/>
        <w:textAlignment w:val="auto"/>
        <w:rPr>
          <w:rFonts w:ascii="微软雅黑" w:hAnsi="微软雅黑" w:eastAsia="微软雅黑" w:cs="微软雅黑"/>
          <w:szCs w:val="21"/>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pPr>
        <w:autoSpaceDE w:val="0"/>
        <w:autoSpaceDN w:val="0"/>
        <w:adjustRightInd w:val="0"/>
        <w:spacing w:before="156" w:beforeLines="50" w:line="500" w:lineRule="exact"/>
        <w:jc w:val="left"/>
        <w:rPr>
          <w:rFonts w:ascii="微软雅黑" w:hAnsi="微软雅黑" w:eastAsia="微软雅黑" w:cs="微软雅黑"/>
          <w:b/>
          <w:bCs/>
          <w:sz w:val="24"/>
        </w:rPr>
      </w:pPr>
      <w:r>
        <w:rPr>
          <w:rFonts w:ascii="微软雅黑" w:hAnsi="微软雅黑" w:eastAsia="微软雅黑" w:cs="微软雅黑"/>
          <w:b/>
          <w:bCs/>
          <w:sz w:val="24"/>
        </w:rPr>
        <w:drawing>
          <wp:anchor distT="0" distB="0" distL="114300" distR="114300" simplePos="0" relativeHeight="251659264" behindDoc="0" locked="0" layoutInCell="1" allowOverlap="1">
            <wp:simplePos x="0" y="0"/>
            <wp:positionH relativeFrom="column">
              <wp:posOffset>-12700</wp:posOffset>
            </wp:positionH>
            <wp:positionV relativeFrom="paragraph">
              <wp:posOffset>8255</wp:posOffset>
            </wp:positionV>
            <wp:extent cx="298450" cy="301625"/>
            <wp:effectExtent l="0" t="0" r="6350" b="3175"/>
            <wp:wrapSquare wrapText="bothSides"/>
            <wp:docPr id="14" name="图片 14"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color w:val="000000"/>
          <w:kern w:val="0"/>
          <w:sz w:val="24"/>
        </w:rPr>
        <w:t>第一部分：战略采购简述</w:t>
      </w:r>
    </w:p>
    <w:p>
      <w:pPr>
        <w:autoSpaceDE w:val="0"/>
        <w:autoSpaceDN w:val="0"/>
        <w:adjustRightInd w:val="0"/>
        <w:spacing w:line="340" w:lineRule="exact"/>
        <w:ind w:right="-573" w:rightChars="-273"/>
        <w:jc w:val="left"/>
        <w:rPr>
          <w:rFonts w:ascii="微软雅黑" w:hAnsi="微软雅黑" w:eastAsia="微软雅黑" w:cs="微软雅黑"/>
          <w:b/>
          <w:szCs w:val="21"/>
        </w:rPr>
      </w:pPr>
      <w:bookmarkStart w:id="0" w:name="_Hlk77995530"/>
      <w:r>
        <w:rPr>
          <w:rFonts w:hint="eastAsia" w:ascii="微软雅黑" w:hAnsi="微软雅黑" w:eastAsia="微软雅黑" w:cs="微软雅黑"/>
          <w:b/>
          <w:szCs w:val="21"/>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3810</wp:posOffset>
                </wp:positionV>
                <wp:extent cx="62293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pt;height:0pt;width:490.5pt;z-index:251660288;mso-width-relative:page;mso-height-relative:page;" filled="f" stroked="t" coordsize="21600,21600" o:gfxdata="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NXqlH1AAAAAQBAAAPAAAAAAAA&#10;AAEAIAAAACIAAABkcnMvZG93bnJldi54bWxQSwECFAAUAAAACACHTuJA3jrJ0ogCAADJBQAADgAA&#10;AAAAAAABACAAAAAj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szCs w:val="21"/>
        </w:rPr>
        <w:t>ATKearney科尔尼战略采购7步法</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供应商漏斗的逻辑：AVL长名单和短名单</w:t>
      </w:r>
    </w:p>
    <w:p>
      <w:pPr>
        <w:autoSpaceDE w:val="0"/>
        <w:autoSpaceDN w:val="0"/>
        <w:adjustRightInd w:val="0"/>
        <w:spacing w:line="340" w:lineRule="exact"/>
        <w:ind w:right="-573" w:rightChars="-273"/>
        <w:jc w:val="left"/>
        <w:rPr>
          <w:rFonts w:hint="eastAsia" w:ascii="微软雅黑" w:hAnsi="微软雅黑" w:eastAsia="微软雅黑" w:cs="微软雅黑"/>
          <w:b/>
          <w:szCs w:val="21"/>
        </w:rPr>
      </w:pPr>
      <w:r>
        <w:rPr>
          <w:rFonts w:hint="eastAsia" w:ascii="微软雅黑" w:hAnsi="微软雅黑" w:eastAsia="微软雅黑" w:cs="微软雅黑"/>
          <w:b/>
          <w:szCs w:val="21"/>
        </w:rPr>
        <w:t>需求分析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多维度的支出分析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供应链复杂度分析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风险/收益分析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品类</w:t>
      </w:r>
      <w:r>
        <w:rPr>
          <w:rFonts w:ascii="微软雅黑" w:hAnsi="微软雅黑" w:eastAsia="微软雅黑" w:cs="微软雅黑"/>
          <w:szCs w:val="21"/>
        </w:rPr>
        <w:t>SWOT</w:t>
      </w:r>
      <w:r>
        <w:rPr>
          <w:rFonts w:hint="eastAsia" w:ascii="微软雅黑" w:hAnsi="微软雅黑" w:eastAsia="微软雅黑" w:cs="微软雅黑"/>
          <w:szCs w:val="21"/>
        </w:rPr>
        <w:t>分析</w:t>
      </w:r>
    </w:p>
    <w:bookmarkEnd w:id="0"/>
    <w:p>
      <w:pPr>
        <w:pStyle w:val="15"/>
        <w:spacing w:line="360" w:lineRule="exact"/>
        <w:ind w:firstLine="0" w:firstLineChars="0"/>
        <w:rPr>
          <w:rFonts w:ascii="微软雅黑" w:hAnsi="微软雅黑" w:eastAsia="微软雅黑" w:cs="微软雅黑"/>
          <w:b/>
          <w:szCs w:val="21"/>
        </w:rPr>
      </w:pPr>
      <w:r>
        <w:rPr>
          <w:rFonts w:hint="eastAsia" w:ascii="微软雅黑" w:hAnsi="微软雅黑" w:eastAsia="微软雅黑" w:cs="微软雅黑"/>
          <w:b/>
          <w:szCs w:val="21"/>
        </w:rPr>
        <w:t>沟通计划</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组织区分：内部/外部</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沟通的工具</w:t>
      </w:r>
    </w:p>
    <w:p>
      <w:pPr>
        <w:pStyle w:val="15"/>
        <w:numPr>
          <w:ilvl w:val="0"/>
          <w:numId w:val="1"/>
        </w:numPr>
        <w:spacing w:line="360" w:lineRule="exact"/>
        <w:ind w:left="709" w:hanging="283" w:firstLineChars="0"/>
        <w:rPr>
          <w:rFonts w:ascii="微软雅黑" w:hAnsi="微软雅黑" w:eastAsia="微软雅黑" w:cs="微软雅黑"/>
          <w:szCs w:val="21"/>
        </w:rPr>
      </w:pPr>
      <w:r>
        <w:rPr>
          <w:rFonts w:hint="eastAsia" w:ascii="微软雅黑" w:hAnsi="微软雅黑" w:eastAsia="微软雅黑" w:cs="微软雅黑"/>
          <w:szCs w:val="21"/>
        </w:rPr>
        <w:t>对组织内：采购战略报告/供应商短名单</w:t>
      </w:r>
    </w:p>
    <w:p>
      <w:pPr>
        <w:pStyle w:val="15"/>
        <w:numPr>
          <w:ilvl w:val="0"/>
          <w:numId w:val="1"/>
        </w:numPr>
        <w:spacing w:line="360" w:lineRule="exact"/>
        <w:ind w:left="709" w:hanging="283" w:firstLineChars="0"/>
        <w:rPr>
          <w:rFonts w:ascii="微软雅黑" w:hAnsi="微软雅黑" w:eastAsia="微软雅黑" w:cs="微软雅黑"/>
          <w:szCs w:val="21"/>
        </w:rPr>
      </w:pPr>
      <w:r>
        <w:rPr>
          <w:rFonts w:hint="eastAsia" w:ascii="微软雅黑" w:hAnsi="微软雅黑" w:eastAsia="微软雅黑" w:cs="微软雅黑"/>
          <w:szCs w:val="21"/>
        </w:rPr>
        <w:t>对组织外：供应商选择标准/定位卡/路线/分段实施计划和规范</w:t>
      </w:r>
    </w:p>
    <w:p>
      <w:pPr>
        <w:pStyle w:val="15"/>
        <w:numPr>
          <w:ilvl w:val="0"/>
          <w:numId w:val="1"/>
        </w:numPr>
        <w:spacing w:line="360" w:lineRule="exact"/>
        <w:ind w:left="709" w:hanging="283" w:firstLineChars="0"/>
        <w:rPr>
          <w:rFonts w:hint="eastAsia" w:ascii="微软雅黑" w:hAnsi="微软雅黑" w:eastAsia="微软雅黑" w:cs="微软雅黑"/>
          <w:szCs w:val="21"/>
        </w:rPr>
      </w:pPr>
      <w:r>
        <w:rPr>
          <w:rFonts w:hint="eastAsia" w:ascii="微软雅黑" w:hAnsi="微软雅黑" w:eastAsia="微软雅黑" w:cs="微软雅黑"/>
          <w:szCs w:val="21"/>
        </w:rPr>
        <w:t>对供应商：季度业务回顾QBR</w:t>
      </w:r>
    </w:p>
    <w:p>
      <w:pPr>
        <w:pStyle w:val="15"/>
        <w:spacing w:line="360" w:lineRule="exact"/>
        <w:ind w:firstLine="0" w:firstLineChars="0"/>
        <w:rPr>
          <w:rFonts w:ascii="微软雅黑" w:hAnsi="微软雅黑" w:eastAsia="微软雅黑" w:cs="微软雅黑"/>
          <w:b/>
          <w:szCs w:val="21"/>
        </w:rPr>
      </w:pPr>
      <w:r>
        <w:rPr>
          <w:rFonts w:hint="eastAsia" w:ascii="微软雅黑" w:hAnsi="微软雅黑" w:eastAsia="微软雅黑" w:cs="微软雅黑"/>
          <w:b/>
          <w:szCs w:val="21"/>
        </w:rPr>
        <w:t>变革管理的过程</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生产还是外包的决策分析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如何启动采购数字化转型？</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碳减排项目</w:t>
      </w:r>
    </w:p>
    <w:p>
      <w:pPr>
        <w:pStyle w:val="15"/>
        <w:spacing w:line="360" w:lineRule="exact"/>
        <w:ind w:firstLine="0" w:firstLineChars="0"/>
        <w:rPr>
          <w:rFonts w:ascii="微软雅黑" w:hAnsi="微软雅黑" w:eastAsia="微软雅黑" w:cs="微软雅黑"/>
          <w:b/>
          <w:szCs w:val="21"/>
        </w:rPr>
      </w:pPr>
      <w:bookmarkStart w:id="1" w:name="_Hlk78137506"/>
      <w:r>
        <w:rPr>
          <w:rFonts w:hint="eastAsia" w:ascii="微软雅黑" w:hAnsi="微软雅黑" w:eastAsia="微软雅黑" w:cs="微软雅黑"/>
          <w:b/>
          <w:szCs w:val="21"/>
        </w:rPr>
        <w:t>合同管理流程</w:t>
      </w:r>
    </w:p>
    <w:bookmarkEnd w:id="1"/>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按供应商类别区分的覆盖率</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关键条款审批</w:t>
      </w:r>
    </w:p>
    <w:p>
      <w:pPr>
        <w:pStyle w:val="15"/>
        <w:spacing w:line="360" w:lineRule="exact"/>
        <w:ind w:firstLine="0" w:firstLineChars="0"/>
        <w:rPr>
          <w:rFonts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和供应商管理相关的条款</w:t>
      </w:r>
    </w:p>
    <w:p>
      <w:pPr>
        <w:autoSpaceDE w:val="0"/>
        <w:autoSpaceDN w:val="0"/>
        <w:adjustRightInd w:val="0"/>
        <w:spacing w:before="156" w:beforeLines="50" w:line="500" w:lineRule="exact"/>
        <w:jc w:val="left"/>
        <w:rPr>
          <w:rFonts w:ascii="微软雅黑" w:hAnsi="微软雅黑" w:eastAsia="微软雅黑" w:cs="微软雅黑"/>
          <w:b/>
          <w:bCs/>
          <w:sz w:val="24"/>
        </w:rPr>
      </w:pPr>
      <w:r>
        <w:rPr>
          <w:rFonts w:ascii="微软雅黑" w:hAnsi="微软雅黑" w:eastAsia="微软雅黑" w:cs="微软雅黑"/>
          <w:b/>
          <w:bCs/>
          <w:sz w:val="24"/>
        </w:rPr>
        <w:drawing>
          <wp:anchor distT="0" distB="0" distL="114300" distR="114300" simplePos="0" relativeHeight="251663360" behindDoc="0" locked="0" layoutInCell="1" allowOverlap="1">
            <wp:simplePos x="0" y="0"/>
            <wp:positionH relativeFrom="column">
              <wp:posOffset>-33655</wp:posOffset>
            </wp:positionH>
            <wp:positionV relativeFrom="paragraph">
              <wp:posOffset>107315</wp:posOffset>
            </wp:positionV>
            <wp:extent cx="298450" cy="301625"/>
            <wp:effectExtent l="0" t="0" r="6350" b="3175"/>
            <wp:wrapSquare wrapText="bothSides"/>
            <wp:docPr id="13" name="图片 1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color w:val="000000"/>
          <w:kern w:val="0"/>
          <w:sz w:val="24"/>
        </w:rPr>
        <w:t>第二部分：管理基础</w:t>
      </w:r>
    </w:p>
    <w:p>
      <w:pPr>
        <w:autoSpaceDE w:val="0"/>
        <w:autoSpaceDN w:val="0"/>
        <w:adjustRightInd w:val="0"/>
        <w:spacing w:line="340" w:lineRule="exact"/>
        <w:ind w:right="-573" w:rightChars="-273"/>
        <w:jc w:val="left"/>
        <w:rPr>
          <w:rFonts w:ascii="微软雅黑" w:hAnsi="微软雅黑" w:eastAsia="微软雅黑" w:cs="微软雅黑"/>
          <w:b/>
          <w:szCs w:val="21"/>
        </w:rPr>
      </w:pPr>
      <w:r>
        <w:rPr>
          <w:rFonts w:hint="eastAsia" w:ascii="微软雅黑" w:hAnsi="微软雅黑" w:eastAsia="微软雅黑" w:cs="微软雅黑"/>
          <w:b/>
          <w:szCs w:val="21"/>
        </w:rPr>
        <w:t>目标管理</w:t>
      </w:r>
      <w:r>
        <w:rPr>
          <w:rFonts w:hint="eastAsia" w:ascii="微软雅黑" w:hAnsi="微软雅黑" w:eastAsia="微软雅黑" w:cs="微软雅黑"/>
          <w:b/>
          <w:szCs w:val="21"/>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3810</wp:posOffset>
                </wp:positionV>
                <wp:extent cx="6229350" cy="0"/>
                <wp:effectExtent l="0" t="0" r="0" b="0"/>
                <wp:wrapNone/>
                <wp:docPr id="12" name="直接连接符 12"/>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pt;height:0pt;width:490.5pt;z-index:251664384;mso-width-relative:page;mso-height-relative:page;" filled="f" stroked="t" coordsize="21600,21600" o:gfxdata="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NXqlH1AAAAAQB&#10;AAAPAAAAAAAAAAEAIAAAACIAAABkcnMvZG93bnJldi54bWxQSwECFAAUAAAACACHTuJAwef8FJEC&#10;AADWBQAADgAAAAAAAAABACAAAAAjAQAAZHJzL2Uyb0RvYy54bWxQSwUGAAAAAAYABgBZAQAAJgYA&#10;AAAA&#10;">
                <v:fill on="f" focussize="0,0"/>
                <v:stroke weight="1pt" color="#000000" miterlimit="8" joinstyle="miter"/>
                <v:imagedata o:title=""/>
                <o:lock v:ext="edit" aspectratio="f"/>
              </v:line>
            </w:pict>
          </mc:Fallback>
        </mc:AlternateConten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战略目标/方针管理</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预算过程的逻辑</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绩效管理的4步基础</w:t>
      </w:r>
    </w:p>
    <w:p>
      <w:pPr>
        <w:pStyle w:val="15"/>
        <w:spacing w:line="360" w:lineRule="exact"/>
        <w:ind w:firstLine="0" w:firstLineChars="0"/>
        <w:rPr>
          <w:rFonts w:hint="eastAsia" w:ascii="微软雅黑" w:hAnsi="微软雅黑" w:eastAsia="微软雅黑" w:cs="微软雅黑"/>
          <w:szCs w:val="21"/>
        </w:rPr>
      </w:pPr>
      <w:r>
        <w:rPr>
          <w:rFonts w:hint="eastAsia" w:ascii="微软雅黑" w:hAnsi="微软雅黑" w:eastAsia="微软雅黑" w:cs="微软雅黑"/>
          <w:b/>
          <w:szCs w:val="21"/>
        </w:rPr>
        <w:t>Gartner采购管理优先事项</w:t>
      </w:r>
    </w:p>
    <w:p>
      <w:pPr>
        <w:pStyle w:val="15"/>
        <w:spacing w:line="360" w:lineRule="exact"/>
        <w:ind w:firstLine="0" w:firstLineChars="0"/>
        <w:rPr>
          <w:rFonts w:ascii="微软雅黑" w:hAnsi="微软雅黑" w:eastAsia="微软雅黑" w:cs="微软雅黑"/>
          <w:b/>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关于战略的5个误解</w:t>
      </w:r>
    </w:p>
    <w:p>
      <w:pPr>
        <w:pStyle w:val="15"/>
        <w:spacing w:line="360" w:lineRule="exact"/>
        <w:ind w:firstLine="0" w:firstLineChars="0"/>
        <w:rPr>
          <w:rFonts w:hint="eastAsia" w:ascii="微软雅黑" w:hAnsi="微软雅黑" w:eastAsia="微软雅黑" w:cs="微软雅黑"/>
          <w:color w:val="1F3863" w:themeColor="accent5" w:themeShade="7F"/>
          <w:spacing w:val="6"/>
          <w:sz w:val="24"/>
          <w14:reflection w14:blurRad="6350" w14:stA="53000" w14:stPos="0" w14:endA="300" w14:endPos="35500" w14:dist="0" w14:dir="5400000" w14:fadeDir="5400000" w14:sx="100000" w14:sy="-90000" w14:kx="0" w14:ky="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14:props3d w14:extrusionH="0" w14:contourW="0" w14:prstMaterial="clear"/>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4种达成战略优势的方法</w:t>
      </w:r>
    </w:p>
    <w:p>
      <w:pPr>
        <w:spacing w:before="156" w:beforeLines="50" w:line="500" w:lineRule="exact"/>
        <w:jc w:val="left"/>
        <w:outlineLvl w:val="0"/>
        <w:rPr>
          <w:rFonts w:ascii="微软雅黑" w:hAnsi="微软雅黑" w:eastAsia="微软雅黑" w:cs="微软雅黑"/>
          <w:b/>
          <w:bCs/>
          <w:sz w:val="24"/>
        </w:rPr>
      </w:pPr>
      <w:r>
        <w:rPr>
          <w:rFonts w:ascii="微软雅黑" w:hAnsi="微软雅黑" w:eastAsia="微软雅黑" w:cs="微软雅黑"/>
          <w:b/>
          <w:bCs/>
          <w:sz w:val="24"/>
        </w:rPr>
        <w:drawing>
          <wp:anchor distT="0" distB="0" distL="114300" distR="114300" simplePos="0" relativeHeight="251661312" behindDoc="0" locked="0" layoutInCell="1" allowOverlap="1">
            <wp:simplePos x="0" y="0"/>
            <wp:positionH relativeFrom="column">
              <wp:posOffset>-12700</wp:posOffset>
            </wp:positionH>
            <wp:positionV relativeFrom="paragraph">
              <wp:posOffset>103505</wp:posOffset>
            </wp:positionV>
            <wp:extent cx="298450" cy="301625"/>
            <wp:effectExtent l="0" t="0" r="6350" b="3175"/>
            <wp:wrapSquare wrapText="bothSides"/>
            <wp:docPr id="7" name="图片 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color w:val="000000"/>
          <w:kern w:val="0"/>
          <w:sz w:val="24"/>
        </w:rPr>
        <w:t>第三部分 领导力提升</w:t>
      </w:r>
    </w:p>
    <w:p>
      <w:pPr>
        <w:autoSpaceDE w:val="0"/>
        <w:autoSpaceDN w:val="0"/>
        <w:adjustRightInd w:val="0"/>
        <w:spacing w:line="340" w:lineRule="exact"/>
        <w:ind w:right="-573" w:rightChars="-273"/>
        <w:jc w:val="left"/>
        <w:rPr>
          <w:rFonts w:ascii="微软雅黑" w:hAnsi="微软雅黑" w:eastAsia="微软雅黑" w:cs="微软雅黑"/>
          <w:b/>
          <w:szCs w:val="21"/>
        </w:rPr>
      </w:pPr>
      <w:r>
        <w:rPr>
          <w:rFonts w:hint="eastAsia" w:ascii="微软雅黑" w:hAnsi="微软雅黑" w:eastAsia="微软雅黑" w:cs="微软雅黑"/>
          <w:b/>
          <w:szCs w:val="21"/>
        </w:rPr>
        <w:t>BCG的未来能力设计模型</w:t>
      </w:r>
      <w:r>
        <w:rPr>
          <w:rFonts w:hint="eastAsia" w:ascii="微软雅黑" w:hAnsi="微软雅黑" w:eastAsia="微软雅黑" w:cs="微软雅黑"/>
          <w:b/>
          <w:szCs w:val="21"/>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3810</wp:posOffset>
                </wp:positionV>
                <wp:extent cx="6229350" cy="0"/>
                <wp:effectExtent l="0" t="0" r="0" b="0"/>
                <wp:wrapNone/>
                <wp:docPr id="8" name="直接连接符 8"/>
                <wp:cNvGraphicFramePr/>
                <a:graphic xmlns:a="http://schemas.openxmlformats.org/drawingml/2006/main">
                  <a:graphicData uri="http://schemas.microsoft.com/office/word/2010/wordprocessingShape">
                    <wps:wsp>
                      <wps:cNvCnPr/>
                      <wps:spPr>
                        <a:xfrm>
                          <a:off x="675005" y="7101205"/>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0.3pt;height:0pt;width:490.5pt;z-index:251662336;mso-width-relative:page;mso-height-relative:page;" filled="f" stroked="t" coordsize="21600,21600" o:gfxdata="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NXqlH1AAAAAQB&#10;AAAPAAAAAAAAAAEAIAAAACIAAABkcnMvZG93bnJldi54bWxQSwECFAAUAAAACACHTuJAWAr4n5EC&#10;AADUBQAADgAAAAAAAAABACAAAAAjAQAAZHJzL2Uyb0RvYy54bWxQSwUGAAAAAAYABgBZAQAAJgYA&#10;AAAA&#10;">
                <v:fill on="f" focussize="0,0"/>
                <v:stroke weight="1pt" color="#000000" miterlimit="8" joinstyle="miter"/>
                <v:imagedata o:title=""/>
                <o:lock v:ext="edit" aspectratio="f"/>
              </v:line>
            </w:pict>
          </mc:Fallback>
        </mc:AlternateConten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绩效/能力矩阵：9</w:t>
      </w:r>
      <w:r>
        <w:rPr>
          <w:rFonts w:ascii="微软雅黑" w:hAnsi="微软雅黑" w:eastAsia="微软雅黑" w:cs="微软雅黑"/>
          <w:szCs w:val="21"/>
        </w:rPr>
        <w:t xml:space="preserve"> </w:t>
      </w:r>
      <w:r>
        <w:rPr>
          <w:rFonts w:hint="eastAsia" w:ascii="微软雅黑" w:hAnsi="微软雅黑" w:eastAsia="微软雅黑" w:cs="微软雅黑"/>
          <w:szCs w:val="21"/>
        </w:rPr>
        <w:t>Box</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岗位设计和人员配置计划</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辅导员工的3层边界逻辑</w:t>
      </w:r>
    </w:p>
    <w:p>
      <w:pPr>
        <w:pStyle w:val="15"/>
        <w:spacing w:line="360" w:lineRule="exact"/>
        <w:ind w:firstLine="0" w:firstLineChars="0"/>
        <w:rPr>
          <w:rFonts w:hint="eastAsia"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非正式组织：圆桌会议、越级会议/午餐</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b/>
          <w:szCs w:val="21"/>
        </w:rPr>
        <w:t>领导力模型</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视频：恒河猴子的母爱实验</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辅导员工的3层边界逻辑</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绩效辅导详述</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正面反馈详述</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角色扮演：年终考评反馈</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授权管理：“爱”的V型</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领导者的特征和风格：</w:t>
      </w:r>
      <w:r>
        <w:rPr>
          <w:rFonts w:ascii="微软雅黑" w:hAnsi="微软雅黑" w:eastAsia="微软雅黑" w:cs="微软雅黑"/>
          <w:szCs w:val="21"/>
        </w:rPr>
        <w:t>MBTI</w:t>
      </w:r>
      <w:r>
        <w:rPr>
          <w:rFonts w:hint="eastAsia" w:ascii="微软雅黑" w:hAnsi="微软雅黑" w:eastAsia="微软雅黑" w:cs="微软雅黑"/>
          <w:szCs w:val="21"/>
        </w:rPr>
        <w:t>模型</w:t>
      </w:r>
    </w:p>
    <w:p>
      <w:pPr>
        <w:pStyle w:val="15"/>
        <w:spacing w:line="360" w:lineRule="exact"/>
        <w:ind w:firstLine="0" w:firstLineChars="0"/>
        <w:rPr>
          <w:rFonts w:ascii="微软雅黑" w:hAnsi="微软雅黑" w:eastAsia="微软雅黑" w:cs="微软雅黑"/>
          <w:b/>
          <w:szCs w:val="21"/>
        </w:rPr>
      </w:pPr>
      <w:r>
        <w:rPr>
          <w:rFonts w:hint="eastAsia" w:ascii="微软雅黑" w:hAnsi="微软雅黑" w:eastAsia="微软雅黑" w:cs="微软雅黑"/>
          <w:b/>
          <w:szCs w:val="21"/>
        </w:rPr>
        <w:t>克利夫顿比较优势理论简述</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2025年Top10能力</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承认个体差异</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比较优势的底层逻辑</w:t>
      </w:r>
    </w:p>
    <w:p>
      <w:pPr>
        <w:pStyle w:val="15"/>
        <w:spacing w:line="360" w:lineRule="exact"/>
        <w:ind w:firstLine="0" w:firstLineChars="0"/>
        <w:rPr>
          <w:rFonts w:ascii="微软雅黑" w:hAnsi="微软雅黑" w:eastAsia="微软雅黑" w:cs="微软雅黑"/>
          <w:szCs w:val="21"/>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“战略思维”的8项内容系统性分析</w:t>
      </w:r>
    </w:p>
    <w:p>
      <w:pPr>
        <w:pStyle w:val="15"/>
        <w:keepNext w:val="0"/>
        <w:keepLines w:val="0"/>
        <w:pageBreakBefore w:val="0"/>
        <w:widowControl w:val="0"/>
        <w:kinsoku/>
        <w:wordWrap/>
        <w:overflowPunct/>
        <w:topLinePunct w:val="0"/>
        <w:autoSpaceDE/>
        <w:autoSpaceDN/>
        <w:bidi w:val="0"/>
        <w:adjustRightInd/>
        <w:snapToGrid/>
        <w:spacing w:after="157" w:afterLines="50" w:line="360" w:lineRule="exact"/>
        <w:ind w:firstLine="0" w:firstLineChars="0"/>
        <w:textAlignment w:val="auto"/>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color w:val="3F3F3F" w:themeColor="text1" w:themeTint="BF"/>
          <w:szCs w:val="21"/>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ang="0" w14:scaled="0"/>
            </w14:gradFill>
          </w14:textFill>
        </w:rPr>
        <w:t xml:space="preserve">■ </w:t>
      </w:r>
      <w:r>
        <w:rPr>
          <w:rFonts w:hint="eastAsia" w:ascii="微软雅黑" w:hAnsi="微软雅黑" w:eastAsia="微软雅黑" w:cs="微软雅黑"/>
          <w:szCs w:val="21"/>
        </w:rPr>
        <w:t>和从“地下室”向“阳台”行为的转变</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bCs/>
          <w:sz w:val="24"/>
          <w:szCs w:val="24"/>
          <w14:shadow w14:blurRad="50800" w14:dist="38100" w14:dir="18900000" w14:sx="100000" w14:sy="100000" w14:kx="0" w14:ky="0" w14:algn="bl">
            <w14:srgbClr w14:val="000000">
              <w14:alpha w14:val="60000"/>
            </w14:srgbClr>
          </w14:shadow>
        </w:rPr>
        <w:drawing>
          <wp:anchor distT="0" distB="0" distL="114300" distR="114300" simplePos="0" relativeHeight="251665408" behindDoc="1" locked="0" layoutInCell="1" allowOverlap="1">
            <wp:simplePos x="0" y="0"/>
            <wp:positionH relativeFrom="column">
              <wp:posOffset>-161925</wp:posOffset>
            </wp:positionH>
            <wp:positionV relativeFrom="paragraph">
              <wp:posOffset>89535</wp:posOffset>
            </wp:positionV>
            <wp:extent cx="1676400" cy="2124075"/>
            <wp:effectExtent l="0" t="0" r="0" b="9525"/>
            <wp:wrapTight wrapText="bothSides">
              <wp:wrapPolygon>
                <wp:start x="0" y="0"/>
                <wp:lineTo x="0" y="21503"/>
                <wp:lineTo x="21355" y="21503"/>
                <wp:lineTo x="21355" y="0"/>
                <wp:lineTo x="0" y="0"/>
              </wp:wrapPolygon>
            </wp:wrapTight>
            <wp:docPr id="1" name="图片 1" descr="微信图片_2022062917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29171225"/>
                    <pic:cNvPicPr>
                      <a:picLocks noChangeAspect="1"/>
                    </pic:cNvPicPr>
                  </pic:nvPicPr>
                  <pic:blipFill>
                    <a:blip r:embed="rId8"/>
                    <a:stretch>
                      <a:fillRect/>
                    </a:stretch>
                  </pic:blipFill>
                  <pic:spPr>
                    <a:xfrm>
                      <a:off x="0" y="0"/>
                      <a:ext cx="1676400" cy="2124075"/>
                    </a:xfrm>
                    <a:prstGeom prst="rect">
                      <a:avLst/>
                    </a:prstGeom>
                  </pic:spPr>
                </pic:pic>
              </a:graphicData>
            </a:graphic>
          </wp:anchor>
        </w:drawing>
      </w: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w:hAnsi="微软雅黑" w:eastAsia="微软雅黑" w:cs="微软雅黑"/>
          <w:b/>
          <w:bCs/>
          <w:sz w:val="24"/>
          <w:szCs w:val="24"/>
          <w14:shadow w14:blurRad="50800" w14:dist="38100" w14:dir="18900000" w14:sx="100000" w14:sy="100000" w14:kx="0" w14:ky="0" w14:algn="bl">
            <w14:srgbClr w14:val="000000">
              <w14:alpha w14:val="60000"/>
            </w14:srgbClr>
          </w14:shadow>
        </w:rPr>
      </w:pPr>
      <w:r>
        <w:rPr>
          <w:rFonts w:hint="eastAsia" w:ascii="微软雅黑" w:hAnsi="微软雅黑" w:eastAsia="微软雅黑" w:cs="微软雅黑"/>
          <w:b/>
          <w:bCs/>
          <w:sz w:val="24"/>
          <w:szCs w:val="24"/>
          <w14:shadow w14:blurRad="50800" w14:dist="38100" w14:dir="18900000" w14:sx="100000" w14:sy="100000" w14:kx="0" w14:ky="0" w14:algn="bl">
            <w14:srgbClr w14:val="000000">
              <w14:alpha w14:val="60000"/>
            </w14:srgbClr>
          </w14:shadow>
        </w:rPr>
        <w:t>Max lin</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目前任职于某著名全球500强跨国企业,担任全球商品采购总监，负责7亿多美金的相关商品类别的战略采购管理，英国</w:t>
      </w:r>
      <w:r>
        <w:rPr>
          <w:rFonts w:hint="eastAsia" w:ascii="微软雅黑" w:hAnsi="微软雅黑" w:eastAsia="微软雅黑" w:cs="微软雅黑"/>
          <w:color w:val="000000"/>
          <w:szCs w:val="21"/>
        </w:rPr>
        <w:t>赫瑞瓦特</w:t>
      </w:r>
      <w:r>
        <w:rPr>
          <w:rFonts w:hint="eastAsia" w:ascii="微软雅黑" w:hAnsi="微软雅黑" w:eastAsia="微软雅黑" w:cs="微软雅黑"/>
          <w:szCs w:val="21"/>
        </w:rPr>
        <w:t>(</w:t>
      </w:r>
      <w:r>
        <w:rPr>
          <w:rStyle w:val="12"/>
          <w:rFonts w:hint="eastAsia" w:ascii="微软雅黑" w:hAnsi="微软雅黑" w:eastAsia="微软雅黑" w:cs="微软雅黑"/>
          <w:color w:val="000000"/>
          <w:szCs w:val="21"/>
        </w:rPr>
        <w:t>Heriot-Watt</w:t>
      </w:r>
      <w:r>
        <w:rPr>
          <w:rFonts w:hint="eastAsia" w:ascii="微软雅黑" w:hAnsi="微软雅黑" w:eastAsia="微软雅黑" w:cs="微软雅黑"/>
          <w:color w:val="000000"/>
          <w:szCs w:val="21"/>
        </w:rPr>
        <w:t xml:space="preserve"> University)</w:t>
      </w:r>
      <w:r>
        <w:rPr>
          <w:rFonts w:hint="eastAsia" w:ascii="微软雅黑" w:hAnsi="微软雅黑" w:eastAsia="微软雅黑" w:cs="微软雅黑"/>
          <w:szCs w:val="21"/>
        </w:rPr>
        <w:t>工商管理硕士。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曾在全球知名跨国企业如通用电气(亚太)采购中心, 法国核电集团, 惠而浦(中国)投资有限公司和施耐德电气等历任新项目采购，贴牌采购，全球寻源采购以及品类管理等职责。</w:t>
      </w:r>
    </w:p>
    <w:p>
      <w:pPr>
        <w:keepNext w:val="0"/>
        <w:keepLines w:val="0"/>
        <w:pageBreakBefore w:val="0"/>
        <w:widowControl w:val="0"/>
        <w:kinsoku/>
        <w:wordWrap/>
        <w:overflowPunct/>
        <w:topLinePunct w:val="0"/>
        <w:autoSpaceDE/>
        <w:autoSpaceDN/>
        <w:bidi w:val="0"/>
        <w:adjustRightInd/>
        <w:snapToGrid/>
        <w:spacing w:after="157" w:afterLines="50" w:line="360" w:lineRule="exact"/>
        <w:jc w:val="lef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szCs w:val="21"/>
        </w:rPr>
        <w:t>拥有丰富的实战经验, 涉及过的采购产品涵盖多种商品类别, 比如各种加工工艺, 大宗原材料以及间接性物料等。熟悉多种商品的作业成本, 以及亚太区各个国家的市场和供应链特点。</w:t>
      </w:r>
      <w:r>
        <w:rPr>
          <w:rFonts w:hint="eastAsia" w:ascii="微软雅黑" w:hAnsi="微软雅黑" w:eastAsia="微软雅黑" w:cs="微软雅黑"/>
          <w:kern w:val="0"/>
          <w:szCs w:val="21"/>
        </w:rPr>
        <w:t>20年世界500强公司丰富的采购经验和丰富的全球跨文化团队的管理经历，以及对采购案例的深入研究使得培训课程有很强的针对性和实践指导性。</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擅长课程</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采购谈判管理、供应商管理、成本分析与控制、战略采购管理、采购必备的财务知识与技能等系列采购课程。</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培训风格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szCs w:val="21"/>
        </w:rPr>
        <w:t>讲课概念超前，但又注重实际应用；案例丰富并且主要来自本人的多年实践经验。善于帮助听众换位思考，采用现场答疑、专家诊断等授课方式，消除填鸭式讲授的枯燥和乏味。睿智，条理性强，深受客户欢迎。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曾培训和辅导过的企业有</w:t>
      </w:r>
    </w:p>
    <w:p>
      <w:pPr>
        <w:keepNext w:val="0"/>
        <w:keepLines w:val="0"/>
        <w:pageBreakBefore w:val="0"/>
        <w:widowControl w:val="0"/>
        <w:tabs>
          <w:tab w:val="left" w:pos="0"/>
        </w:tabs>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Cs w:val="21"/>
        </w:rPr>
      </w:pPr>
      <w:r>
        <w:rPr>
          <w:rFonts w:hint="eastAsia" w:ascii="微软雅黑" w:hAnsi="微软雅黑" w:eastAsia="微软雅黑" w:cs="微软雅黑"/>
          <w:kern w:val="0"/>
          <w:szCs w:val="21"/>
        </w:rPr>
        <w:t>德尔福汽车，康明斯中国，李尔公司,BMW, , Nokia，Haier, IBM, Tyco, Tower, Tcl , 中海油公司,ABB, Siemens, Philips, Aucma, Media,奥的斯电梯，飞利浦亚明，拜耳公司，西门子，萨帕铝热，通用磨坊，美卓造纸机械，艾欧史密斯，英格索兰，联合利华（中国）、唐纳森过滤器、Intel（中国）、伟创力、赛诺菲中国（Sanofi）、美国药星制药（Amphastar）、阿斯利康投资（中国），康菲石油，大众汽车、</w:t>
      </w:r>
      <w:r>
        <w:rPr>
          <w:rFonts w:hint="eastAsia" w:ascii="微软雅黑" w:hAnsi="微软雅黑" w:eastAsia="微软雅黑" w:cs="微软雅黑"/>
          <w:szCs w:val="21"/>
        </w:rPr>
        <w:t>彼勒、万可电子、格兰特钻具、青岛庞巴迪、联合汽车电子、嘉吉粮油、采埃孚、德克斯米尔、利洁时中国投资、天津雅马哈、海航集团、中国国际货运航空公司、乔治费歇尔汽车用品、中集集团、上海家化、哈利玛化工等上千家企业。</w:t>
      </w:r>
    </w:p>
    <w:p>
      <w:pPr>
        <w:keepNext w:val="0"/>
        <w:keepLines w:val="0"/>
        <w:pageBreakBefore w:val="0"/>
        <w:widowControl w:val="0"/>
        <w:tabs>
          <w:tab w:val="left" w:pos="0"/>
        </w:tabs>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szCs w:val="21"/>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r>
        <w:rPr>
          <w:rFonts w:hint="eastAsia" w:ascii="微软雅黑" w:hAnsi="微软雅黑" w:eastAsia="微软雅黑" w:cs="微软雅黑"/>
          <w:szCs w:val="21"/>
        </w:rPr>
        <w:t>其中有过内训和咨询的企业有：三一重工，徐工集团，BMW中国，华晨集团，Valmet唯美德, Husqvarna富士华机械, Alcoa美铝中国, 台山核电和中国南车集团。</w:t>
      </w:r>
    </w:p>
    <w:p>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微软雅黑" w:hAnsi="微软雅黑" w:eastAsia="微软雅黑" w:cs="微软雅黑"/>
        <w:color w:val="A6A6A6" w:themeColor="background1" w:themeShade="A6"/>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rPr>
        <w:rFonts w:hint="eastAsia" w:eastAsia="宋体"/>
        <w:lang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F3A94"/>
    <w:multiLevelType w:val="multilevel"/>
    <w:tmpl w:val="780F3A94"/>
    <w:lvl w:ilvl="0" w:tentative="0">
      <w:start w:val="1"/>
      <w:numFmt w:val="bullet"/>
      <w:lvlText w:val=""/>
      <w:lvlJc w:val="left"/>
      <w:pPr>
        <w:ind w:left="630" w:hanging="420"/>
      </w:pPr>
      <w:rPr>
        <w:rFonts w:hint="default" w:ascii="Wingdings" w:hAnsi="Wingdings"/>
      </w:rPr>
    </w:lvl>
    <w:lvl w:ilvl="1" w:tentative="0">
      <w:start w:val="1"/>
      <w:numFmt w:val="bullet"/>
      <w:lvlText w:val=""/>
      <w:lvlJc w:val="left"/>
      <w:pPr>
        <w:ind w:left="1050" w:hanging="420"/>
      </w:pPr>
      <w:rPr>
        <w:rFonts w:hint="default" w:ascii="Wingdings" w:hAnsi="Wingdings"/>
      </w:rPr>
    </w:lvl>
    <w:lvl w:ilvl="2" w:tentative="0">
      <w:start w:val="1"/>
      <w:numFmt w:val="bullet"/>
      <w:lvlText w:val=""/>
      <w:lvlJc w:val="left"/>
      <w:pPr>
        <w:ind w:left="1470" w:hanging="420"/>
      </w:pPr>
      <w:rPr>
        <w:rFonts w:hint="default" w:ascii="Wingdings" w:hAnsi="Wingdings"/>
      </w:rPr>
    </w:lvl>
    <w:lvl w:ilvl="3" w:tentative="0">
      <w:start w:val="1"/>
      <w:numFmt w:val="bullet"/>
      <w:lvlText w:val=""/>
      <w:lvlJc w:val="left"/>
      <w:pPr>
        <w:ind w:left="1890" w:hanging="420"/>
      </w:pPr>
      <w:rPr>
        <w:rFonts w:hint="default" w:ascii="Wingdings" w:hAnsi="Wingdings"/>
      </w:rPr>
    </w:lvl>
    <w:lvl w:ilvl="4" w:tentative="0">
      <w:start w:val="1"/>
      <w:numFmt w:val="bullet"/>
      <w:lvlText w:val=""/>
      <w:lvlJc w:val="left"/>
      <w:pPr>
        <w:ind w:left="2310" w:hanging="420"/>
      </w:pPr>
      <w:rPr>
        <w:rFonts w:hint="default" w:ascii="Wingdings" w:hAnsi="Wingdings"/>
      </w:rPr>
    </w:lvl>
    <w:lvl w:ilvl="5" w:tentative="0">
      <w:start w:val="1"/>
      <w:numFmt w:val="bullet"/>
      <w:lvlText w:val=""/>
      <w:lvlJc w:val="left"/>
      <w:pPr>
        <w:ind w:left="2730" w:hanging="420"/>
      </w:pPr>
      <w:rPr>
        <w:rFonts w:hint="default" w:ascii="Wingdings" w:hAnsi="Wingdings"/>
      </w:rPr>
    </w:lvl>
    <w:lvl w:ilvl="6" w:tentative="0">
      <w:start w:val="1"/>
      <w:numFmt w:val="bullet"/>
      <w:lvlText w:val=""/>
      <w:lvlJc w:val="left"/>
      <w:pPr>
        <w:ind w:left="3150" w:hanging="420"/>
      </w:pPr>
      <w:rPr>
        <w:rFonts w:hint="default" w:ascii="Wingdings" w:hAnsi="Wingdings"/>
      </w:rPr>
    </w:lvl>
    <w:lvl w:ilvl="7" w:tentative="0">
      <w:start w:val="1"/>
      <w:numFmt w:val="bullet"/>
      <w:lvlText w:val=""/>
      <w:lvlJc w:val="left"/>
      <w:pPr>
        <w:ind w:left="3570" w:hanging="420"/>
      </w:pPr>
      <w:rPr>
        <w:rFonts w:hint="default" w:ascii="Wingdings" w:hAnsi="Wingdings"/>
      </w:rPr>
    </w:lvl>
    <w:lvl w:ilvl="8" w:tentative="0">
      <w:start w:val="1"/>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M2RlYTVhN2Y3NDhjYjk4Y2U3ZmVkZGY2MjY2M2QifQ=="/>
  </w:docVars>
  <w:rsids>
    <w:rsidRoot w:val="12532209"/>
    <w:rsid w:val="04E645E8"/>
    <w:rsid w:val="05BA0A51"/>
    <w:rsid w:val="070F6CA3"/>
    <w:rsid w:val="10E91628"/>
    <w:rsid w:val="12532209"/>
    <w:rsid w:val="15F944F4"/>
    <w:rsid w:val="1AF847C5"/>
    <w:rsid w:val="1CDD5EAD"/>
    <w:rsid w:val="1EEC1780"/>
    <w:rsid w:val="1FDB4E8A"/>
    <w:rsid w:val="235A3004"/>
    <w:rsid w:val="244662C7"/>
    <w:rsid w:val="2A9C1216"/>
    <w:rsid w:val="33141748"/>
    <w:rsid w:val="340356C0"/>
    <w:rsid w:val="39EE3F3D"/>
    <w:rsid w:val="3FE76D5D"/>
    <w:rsid w:val="418038F5"/>
    <w:rsid w:val="43694E00"/>
    <w:rsid w:val="4A363026"/>
    <w:rsid w:val="4B9C7588"/>
    <w:rsid w:val="4D402F0C"/>
    <w:rsid w:val="51BA5C7F"/>
    <w:rsid w:val="5509696D"/>
    <w:rsid w:val="55377D46"/>
    <w:rsid w:val="57B40569"/>
    <w:rsid w:val="5C180C4C"/>
    <w:rsid w:val="5FC63CD3"/>
    <w:rsid w:val="60BA2D13"/>
    <w:rsid w:val="64566B02"/>
    <w:rsid w:val="64DF0625"/>
    <w:rsid w:val="65F87BE4"/>
    <w:rsid w:val="69681F0C"/>
    <w:rsid w:val="6ADF12E7"/>
    <w:rsid w:val="6B740E00"/>
    <w:rsid w:val="724A32B7"/>
    <w:rsid w:val="76D83018"/>
    <w:rsid w:val="76ED7D45"/>
    <w:rsid w:val="78EA0CEC"/>
    <w:rsid w:val="79967556"/>
    <w:rsid w:val="7C503F7A"/>
    <w:rsid w:val="7D2C6CBD"/>
    <w:rsid w:val="7D492F29"/>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qFormat/>
    <w:uiPriority w:val="99"/>
  </w:style>
  <w:style w:type="character" w:styleId="12">
    <w:name w:val="Emphasis"/>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qFormat/>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sv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1849</Words>
  <Characters>2207</Characters>
  <Lines>0</Lines>
  <Paragraphs>0</Paragraphs>
  <TotalTime>6</TotalTime>
  <ScaleCrop>false</ScaleCrop>
  <LinksUpToDate>false</LinksUpToDate>
  <CharactersWithSpaces>2346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姜山</cp:lastModifiedBy>
  <dcterms:modified xsi:type="dcterms:W3CDTF">2023-12-05T06:57:47Z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D196F1863A51439186054297F59364DB</vt:lpwstr>
  </property>
</Properties>
</file>