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95" w:afterLines="30" w:line="560" w:lineRule="exact"/>
        <w:jc w:val="center"/>
        <w:textAlignment w:val="auto"/>
        <w:rPr>
          <w:rFonts w:hint="eastAsia" w:ascii="微软雅黑" w:hAnsi="微软雅黑" w:eastAsia="微软雅黑" w:cs="微软雅黑"/>
          <w:b/>
          <w:color w:val="2F5597" w:themeColor="accent5" w:themeShade="BF"/>
          <w:w w:val="95"/>
          <w:sz w:val="44"/>
          <w:szCs w:val="44"/>
          <w:lang w:eastAsia="zh-CN"/>
          <w14:shadow w14:blurRad="50800" w14:dist="38100" w14:dir="0" w14:sx="100000" w14:sy="100000" w14:kx="0" w14:ky="0" w14:algn="l">
            <w14:srgbClr w14:val="000000">
              <w14:alpha w14:val="60000"/>
            </w14:srgbClr>
          </w14:shadow>
          <w14:reflection w14:blurRad="0" w14:stA="0" w14:stPos="0" w14:endA="0" w14:endPos="0" w14:dist="0" w14:dir="0" w14:fadeDir="0" w14:sx="0" w14:sy="0" w14:kx="0" w14:ky="0" w14:algn="none"/>
        </w:rPr>
      </w:pPr>
      <w:bookmarkStart w:id="0" w:name="_GoBack"/>
      <w:bookmarkEnd w:id="0"/>
      <w:r>
        <w:rPr>
          <w:rFonts w:hint="eastAsia" w:ascii="微软雅黑" w:hAnsi="微软雅黑" w:eastAsia="微软雅黑" w:cs="微软雅黑"/>
          <w:b/>
          <w:color w:val="2F5597" w:themeColor="accent5" w:themeShade="BF"/>
          <w:w w:val="95"/>
          <w:sz w:val="44"/>
          <w:szCs w:val="44"/>
          <w:lang w:eastAsia="zh-CN"/>
          <w14:shadow w14:blurRad="50800" w14:dist="38100" w14:dir="0" w14:sx="100000" w14:sy="100000" w14:kx="0" w14:ky="0" w14:algn="l">
            <w14:srgbClr w14:val="000000">
              <w14:alpha w14:val="60000"/>
            </w14:srgbClr>
          </w14:shadow>
          <w14:reflection w14:blurRad="0" w14:stA="0" w14:stPos="0" w14:endA="0" w14:endPos="0" w14:dist="0" w14:dir="0" w14:fadeDir="0" w14:sx="0" w14:sy="0" w14:kx="0" w14:ky="0" w14:algn="none"/>
        </w:rPr>
        <w:t>采购及销售人员必备合同法律知识&amp;风险防控</w:t>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课程安排</w:t>
      </w:r>
    </w:p>
    <w:p>
      <w:pPr>
        <w:keepNext w:val="0"/>
        <w:keepLines w:val="0"/>
        <w:pageBreakBefore w:val="0"/>
        <w:widowControl/>
        <w:kinsoku/>
        <w:wordWrap/>
        <w:overflowPunct/>
        <w:topLinePunct w:val="0"/>
        <w:autoSpaceDE/>
        <w:autoSpaceDN/>
        <w:bidi w:val="0"/>
        <w:adjustRightInd/>
        <w:snapToGrid/>
        <w:spacing w:after="157" w:afterLines="50" w:line="360" w:lineRule="exact"/>
        <w:jc w:val="left"/>
        <w:textAlignment w:val="auto"/>
        <w:rPr>
          <w:rFonts w:hint="eastAsia"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b w:val="0"/>
          <w:bCs w:val="0"/>
          <w:color w:val="000000"/>
          <w:sz w:val="21"/>
          <w:szCs w:val="21"/>
        </w:rPr>
        <w:t>202</w:t>
      </w:r>
      <w:r>
        <w:rPr>
          <w:rFonts w:hint="eastAsia" w:ascii="微软雅黑" w:hAnsi="微软雅黑" w:eastAsia="微软雅黑" w:cs="微软雅黑"/>
          <w:b w:val="0"/>
          <w:bCs w:val="0"/>
          <w:color w:val="000000"/>
          <w:sz w:val="21"/>
          <w:szCs w:val="21"/>
          <w:lang w:val="en-US" w:eastAsia="zh-CN"/>
        </w:rPr>
        <w:t>4</w:t>
      </w:r>
      <w:r>
        <w:rPr>
          <w:rFonts w:hint="eastAsia" w:ascii="微软雅黑" w:hAnsi="微软雅黑" w:eastAsia="微软雅黑" w:cs="微软雅黑"/>
          <w:b w:val="0"/>
          <w:bCs w:val="0"/>
          <w:color w:val="000000"/>
          <w:sz w:val="21"/>
          <w:szCs w:val="21"/>
        </w:rPr>
        <w:t>年0</w:t>
      </w:r>
      <w:r>
        <w:rPr>
          <w:rFonts w:hint="eastAsia" w:ascii="微软雅黑" w:hAnsi="微软雅黑" w:eastAsia="微软雅黑" w:cs="微软雅黑"/>
          <w:b w:val="0"/>
          <w:bCs w:val="0"/>
          <w:color w:val="000000"/>
          <w:sz w:val="21"/>
          <w:szCs w:val="21"/>
          <w:lang w:val="en-US" w:eastAsia="zh-CN"/>
        </w:rPr>
        <w:t>3</w:t>
      </w:r>
      <w:r>
        <w:rPr>
          <w:rFonts w:hint="eastAsia" w:ascii="微软雅黑" w:hAnsi="微软雅黑" w:eastAsia="微软雅黑" w:cs="微软雅黑"/>
          <w:b w:val="0"/>
          <w:bCs w:val="0"/>
          <w:color w:val="000000"/>
          <w:sz w:val="21"/>
          <w:szCs w:val="21"/>
        </w:rPr>
        <w:t>月</w:t>
      </w:r>
      <w:r>
        <w:rPr>
          <w:rFonts w:hint="eastAsia" w:ascii="微软雅黑" w:hAnsi="微软雅黑" w:eastAsia="微软雅黑" w:cs="微软雅黑"/>
          <w:b w:val="0"/>
          <w:bCs w:val="0"/>
          <w:color w:val="000000"/>
          <w:sz w:val="21"/>
          <w:szCs w:val="21"/>
          <w:lang w:val="en-US" w:eastAsia="zh-CN"/>
        </w:rPr>
        <w:t>15</w:t>
      </w:r>
      <w:r>
        <w:rPr>
          <w:rFonts w:hint="eastAsia" w:ascii="微软雅黑" w:hAnsi="微软雅黑" w:eastAsia="微软雅黑" w:cs="微软雅黑"/>
          <w:b w:val="0"/>
          <w:bCs w:val="0"/>
          <w:color w:val="000000"/>
          <w:sz w:val="21"/>
          <w:szCs w:val="21"/>
        </w:rPr>
        <w:t>-</w:t>
      </w:r>
      <w:r>
        <w:rPr>
          <w:rFonts w:hint="eastAsia" w:ascii="微软雅黑" w:hAnsi="微软雅黑" w:eastAsia="微软雅黑" w:cs="微软雅黑"/>
          <w:b w:val="0"/>
          <w:bCs w:val="0"/>
          <w:color w:val="000000"/>
          <w:sz w:val="21"/>
          <w:szCs w:val="21"/>
          <w:lang w:val="en-US" w:eastAsia="zh-CN"/>
        </w:rPr>
        <w:t>16日</w:t>
      </w:r>
      <w:r>
        <w:rPr>
          <w:rFonts w:hint="eastAsia" w:ascii="微软雅黑" w:hAnsi="微软雅黑" w:eastAsia="微软雅黑" w:cs="微软雅黑"/>
          <w:b w:val="0"/>
          <w:bCs w:val="0"/>
          <w:color w:val="000000"/>
          <w:sz w:val="21"/>
          <w:szCs w:val="21"/>
        </w:rPr>
        <w:t xml:space="preserve"> 上海 </w:t>
      </w:r>
      <w:r>
        <w:rPr>
          <w:rFonts w:hint="eastAsia" w:ascii="微软雅黑" w:hAnsi="微软雅黑" w:eastAsia="微软雅黑" w:cs="微软雅黑"/>
          <w:b w:val="0"/>
          <w:bCs w:val="0"/>
          <w:color w:val="000000"/>
          <w:sz w:val="21"/>
          <w:szCs w:val="21"/>
          <w:lang w:val="en-US" w:eastAsia="zh-CN"/>
        </w:rPr>
        <w:t xml:space="preserve">      </w:t>
      </w:r>
      <w:r>
        <w:rPr>
          <w:rFonts w:hint="eastAsia" w:ascii="微软雅黑" w:hAnsi="微软雅黑" w:eastAsia="微软雅黑" w:cs="微软雅黑"/>
          <w:b w:val="0"/>
          <w:bCs w:val="0"/>
          <w:color w:val="000000"/>
          <w:sz w:val="21"/>
          <w:szCs w:val="21"/>
        </w:rPr>
        <w:t>202</w:t>
      </w:r>
      <w:r>
        <w:rPr>
          <w:rFonts w:hint="eastAsia" w:ascii="微软雅黑" w:hAnsi="微软雅黑" w:eastAsia="微软雅黑" w:cs="微软雅黑"/>
          <w:b w:val="0"/>
          <w:bCs w:val="0"/>
          <w:color w:val="000000"/>
          <w:sz w:val="21"/>
          <w:szCs w:val="21"/>
          <w:lang w:val="en-US" w:eastAsia="zh-CN"/>
        </w:rPr>
        <w:t>4</w:t>
      </w:r>
      <w:r>
        <w:rPr>
          <w:rFonts w:hint="eastAsia" w:ascii="微软雅黑" w:hAnsi="微软雅黑" w:eastAsia="微软雅黑" w:cs="微软雅黑"/>
          <w:b w:val="0"/>
          <w:bCs w:val="0"/>
          <w:color w:val="000000"/>
          <w:sz w:val="21"/>
          <w:szCs w:val="21"/>
        </w:rPr>
        <w:t>年</w:t>
      </w:r>
      <w:r>
        <w:rPr>
          <w:rFonts w:hint="eastAsia" w:ascii="微软雅黑" w:hAnsi="微软雅黑" w:eastAsia="微软雅黑" w:cs="微软雅黑"/>
          <w:b w:val="0"/>
          <w:bCs w:val="0"/>
          <w:color w:val="000000"/>
          <w:sz w:val="21"/>
          <w:szCs w:val="21"/>
          <w:lang w:val="en-US" w:eastAsia="zh-CN"/>
        </w:rPr>
        <w:t>04</w:t>
      </w:r>
      <w:r>
        <w:rPr>
          <w:rFonts w:hint="eastAsia" w:ascii="微软雅黑" w:hAnsi="微软雅黑" w:eastAsia="微软雅黑" w:cs="微软雅黑"/>
          <w:b w:val="0"/>
          <w:bCs w:val="0"/>
          <w:color w:val="000000"/>
          <w:sz w:val="21"/>
          <w:szCs w:val="21"/>
        </w:rPr>
        <w:t>月</w:t>
      </w:r>
      <w:r>
        <w:rPr>
          <w:rFonts w:hint="eastAsia" w:ascii="微软雅黑" w:hAnsi="微软雅黑" w:eastAsia="微软雅黑" w:cs="微软雅黑"/>
          <w:b w:val="0"/>
          <w:bCs w:val="0"/>
          <w:color w:val="000000"/>
          <w:sz w:val="21"/>
          <w:szCs w:val="21"/>
          <w:lang w:val="en-US" w:eastAsia="zh-CN"/>
        </w:rPr>
        <w:t>20</w:t>
      </w:r>
      <w:r>
        <w:rPr>
          <w:rFonts w:hint="eastAsia" w:ascii="微软雅黑" w:hAnsi="微软雅黑" w:eastAsia="微软雅黑" w:cs="微软雅黑"/>
          <w:b w:val="0"/>
          <w:bCs w:val="0"/>
          <w:color w:val="000000"/>
          <w:sz w:val="21"/>
          <w:szCs w:val="21"/>
        </w:rPr>
        <w:t>-</w:t>
      </w:r>
      <w:r>
        <w:rPr>
          <w:rFonts w:hint="eastAsia" w:ascii="微软雅黑" w:hAnsi="微软雅黑" w:eastAsia="微软雅黑" w:cs="微软雅黑"/>
          <w:b w:val="0"/>
          <w:bCs w:val="0"/>
          <w:color w:val="000000"/>
          <w:sz w:val="21"/>
          <w:szCs w:val="21"/>
          <w:lang w:val="en-US" w:eastAsia="zh-CN"/>
        </w:rPr>
        <w:t>21日</w:t>
      </w:r>
      <w:r>
        <w:rPr>
          <w:rFonts w:hint="eastAsia" w:ascii="微软雅黑" w:hAnsi="微软雅黑" w:eastAsia="微软雅黑" w:cs="微软雅黑"/>
          <w:b w:val="0"/>
          <w:bCs w:val="0"/>
          <w:color w:val="000000"/>
          <w:sz w:val="21"/>
          <w:szCs w:val="21"/>
        </w:rPr>
        <w:t xml:space="preserve"> 北京</w:t>
      </w:r>
      <w:r>
        <w:rPr>
          <w:rFonts w:hint="eastAsia" w:ascii="微软雅黑" w:hAnsi="微软雅黑" w:eastAsia="微软雅黑" w:cs="微软雅黑"/>
          <w:b w:val="0"/>
          <w:bCs w:val="0"/>
          <w:color w:val="000000"/>
          <w:sz w:val="21"/>
          <w:szCs w:val="21"/>
          <w:lang w:val="en-US" w:eastAsia="zh-CN"/>
        </w:rPr>
        <w:t xml:space="preserve">       </w:t>
      </w:r>
      <w:r>
        <w:rPr>
          <w:rFonts w:hint="eastAsia" w:ascii="微软雅黑" w:hAnsi="微软雅黑" w:eastAsia="微软雅黑" w:cs="微软雅黑"/>
          <w:b w:val="0"/>
          <w:bCs w:val="0"/>
          <w:color w:val="000000"/>
          <w:sz w:val="21"/>
          <w:szCs w:val="21"/>
        </w:rPr>
        <w:t>202</w:t>
      </w:r>
      <w:r>
        <w:rPr>
          <w:rFonts w:hint="eastAsia" w:ascii="微软雅黑" w:hAnsi="微软雅黑" w:eastAsia="微软雅黑" w:cs="微软雅黑"/>
          <w:b w:val="0"/>
          <w:bCs w:val="0"/>
          <w:color w:val="000000"/>
          <w:sz w:val="21"/>
          <w:szCs w:val="21"/>
          <w:lang w:val="en-US" w:eastAsia="zh-CN"/>
        </w:rPr>
        <w:t>4</w:t>
      </w:r>
      <w:r>
        <w:rPr>
          <w:rFonts w:hint="eastAsia" w:ascii="微软雅黑" w:hAnsi="微软雅黑" w:eastAsia="微软雅黑" w:cs="微软雅黑"/>
          <w:b w:val="0"/>
          <w:bCs w:val="0"/>
          <w:color w:val="000000"/>
          <w:sz w:val="21"/>
          <w:szCs w:val="21"/>
        </w:rPr>
        <w:t>年</w:t>
      </w:r>
      <w:r>
        <w:rPr>
          <w:rFonts w:hint="eastAsia" w:ascii="微软雅黑" w:hAnsi="微软雅黑" w:eastAsia="微软雅黑" w:cs="微软雅黑"/>
          <w:b w:val="0"/>
          <w:bCs w:val="0"/>
          <w:color w:val="000000"/>
          <w:sz w:val="21"/>
          <w:szCs w:val="21"/>
          <w:lang w:val="en-US" w:eastAsia="zh-CN"/>
        </w:rPr>
        <w:t>09月06-07日 上海</w:t>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default"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课程费用</w:t>
      </w:r>
    </w:p>
    <w:p>
      <w:pPr>
        <w:keepNext w:val="0"/>
        <w:keepLines w:val="0"/>
        <w:pageBreakBefore w:val="0"/>
        <w:widowControl w:val="0"/>
        <w:kinsoku/>
        <w:wordWrap/>
        <w:overflowPunct/>
        <w:topLinePunct w:val="0"/>
        <w:autoSpaceDE/>
        <w:autoSpaceDN/>
        <w:bidi w:val="0"/>
        <w:adjustRightInd/>
        <w:snapToGrid/>
        <w:spacing w:after="157" w:afterLines="50" w:line="360" w:lineRule="exact"/>
        <w:ind w:left="8" w:leftChars="4" w:right="166" w:rightChars="79"/>
        <w:textAlignment w:val="auto"/>
        <w:rPr>
          <w:rFonts w:hint="eastAsia" w:ascii="微软雅黑" w:hAnsi="微软雅黑" w:eastAsia="微软雅黑" w:cs="微软雅黑"/>
          <w:b w:val="0"/>
          <w:bCs w:val="0"/>
          <w:color w:val="000000"/>
          <w:szCs w:val="21"/>
        </w:rPr>
      </w:pPr>
      <w:r>
        <w:rPr>
          <w:rFonts w:hint="eastAsia" w:ascii="微软雅黑" w:hAnsi="微软雅黑" w:eastAsia="微软雅黑" w:cs="微软雅黑"/>
          <w:b w:val="0"/>
          <w:bCs w:val="0"/>
          <w:color w:val="000000"/>
          <w:szCs w:val="21"/>
        </w:rPr>
        <w:t>￥</w:t>
      </w:r>
      <w:r>
        <w:rPr>
          <w:rFonts w:hint="eastAsia" w:ascii="微软雅黑" w:hAnsi="微软雅黑" w:eastAsia="微软雅黑" w:cs="微软雅黑"/>
          <w:b w:val="0"/>
          <w:bCs w:val="0"/>
          <w:color w:val="000000"/>
          <w:szCs w:val="21"/>
          <w:lang w:val="en-US" w:eastAsia="zh-CN"/>
        </w:rPr>
        <w:t>4,5</w:t>
      </w:r>
      <w:r>
        <w:rPr>
          <w:rFonts w:hint="eastAsia" w:ascii="微软雅黑" w:hAnsi="微软雅黑" w:eastAsia="微软雅黑" w:cs="微软雅黑"/>
          <w:b w:val="0"/>
          <w:bCs w:val="0"/>
          <w:color w:val="000000"/>
          <w:szCs w:val="21"/>
        </w:rPr>
        <w:t>00/人（</w:t>
      </w:r>
      <w:r>
        <w:rPr>
          <w:rFonts w:hint="eastAsia" w:ascii="微软雅黑" w:hAnsi="微软雅黑" w:eastAsia="微软雅黑" w:cs="微软雅黑"/>
          <w:b w:val="0"/>
          <w:bCs w:val="0"/>
          <w:color w:val="000000"/>
          <w:kern w:val="2"/>
        </w:rPr>
        <w:t>含授课费、证书费、资料费、午餐费、茶点费、会务费、税费</w:t>
      </w:r>
      <w:r>
        <w:rPr>
          <w:rFonts w:hint="eastAsia" w:ascii="微软雅黑" w:hAnsi="微软雅黑" w:eastAsia="微软雅黑" w:cs="微软雅黑"/>
          <w:b w:val="0"/>
          <w:bCs w:val="0"/>
          <w:color w:val="000000"/>
          <w:szCs w:val="21"/>
        </w:rPr>
        <w:t>）</w:t>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sectPr>
          <w:headerReference r:id="rId3" w:type="default"/>
          <w:footerReference r:id="rId4" w:type="default"/>
          <w:type w:val="continuous"/>
          <w:pgSz w:w="11906" w:h="16838"/>
          <w:pgMar w:top="0" w:right="1080" w:bottom="0" w:left="1080" w:header="567" w:footer="0" w:gutter="0"/>
          <w:pgBorders>
            <w:top w:val="none" w:sz="0" w:space="0"/>
            <w:left w:val="none" w:sz="0" w:space="0"/>
            <w:bottom w:val="none" w:sz="0" w:space="0"/>
            <w:right w:val="none" w:sz="0" w:space="0"/>
          </w:pgBorders>
          <w:pgNumType w:fmt="decimal"/>
          <w:cols w:space="425" w:num="1"/>
          <w:formProt w:val="0"/>
          <w:docGrid w:type="lines" w:linePitch="312" w:charSpace="0"/>
        </w:sect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课程背景</w:t>
      </w:r>
    </w:p>
    <w:p>
      <w:pPr>
        <w:keepNext w:val="0"/>
        <w:keepLines w:val="0"/>
        <w:pageBreakBefore w:val="0"/>
        <w:widowControl w:val="0"/>
        <w:tabs>
          <w:tab w:val="left" w:pos="0"/>
          <w:tab w:val="left" w:pos="360"/>
        </w:tabs>
        <w:kinsoku/>
        <w:wordWrap/>
        <w:overflowPunct/>
        <w:topLinePunct w:val="0"/>
        <w:autoSpaceDE/>
        <w:autoSpaceDN/>
        <w:bidi w:val="0"/>
        <w:adjustRightInd/>
        <w:snapToGrid/>
        <w:spacing w:after="157" w:afterLines="50" w:line="360" w:lineRule="exact"/>
        <w:ind w:right="105" w:rightChars="50"/>
        <w:textAlignment w:val="auto"/>
        <w:rPr>
          <w:rFonts w:hint="eastAsia" w:ascii="微软雅黑" w:hAnsi="微软雅黑" w:eastAsia="微软雅黑" w:cs="微软雅黑"/>
          <w:kern w:val="0"/>
          <w:szCs w:val="21"/>
        </w:rPr>
      </w:pPr>
      <w:r>
        <w:rPr>
          <w:rFonts w:hint="eastAsia" w:ascii="微软雅黑" w:hAnsi="微软雅黑" w:eastAsia="微软雅黑" w:cs="微软雅黑"/>
          <w:kern w:val="0"/>
          <w:szCs w:val="21"/>
        </w:rPr>
        <w:t>企业经营与合同密不可分，几乎每天都要签署各种合同、协议，然而很多企业在合同签订中的风险防范意识和能力较低，内部合同管理制度的也存在漏洞，发生合同纠纷的几率居高不下。但由于在合同签订中没有把握先机，出现纠纷后一旦涉及法律程序就陷入被动，有苦难言。而这样局面，完全可以通过在合同订立中通过合理、充分的风险评估和预防措施来避免。本课程中，宋老师将利用自身丰富的合同法律实战经验，结合大量生动典型的案例，使学员分认识到其日常商务作业中潜伏的法律风险，了解必要的法律知识并在实际工作中做到活学活用，结合不同经济合同类型介绍谈判技巧、合同管理流程、合同供应商评估及管理等知识。</w:t>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课程对象</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eastAsia" w:ascii="微软雅黑" w:hAnsi="微软雅黑" w:eastAsia="微软雅黑" w:cs="微软雅黑"/>
          <w:kern w:val="0"/>
          <w:szCs w:val="21"/>
        </w:rPr>
      </w:pPr>
      <w:r>
        <w:rPr>
          <w:rFonts w:hint="eastAsia" w:ascii="微软雅黑" w:hAnsi="微软雅黑" w:eastAsia="微软雅黑" w:cs="微软雅黑"/>
          <w:kern w:val="0"/>
          <w:szCs w:val="21"/>
        </w:rPr>
        <w:t>企业总经理、销售总监/经理、采购总监/经理、法务总监/经理、合同（财务）主管等</w:t>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课程收益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 xml:space="preserve">商务人员必备的法律工具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如何有效进行合同管理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 xml:space="preserve">合同管理的流程与重要性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合同陷阱的识别与风险的防范</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 xml:space="preserve">商务合同纠纷的处理与对应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常见商务合同的合同管理的难点及重点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 xml:space="preserve">通过案例了解世界级企业合同管理运作模式         </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掌握绩效的管理方法</w:t>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default"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授课特色</w:t>
      </w:r>
    </w:p>
    <w:p>
      <w:pPr>
        <w:keepNext w:val="0"/>
        <w:keepLines w:val="0"/>
        <w:pageBreakBefore w:val="0"/>
        <w:widowControl w:val="0"/>
        <w:kinsoku/>
        <w:wordWrap/>
        <w:overflowPunct/>
        <w:topLinePunct w:val="0"/>
        <w:autoSpaceDE/>
        <w:autoSpaceDN/>
        <w:bidi w:val="0"/>
        <w:adjustRightInd/>
        <w:snapToGrid/>
        <w:spacing w:after="157" w:afterLines="50" w:line="360" w:lineRule="exact"/>
        <w:ind w:left="0" w:leftChars="0"/>
        <w:textAlignment w:val="auto"/>
        <w:rPr>
          <w:rFonts w:hint="eastAsia" w:ascii="微软雅黑" w:hAnsi="微软雅黑" w:eastAsia="微软雅黑" w:cs="微软雅黑"/>
          <w:iCs/>
          <w:color w:val="000000"/>
        </w:rPr>
      </w:pPr>
      <w:r>
        <w:rPr>
          <w:rFonts w:hint="eastAsia" w:ascii="微软雅黑" w:hAnsi="微软雅黑" w:eastAsia="微软雅黑" w:cs="微软雅黑"/>
          <w:iCs/>
          <w:color w:val="000000"/>
        </w:rPr>
        <w:t>丰富的世界500强公司的国际采购实践经验；对采购案例的深入研究使得培训课程有很强的针对性和实践指导性；卓越的领导力和先进的方法论让学员在学习知识的同时得到整体的提升。</w:t>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default"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授课方式</w:t>
      </w:r>
    </w:p>
    <w:p>
      <w:pPr>
        <w:keepNext w:val="0"/>
        <w:keepLines w:val="0"/>
        <w:pageBreakBefore w:val="0"/>
        <w:widowControl w:val="0"/>
        <w:tabs>
          <w:tab w:val="left" w:pos="807"/>
        </w:tabs>
        <w:kinsoku/>
        <w:wordWrap/>
        <w:overflowPunct/>
        <w:topLinePunct w:val="0"/>
        <w:autoSpaceDE/>
        <w:autoSpaceDN/>
        <w:bidi w:val="0"/>
        <w:adjustRightInd/>
        <w:snapToGrid/>
        <w:spacing w:after="157" w:afterLines="50" w:line="360" w:lineRule="exact"/>
        <w:textAlignment w:val="auto"/>
        <w:rPr>
          <w:rFonts w:hint="eastAsia"/>
          <w:lang w:val="en-US" w:eastAsia="zh-CN"/>
        </w:rPr>
      </w:pPr>
      <w:r>
        <w:rPr>
          <w:rFonts w:hint="eastAsia" w:ascii="微软雅黑" w:hAnsi="微软雅黑" w:eastAsia="微软雅黑" w:cs="微软雅黑"/>
          <w:szCs w:val="21"/>
        </w:rPr>
        <w:t>案例研讨、角色扮演、视频学习、关键启发、顾问讲解、提问互动、经验分享</w:t>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课程大纲</w:t>
      </w: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2" w:leftChars="-1"/>
        <w:textAlignment w:val="auto"/>
        <w:rPr>
          <w:rFonts w:hint="eastAsia" w:ascii="微软雅黑" w:hAnsi="微软雅黑" w:eastAsia="微软雅黑" w:cs="微软雅黑"/>
          <w:b/>
          <w:color w:val="000000" w:themeColor="text1"/>
          <w:szCs w:val="21"/>
          <w:shd w:val="clear" w:color="auto" w:fill="FFFFFF"/>
          <w14:textFill>
            <w14:solidFill>
              <w14:schemeClr w14:val="tx1"/>
            </w14:solidFill>
          </w14:textFill>
        </w:rPr>
      </w:pPr>
      <w:r>
        <w:rPr>
          <w:rFonts w:hint="eastAsia" w:ascii="微软雅黑" w:hAnsi="微软雅黑" w:eastAsia="微软雅黑" w:cs="微软雅黑"/>
          <w:b/>
          <w:bCs/>
          <w:color w:val="000000"/>
          <w:szCs w:val="21"/>
          <w:shd w:val="clear" w:color="auto" w:fill="FFFFFF"/>
        </w:rPr>
        <w:t>序言部分 合同法概述</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jc w:val="left"/>
        <w:textAlignment w:val="auto"/>
        <w:rPr>
          <w:rFonts w:hint="eastAsia" w:ascii="微软雅黑" w:hAnsi="微软雅黑" w:eastAsia="微软雅黑" w:cs="微软雅黑"/>
          <w:b w:val="0"/>
          <w:bCs/>
          <w:color w:val="000000" w:themeColor="text1"/>
          <w:szCs w:val="21"/>
          <w:shd w:val="clear" w:color="auto" w:fill="FFFFFF"/>
          <w14:textFill>
            <w14:solidFill>
              <w14:schemeClr w14:val="tx1"/>
            </w14:solidFill>
          </w14:textFill>
        </w:rPr>
      </w:pPr>
      <w:r>
        <w:rPr>
          <w:rFonts w:hint="eastAsia" w:ascii="微软雅黑" w:hAnsi="微软雅黑" w:eastAsia="微软雅黑" w:cs="微软雅黑"/>
          <w:b w:val="0"/>
          <w:bCs/>
          <w:color w:val="000000" w:themeColor="text1"/>
          <w:szCs w:val="21"/>
          <w:shd w:val="clear" w:color="auto" w:fill="FFFFFF"/>
          <w14:textFill>
            <w14:solidFill>
              <w14:schemeClr w14:val="tx1"/>
            </w14:solidFill>
          </w14:textFill>
        </w:rPr>
        <w:t>第一部分 合同的基本原理</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jc w:val="left"/>
        <w:textAlignment w:val="auto"/>
        <w:rPr>
          <w:rFonts w:hint="eastAsia" w:ascii="微软雅黑" w:hAnsi="微软雅黑" w:eastAsia="微软雅黑" w:cs="微软雅黑"/>
          <w:b w:val="0"/>
          <w:bCs/>
          <w:color w:val="000000" w:themeColor="text1"/>
          <w:szCs w:val="21"/>
          <w:shd w:val="clear" w:color="auto" w:fill="FFFFFF"/>
          <w14:textFill>
            <w14:solidFill>
              <w14:schemeClr w14:val="tx1"/>
            </w14:solidFill>
          </w14:textFill>
        </w:rPr>
      </w:pPr>
      <w:r>
        <w:rPr>
          <w:rFonts w:hint="eastAsia" w:ascii="微软雅黑" w:hAnsi="微软雅黑" w:eastAsia="微软雅黑" w:cs="微软雅黑"/>
          <w:b w:val="0"/>
          <w:bCs/>
          <w:color w:val="000000" w:themeColor="text1"/>
          <w:szCs w:val="21"/>
          <w:shd w:val="clear" w:color="auto" w:fill="FFFFFF"/>
          <w14:textFill>
            <w14:solidFill>
              <w14:schemeClr w14:val="tx1"/>
            </w14:solidFill>
          </w14:textFill>
        </w:rPr>
        <w:t>第二部分 采购合同风险防范及实务</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jc w:val="left"/>
        <w:textAlignment w:val="auto"/>
        <w:rPr>
          <w:rFonts w:hint="eastAsia" w:ascii="微软雅黑" w:hAnsi="微软雅黑" w:eastAsia="微软雅黑" w:cs="微软雅黑"/>
          <w:b w:val="0"/>
          <w:bCs/>
          <w:color w:val="000000" w:themeColor="text1"/>
          <w:szCs w:val="21"/>
          <w:shd w:val="clear" w:color="auto" w:fill="FFFFFF"/>
          <w14:textFill>
            <w14:solidFill>
              <w14:schemeClr w14:val="tx1"/>
            </w14:solidFill>
          </w14:textFill>
        </w:rPr>
      </w:pPr>
      <w:r>
        <w:rPr>
          <w:rFonts w:hint="eastAsia" w:ascii="微软雅黑" w:hAnsi="微软雅黑" w:eastAsia="微软雅黑" w:cs="微软雅黑"/>
          <w:b w:val="0"/>
          <w:bCs/>
          <w:color w:val="000000" w:themeColor="text1"/>
          <w:szCs w:val="21"/>
          <w:shd w:val="clear" w:color="auto" w:fill="FFFFFF"/>
          <w14:textFill>
            <w14:solidFill>
              <w14:schemeClr w14:val="tx1"/>
            </w14:solidFill>
          </w14:textFill>
        </w:rPr>
        <w:t>第三部分 答疑与互动环节</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合同法的历史沿革</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合同法的结构</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合同法的基本原则</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合同法的适用范围</w:t>
      </w:r>
    </w:p>
    <w:p>
      <w:pPr>
        <w:keepNext w:val="0"/>
        <w:keepLines w:val="0"/>
        <w:pageBreakBefore w:val="0"/>
        <w:widowControl w:val="0"/>
        <w:kinsoku/>
        <w:wordWrap/>
        <w:overflowPunct/>
        <w:topLinePunct w:val="0"/>
        <w:autoSpaceDE/>
        <w:autoSpaceDN/>
        <w:bidi w:val="0"/>
        <w:adjustRightInd/>
        <w:snapToGrid/>
        <w:spacing w:before="157" w:beforeLines="50" w:line="500" w:lineRule="exact"/>
        <w:ind w:left="0" w:leftChars="0"/>
        <w:textAlignment w:val="auto"/>
        <w:rPr>
          <w:rFonts w:hint="eastAsia" w:ascii="微软雅黑" w:hAnsi="微软雅黑" w:eastAsia="微软雅黑" w:cs="微软雅黑"/>
          <w:b/>
          <w:bCs/>
          <w:sz w:val="24"/>
          <w:szCs w:val="24"/>
          <w:u w:val="none"/>
        </w:rPr>
      </w:pPr>
      <w:r>
        <w:rPr>
          <w:rFonts w:hint="eastAsia" w:ascii="微软雅黑" w:hAnsi="微软雅黑" w:eastAsia="微软雅黑" w:cs="微软雅黑"/>
          <w:b/>
          <w:bCs/>
          <w:sz w:val="24"/>
          <w:szCs w:val="24"/>
          <w:u w:val="none"/>
        </w:rPr>
        <w:drawing>
          <wp:anchor distT="0" distB="0" distL="114300" distR="114300" simplePos="0" relativeHeight="251661312" behindDoc="0" locked="0" layoutInCell="1" allowOverlap="1">
            <wp:simplePos x="0" y="0"/>
            <wp:positionH relativeFrom="column">
              <wp:posOffset>-9525</wp:posOffset>
            </wp:positionH>
            <wp:positionV relativeFrom="paragraph">
              <wp:posOffset>128905</wp:posOffset>
            </wp:positionV>
            <wp:extent cx="316865" cy="271145"/>
            <wp:effectExtent l="0" t="0" r="6985" b="15240"/>
            <wp:wrapSquare wrapText="bothSides"/>
            <wp:docPr id="1" name="图片 1" descr="303b32303031303331383bcae9bc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03b32303031303331383bcae9bcae"/>
                    <pic:cNvPicPr>
                      <a:picLocks noChangeAspect="1"/>
                    </pic:cNvPicPr>
                  </pic:nvPicPr>
                  <pic:blipFill>
                    <a:blip r:embed="rId6">
                      <a:extLst>
                        <a:ext uri="{96DAC541-7B7A-43D3-8B79-37D633B846F1}">
                          <asvg:svgBlip xmlns:asvg="http://schemas.microsoft.com/office/drawing/2016/SVG/main" r:embed="rId7"/>
                        </a:ext>
                      </a:extLst>
                    </a:blip>
                    <a:srcRect l="12500" t="15625" r="8333" b="16667"/>
                    <a:stretch>
                      <a:fillRect/>
                    </a:stretch>
                  </pic:blipFill>
                  <pic:spPr>
                    <a:xfrm>
                      <a:off x="0" y="0"/>
                      <a:ext cx="316865" cy="271145"/>
                    </a:xfrm>
                    <a:prstGeom prst="rect">
                      <a:avLst/>
                    </a:prstGeom>
                  </pic:spPr>
                </pic:pic>
              </a:graphicData>
            </a:graphic>
          </wp:anchor>
        </w:drawing>
      </w:r>
      <w:r>
        <w:rPr>
          <w:rFonts w:hint="eastAsia" w:ascii="微软雅黑" w:hAnsi="微软雅黑" w:eastAsia="微软雅黑" w:cs="微软雅黑"/>
          <w:b/>
          <w:bCs/>
          <w:sz w:val="24"/>
          <w:szCs w:val="24"/>
          <w:u w:val="none"/>
        </w:rPr>
        <w:t>第一部分 合同的基本原理</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jc w:val="left"/>
        <w:textAlignment w:val="auto"/>
        <w:rPr>
          <w:rFonts w:hint="eastAsia" w:ascii="微软雅黑" w:hAnsi="微软雅黑" w:eastAsia="微软雅黑" w:cs="微软雅黑"/>
          <w:b/>
          <w:color w:val="000000" w:themeColor="text1"/>
          <w:szCs w:val="21"/>
          <w:shd w:val="clear" w:color="auto" w:fill="FFFFFF"/>
          <w14:textFill>
            <w14:solidFill>
              <w14:schemeClr w14:val="tx1"/>
            </w14:solidFill>
          </w14:textFill>
        </w:rPr>
      </w:pPr>
      <w:r>
        <w:rPr>
          <w:sz w:val="21"/>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22225</wp:posOffset>
                </wp:positionV>
                <wp:extent cx="62865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286500" cy="0"/>
                        </a:xfrm>
                        <a:prstGeom prst="line">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pt;margin-top:1.75pt;height:0pt;width:495pt;z-index:251659264;mso-width-relative:page;mso-height-relative:page;" filled="f" stroked="t" coordsize="21600,21600" o:gfxdata="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fXqfedQAAAAGAQAADwAAAAAAAAABACAAAAAiAAAA&#10;ZHJzL2Rvd25yZXYueG1sUEsBAhQAFAAAAAgAh07iQIVjt1N9AgAAugUAAA4AAAAAAAAAAQAgAAAA&#10;IwEAAGRycy9lMm9Eb2MueG1sUEsFBgAAAAAGAAYAWQEAABIGAAAAAA==&#10;">
                <v:fill on="f" focussize="0,0"/>
                <v:stroke weight="0.5pt" color="#000000" miterlimit="8" joinstyle="miter"/>
                <v:imagedata o:title=""/>
                <o:lock v:ext="edit" aspectratio="f"/>
              </v:line>
            </w:pict>
          </mc:Fallback>
        </mc:AlternateContent>
      </w:r>
      <w:r>
        <w:rPr>
          <w:rFonts w:hint="eastAsia" w:ascii="微软雅黑" w:hAnsi="微软雅黑" w:eastAsia="微软雅黑" w:cs="微软雅黑"/>
          <w:b/>
          <w:color w:val="000000" w:themeColor="text1"/>
          <w:szCs w:val="21"/>
          <w:shd w:val="clear" w:color="auto" w:fill="FFFFFF"/>
          <w14:textFill>
            <w14:solidFill>
              <w14:schemeClr w14:val="tx1"/>
            </w14:solidFill>
          </w14:textFill>
        </w:rPr>
        <w:t>一、合同的概念</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jc w:val="left"/>
        <w:textAlignment w:val="auto"/>
        <w:rPr>
          <w:rFonts w:hint="eastAsia" w:ascii="微软雅黑" w:hAnsi="微软雅黑" w:eastAsia="微软雅黑" w:cs="微软雅黑"/>
          <w:b/>
          <w:color w:val="000000" w:themeColor="text1"/>
          <w:szCs w:val="21"/>
          <w:shd w:val="clear" w:color="auto" w:fill="FFFFFF"/>
          <w14:textFill>
            <w14:solidFill>
              <w14:schemeClr w14:val="tx1"/>
            </w14:solidFill>
          </w14:textFill>
        </w:rPr>
      </w:pPr>
      <w:r>
        <w:rPr>
          <w:rFonts w:hint="eastAsia" w:ascii="微软雅黑" w:hAnsi="微软雅黑" w:eastAsia="微软雅黑" w:cs="微软雅黑"/>
          <w:b/>
          <w:color w:val="000000" w:themeColor="text1"/>
          <w:szCs w:val="21"/>
          <w:shd w:val="clear" w:color="auto" w:fill="FFFFFF"/>
          <w14:textFill>
            <w14:solidFill>
              <w14:schemeClr w14:val="tx1"/>
            </w14:solidFill>
          </w14:textFill>
        </w:rPr>
        <w:t>二、合同的订立</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要约</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承诺</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特殊的合同订立方式</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合同的主要条款</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合同的八大主要条款</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合同条款的补充规则</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合同条款的解释</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jc w:val="left"/>
        <w:textAlignment w:val="auto"/>
        <w:rPr>
          <w:rFonts w:hint="eastAsia" w:ascii="微软雅黑" w:hAnsi="微软雅黑" w:eastAsia="微软雅黑" w:cs="微软雅黑"/>
          <w:b/>
          <w:color w:val="000000" w:themeColor="text1"/>
          <w:szCs w:val="21"/>
          <w:shd w:val="clear" w:color="auto" w:fill="FFFFFF"/>
          <w14:textFill>
            <w14:solidFill>
              <w14:schemeClr w14:val="tx1"/>
            </w14:solidFill>
          </w14:textFill>
        </w:rPr>
      </w:pPr>
      <w:r>
        <w:rPr>
          <w:rFonts w:hint="eastAsia" w:ascii="微软雅黑" w:hAnsi="微软雅黑" w:eastAsia="微软雅黑" w:cs="微软雅黑"/>
          <w:b/>
          <w:color w:val="000000" w:themeColor="text1"/>
          <w:szCs w:val="21"/>
          <w:shd w:val="clear" w:color="auto" w:fill="FFFFFF"/>
          <w14:textFill>
            <w14:solidFill>
              <w14:schemeClr w14:val="tx1"/>
            </w14:solidFill>
          </w14:textFill>
        </w:rPr>
        <w:t>三、合同的效力</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合同的效力</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合同的成立与生效</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无效的合同，效力待定的合同和可撤销的合同</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附条件的合同和附期限的合同</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jc w:val="left"/>
        <w:textAlignment w:val="auto"/>
        <w:rPr>
          <w:rFonts w:hint="eastAsia" w:ascii="微软雅黑" w:hAnsi="微软雅黑" w:eastAsia="微软雅黑" w:cs="微软雅黑"/>
          <w:b/>
          <w:color w:val="000000" w:themeColor="text1"/>
          <w:szCs w:val="21"/>
          <w:shd w:val="clear" w:color="auto" w:fill="FFFFFF"/>
          <w14:textFill>
            <w14:solidFill>
              <w14:schemeClr w14:val="tx1"/>
            </w14:solidFill>
          </w14:textFill>
        </w:rPr>
      </w:pPr>
      <w:r>
        <w:rPr>
          <w:rFonts w:hint="eastAsia" w:ascii="微软雅黑" w:hAnsi="微软雅黑" w:eastAsia="微软雅黑" w:cs="微软雅黑"/>
          <w:b/>
          <w:color w:val="000000" w:themeColor="text1"/>
          <w:szCs w:val="21"/>
          <w:shd w:val="clear" w:color="auto" w:fill="FFFFFF"/>
          <w14:textFill>
            <w14:solidFill>
              <w14:schemeClr w14:val="tx1"/>
            </w14:solidFill>
          </w14:textFill>
        </w:rPr>
        <w:t>四、合同的履行</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 xml:space="preserve">约定不明的履行 </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合同履行的基本原则</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涉及第三人的合同的履行</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合同的担保方式和种类</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代位权和撤销权</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三个抗辩权</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jc w:val="left"/>
        <w:textAlignment w:val="auto"/>
        <w:rPr>
          <w:rFonts w:hint="eastAsia" w:ascii="微软雅黑" w:hAnsi="微软雅黑" w:eastAsia="微软雅黑" w:cs="微软雅黑"/>
          <w:b/>
          <w:color w:val="000000" w:themeColor="text1"/>
          <w:szCs w:val="21"/>
          <w:shd w:val="clear" w:color="auto" w:fill="FFFFFF"/>
          <w14:textFill>
            <w14:solidFill>
              <w14:schemeClr w14:val="tx1"/>
            </w14:solidFill>
          </w14:textFill>
        </w:rPr>
      </w:pPr>
      <w:r>
        <w:rPr>
          <w:rFonts w:hint="eastAsia" w:ascii="微软雅黑" w:hAnsi="微软雅黑" w:eastAsia="微软雅黑" w:cs="微软雅黑"/>
          <w:b/>
          <w:color w:val="000000" w:themeColor="text1"/>
          <w:szCs w:val="21"/>
          <w:shd w:val="clear" w:color="auto" w:fill="FFFFFF"/>
          <w14:textFill>
            <w14:solidFill>
              <w14:schemeClr w14:val="tx1"/>
            </w14:solidFill>
          </w14:textFill>
        </w:rPr>
        <w:t>五、合同的变更与转让</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合同权利的转让</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合同义务的转让</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合同权利义务的概括承受</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jc w:val="left"/>
        <w:textAlignment w:val="auto"/>
        <w:rPr>
          <w:rFonts w:hint="eastAsia" w:ascii="微软雅黑" w:hAnsi="微软雅黑" w:eastAsia="微软雅黑" w:cs="微软雅黑"/>
          <w:b/>
          <w:color w:val="000000" w:themeColor="text1"/>
          <w:szCs w:val="21"/>
          <w:shd w:val="clear" w:color="auto" w:fill="FFFFFF"/>
          <w14:textFill>
            <w14:solidFill>
              <w14:schemeClr w14:val="tx1"/>
            </w14:solidFill>
          </w14:textFill>
        </w:rPr>
      </w:pPr>
      <w:r>
        <w:rPr>
          <w:rFonts w:hint="eastAsia" w:ascii="微软雅黑" w:hAnsi="微软雅黑" w:eastAsia="微软雅黑" w:cs="微软雅黑"/>
          <w:b/>
          <w:color w:val="000000" w:themeColor="text1"/>
          <w:szCs w:val="21"/>
          <w:shd w:val="clear" w:color="auto" w:fill="FFFFFF"/>
          <w14:textFill>
            <w14:solidFill>
              <w14:schemeClr w14:val="tx1"/>
            </w14:solidFill>
          </w14:textFill>
        </w:rPr>
        <w:t>六、合同权利义务的终止</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合同的自然终止</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合同的解除</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协商解除</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单方解除</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jc w:val="left"/>
        <w:textAlignment w:val="auto"/>
        <w:rPr>
          <w:rFonts w:hint="eastAsia" w:ascii="微软雅黑" w:hAnsi="微软雅黑" w:eastAsia="微软雅黑" w:cs="微软雅黑"/>
          <w:b/>
          <w:color w:val="000000" w:themeColor="text1"/>
          <w:szCs w:val="21"/>
          <w:shd w:val="clear" w:color="auto" w:fill="FFFFFF"/>
          <w14:textFill>
            <w14:solidFill>
              <w14:schemeClr w14:val="tx1"/>
            </w14:solidFill>
          </w14:textFill>
        </w:rPr>
      </w:pPr>
      <w:r>
        <w:rPr>
          <w:rFonts w:hint="eastAsia" w:ascii="微软雅黑" w:hAnsi="微软雅黑" w:eastAsia="微软雅黑" w:cs="微软雅黑"/>
          <w:b/>
          <w:color w:val="000000" w:themeColor="text1"/>
          <w:szCs w:val="21"/>
          <w:shd w:val="clear" w:color="auto" w:fill="FFFFFF"/>
          <w14:textFill>
            <w14:solidFill>
              <w14:schemeClr w14:val="tx1"/>
            </w14:solidFill>
          </w14:textFill>
        </w:rPr>
        <w:t>七、合同的违约责任</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违约责任</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违约行为种类</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违约责任主要方式</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 xml:space="preserve">合同的继续履行 </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违约金</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赔偿损失</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缔约过失责任</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缔约过失责任的形成</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采购合同中容易出现的缔约过失责任及规避方法</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担保责任</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定金责任的种类及罚则</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其他担保责任</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其他违约责任</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合同责任的免除</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不可抗力</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情势变更原则的适用与限制</w:t>
      </w:r>
    </w:p>
    <w:p>
      <w:pPr>
        <w:keepNext w:val="0"/>
        <w:keepLines w:val="0"/>
        <w:pageBreakBefore w:val="0"/>
        <w:widowControl w:val="0"/>
        <w:kinsoku/>
        <w:wordWrap/>
        <w:overflowPunct/>
        <w:topLinePunct w:val="0"/>
        <w:autoSpaceDE/>
        <w:autoSpaceDN/>
        <w:bidi w:val="0"/>
        <w:adjustRightInd/>
        <w:snapToGrid/>
        <w:spacing w:before="157" w:beforeLines="50" w:line="500" w:lineRule="exact"/>
        <w:ind w:left="0" w:leftChars="0"/>
        <w:textAlignment w:val="auto"/>
        <w:rPr>
          <w:rFonts w:hint="eastAsia" w:ascii="微软雅黑" w:hAnsi="微软雅黑" w:eastAsia="微软雅黑" w:cs="微软雅黑"/>
          <w:b/>
          <w:bCs/>
          <w:sz w:val="24"/>
          <w:szCs w:val="24"/>
          <w:u w:val="none"/>
        </w:rPr>
      </w:pPr>
      <w:r>
        <w:rPr>
          <w:rFonts w:hint="eastAsia" w:ascii="微软雅黑" w:hAnsi="微软雅黑" w:eastAsia="微软雅黑" w:cs="微软雅黑"/>
          <w:b/>
          <w:bCs/>
          <w:sz w:val="24"/>
          <w:szCs w:val="24"/>
          <w:u w:val="none"/>
        </w:rPr>
        <w:drawing>
          <wp:anchor distT="0" distB="0" distL="114300" distR="114300" simplePos="0" relativeHeight="251662336" behindDoc="0" locked="0" layoutInCell="1" allowOverlap="1">
            <wp:simplePos x="0" y="0"/>
            <wp:positionH relativeFrom="column">
              <wp:posOffset>-9525</wp:posOffset>
            </wp:positionH>
            <wp:positionV relativeFrom="paragraph">
              <wp:posOffset>115570</wp:posOffset>
            </wp:positionV>
            <wp:extent cx="316865" cy="271145"/>
            <wp:effectExtent l="0" t="0" r="6985" b="15240"/>
            <wp:wrapSquare wrapText="bothSides"/>
            <wp:docPr id="2" name="图片 2" descr="303b32303031303331383bcae9bc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03b32303031303331383bcae9bcae"/>
                    <pic:cNvPicPr>
                      <a:picLocks noChangeAspect="1"/>
                    </pic:cNvPicPr>
                  </pic:nvPicPr>
                  <pic:blipFill>
                    <a:blip r:embed="rId6">
                      <a:extLst>
                        <a:ext uri="{96DAC541-7B7A-43D3-8B79-37D633B846F1}">
                          <asvg:svgBlip xmlns:asvg="http://schemas.microsoft.com/office/drawing/2016/SVG/main" r:embed="rId7"/>
                        </a:ext>
                      </a:extLst>
                    </a:blip>
                    <a:srcRect l="12500" t="15625" r="8333" b="16667"/>
                    <a:stretch>
                      <a:fillRect/>
                    </a:stretch>
                  </pic:blipFill>
                  <pic:spPr>
                    <a:xfrm>
                      <a:off x="0" y="0"/>
                      <a:ext cx="316865" cy="271145"/>
                    </a:xfrm>
                    <a:prstGeom prst="rect">
                      <a:avLst/>
                    </a:prstGeom>
                  </pic:spPr>
                </pic:pic>
              </a:graphicData>
            </a:graphic>
          </wp:anchor>
        </w:drawing>
      </w:r>
      <w:r>
        <w:rPr>
          <w:rFonts w:hint="eastAsia" w:ascii="微软雅黑" w:hAnsi="微软雅黑" w:eastAsia="微软雅黑" w:cs="微软雅黑"/>
          <w:b/>
          <w:bCs/>
          <w:sz w:val="24"/>
          <w:szCs w:val="24"/>
          <w:u w:val="none"/>
        </w:rPr>
        <w:t>第二部分 采购合同实务</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jc w:val="left"/>
        <w:textAlignment w:val="auto"/>
        <w:rPr>
          <w:rFonts w:hint="eastAsia" w:ascii="微软雅黑" w:hAnsi="微软雅黑" w:eastAsia="微软雅黑" w:cs="微软雅黑"/>
          <w:b/>
          <w:color w:val="000000" w:themeColor="text1"/>
          <w:szCs w:val="21"/>
          <w:shd w:val="clear" w:color="auto" w:fill="FFFFFF"/>
          <w14:textFill>
            <w14:solidFill>
              <w14:schemeClr w14:val="tx1"/>
            </w14:solidFill>
          </w14:textFill>
        </w:rPr>
      </w:pPr>
      <w:r>
        <w:rPr>
          <w:sz w:val="21"/>
        </w:rPr>
        <mc:AlternateContent>
          <mc:Choice Requires="wps">
            <w:drawing>
              <wp:anchor distT="0" distB="0" distL="114300" distR="114300" simplePos="0" relativeHeight="251663360" behindDoc="0" locked="0" layoutInCell="1" allowOverlap="1">
                <wp:simplePos x="0" y="0"/>
                <wp:positionH relativeFrom="column">
                  <wp:posOffset>13335</wp:posOffset>
                </wp:positionH>
                <wp:positionV relativeFrom="paragraph">
                  <wp:posOffset>21590</wp:posOffset>
                </wp:positionV>
                <wp:extent cx="6286500" cy="0"/>
                <wp:effectExtent l="0" t="0" r="0" b="0"/>
                <wp:wrapNone/>
                <wp:docPr id="3" name="直接连接符 3"/>
                <wp:cNvGraphicFramePr/>
                <a:graphic xmlns:a="http://schemas.openxmlformats.org/drawingml/2006/main">
                  <a:graphicData uri="http://schemas.microsoft.com/office/word/2010/wordprocessingShape">
                    <wps:wsp>
                      <wps:cNvCnPr/>
                      <wps:spPr>
                        <a:xfrm>
                          <a:off x="699135" y="4449445"/>
                          <a:ext cx="6286500" cy="0"/>
                        </a:xfrm>
                        <a:prstGeom prst="line">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5pt;margin-top:1.7pt;height:0pt;width:495pt;z-index:251663360;mso-width-relative:page;mso-height-relative:page;" filled="f" stroked="t" coordsize="21600,21600" o:gfxdata="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Xts8m0QAAAAUBAAAPAAAAAAAA&#10;AAEAIAAAACIAAABkcnMvZG93bnJldi54bWxQSwECFAAUAAAACACHTuJAZhCDLIsCAADFBQAADgAA&#10;AAAAAAABACAAAAAgAQAAZHJzL2Uyb0RvYy54bWxQSwUGAAAAAAYABgBZAQAAHQYAAAAA&#10;">
                <v:fill on="f" focussize="0,0"/>
                <v:stroke weight="0.5pt" color="#000000" miterlimit="8" joinstyle="miter"/>
                <v:imagedata o:title=""/>
                <o:lock v:ext="edit" aspectratio="f"/>
              </v:line>
            </w:pict>
          </mc:Fallback>
        </mc:AlternateContent>
      </w:r>
      <w:r>
        <w:rPr>
          <w:rFonts w:hint="eastAsia" w:ascii="微软雅黑" w:hAnsi="微软雅黑" w:eastAsia="微软雅黑" w:cs="微软雅黑"/>
          <w:b/>
          <w:color w:val="000000" w:themeColor="text1"/>
          <w:szCs w:val="21"/>
          <w:shd w:val="clear" w:color="auto" w:fill="FFFFFF"/>
          <w14:textFill>
            <w14:solidFill>
              <w14:schemeClr w14:val="tx1"/>
            </w14:solidFill>
          </w14:textFill>
        </w:rPr>
        <w:t>一、几种特殊的采购合同</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购买水，电、煤等标的合同</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连续采购合同</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购买服务的采购合同</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jc w:val="left"/>
        <w:textAlignment w:val="auto"/>
        <w:rPr>
          <w:rFonts w:hint="eastAsia" w:ascii="微软雅黑" w:hAnsi="微软雅黑" w:eastAsia="微软雅黑" w:cs="微软雅黑"/>
          <w:b/>
          <w:color w:val="000000" w:themeColor="text1"/>
          <w:szCs w:val="21"/>
          <w:shd w:val="clear" w:color="auto" w:fill="FFFFFF"/>
          <w14:textFill>
            <w14:solidFill>
              <w14:schemeClr w14:val="tx1"/>
            </w14:solidFill>
          </w14:textFill>
        </w:rPr>
      </w:pPr>
      <w:r>
        <w:rPr>
          <w:rFonts w:hint="eastAsia" w:ascii="微软雅黑" w:hAnsi="微软雅黑" w:eastAsia="微软雅黑" w:cs="微软雅黑"/>
          <w:b/>
          <w:color w:val="000000" w:themeColor="text1"/>
          <w:szCs w:val="21"/>
          <w:shd w:val="clear" w:color="auto" w:fill="FFFFFF"/>
          <w14:textFill>
            <w14:solidFill>
              <w14:schemeClr w14:val="tx1"/>
            </w14:solidFill>
          </w14:textFill>
        </w:rPr>
        <w:t>二、订立合同的准备</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如何对供应商进行法律资格审查？</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确认双方的履约能力</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准备好你的合同文本：为你的合同谈判画蓝图</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谁有权代表企业进行合同谈判？</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代理与授权问题</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采购合同签订时间的确定及采购合同签订地点的选择</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合同倒签的法律风险与控制</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如何确定合同签订的地点？</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合同签订地点对合同的执行到底有什么影响？</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jc w:val="left"/>
        <w:textAlignment w:val="auto"/>
        <w:rPr>
          <w:rFonts w:hint="eastAsia" w:ascii="微软雅黑" w:hAnsi="微软雅黑" w:eastAsia="微软雅黑" w:cs="微软雅黑"/>
          <w:b/>
          <w:color w:val="000000" w:themeColor="text1"/>
          <w:szCs w:val="21"/>
          <w:shd w:val="clear" w:color="auto" w:fill="FFFFFF"/>
          <w14:textFill>
            <w14:solidFill>
              <w14:schemeClr w14:val="tx1"/>
            </w14:solidFill>
          </w14:textFill>
        </w:rPr>
      </w:pPr>
      <w:r>
        <w:rPr>
          <w:rFonts w:hint="eastAsia" w:ascii="微软雅黑" w:hAnsi="微软雅黑" w:eastAsia="微软雅黑" w:cs="微软雅黑"/>
          <w:b/>
          <w:color w:val="000000" w:themeColor="text1"/>
          <w:szCs w:val="21"/>
          <w:shd w:val="clear" w:color="auto" w:fill="FFFFFF"/>
          <w14:textFill>
            <w14:solidFill>
              <w14:schemeClr w14:val="tx1"/>
            </w14:solidFill>
          </w14:textFill>
        </w:rPr>
        <w:t>三、合同谈判、签订与履行过程中的风险分析</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针对授权的检查与确认 区分代理关系与买卖关系</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合同还未签订，但是已经要求开始提供服务怎么办？</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遇到对方违约怎么办？</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我们不得不违约时应该如何补救？</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当我们遭遇不可抗力时如何应对？</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双方要变更合同时应如何操作？</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必须关注的合同外包、合同转移、合同中止与终止时的风险</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jc w:val="left"/>
        <w:textAlignment w:val="auto"/>
        <w:rPr>
          <w:rFonts w:hint="eastAsia" w:ascii="微软雅黑" w:hAnsi="微软雅黑" w:eastAsia="微软雅黑" w:cs="微软雅黑"/>
          <w:b/>
          <w:color w:val="000000" w:themeColor="text1"/>
          <w:szCs w:val="21"/>
          <w:shd w:val="clear" w:color="auto" w:fill="FFFFFF"/>
          <w14:textFill>
            <w14:solidFill>
              <w14:schemeClr w14:val="tx1"/>
            </w14:solidFill>
          </w14:textFill>
        </w:rPr>
      </w:pPr>
      <w:r>
        <w:rPr>
          <w:rFonts w:hint="eastAsia" w:ascii="微软雅黑" w:hAnsi="微软雅黑" w:eastAsia="微软雅黑" w:cs="微软雅黑"/>
          <w:b/>
          <w:color w:val="000000" w:themeColor="text1"/>
          <w:szCs w:val="21"/>
          <w:shd w:val="clear" w:color="auto" w:fill="FFFFFF"/>
          <w14:textFill>
            <w14:solidFill>
              <w14:schemeClr w14:val="tx1"/>
            </w14:solidFill>
          </w14:textFill>
        </w:rPr>
        <w:t>四、采购合同的特殊法律问题及其应对</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采购合同中交付与所有权转移</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交付的种类与法律效力</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动产所有权转移</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不动产所有权的转移</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采购合同中的风险转移原则</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什么叫风险转移</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采购合同风险转移的具体规定</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采购合同风险转移的应对策略</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jc w:val="left"/>
        <w:textAlignment w:val="auto"/>
        <w:rPr>
          <w:rFonts w:hint="eastAsia" w:ascii="微软雅黑" w:hAnsi="微软雅黑" w:eastAsia="微软雅黑" w:cs="微软雅黑"/>
          <w:b/>
          <w:color w:val="000000" w:themeColor="text1"/>
          <w:szCs w:val="21"/>
          <w:shd w:val="clear" w:color="auto" w:fill="FFFFFF"/>
          <w14:textFill>
            <w14:solidFill>
              <w14:schemeClr w14:val="tx1"/>
            </w14:solidFill>
          </w14:textFill>
        </w:rPr>
      </w:pPr>
      <w:r>
        <w:rPr>
          <w:rFonts w:hint="eastAsia" w:ascii="微软雅黑" w:hAnsi="微软雅黑" w:eastAsia="微软雅黑" w:cs="微软雅黑"/>
          <w:b/>
          <w:color w:val="000000" w:themeColor="text1"/>
          <w:szCs w:val="21"/>
          <w:shd w:val="clear" w:color="auto" w:fill="FFFFFF"/>
          <w14:textFill>
            <w14:solidFill>
              <w14:schemeClr w14:val="tx1"/>
            </w14:solidFill>
          </w14:textFill>
        </w:rPr>
        <w:t>五、采购合同的重要条款常见问题及应对</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数量及质量条款</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价款条款</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履行期限和方式</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担保及违约责任条款</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风险转移条款</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所有权保留条款</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不可抗力条款</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知识产权、保密协议条款</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争议解决方式条款</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采购合同通常采取的订立方式及特点</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jc w:val="left"/>
        <w:textAlignment w:val="auto"/>
        <w:rPr>
          <w:rFonts w:hint="eastAsia" w:ascii="微软雅黑" w:hAnsi="微软雅黑" w:eastAsia="微软雅黑" w:cs="微软雅黑"/>
          <w:b/>
          <w:color w:val="000000" w:themeColor="text1"/>
          <w:szCs w:val="21"/>
          <w:shd w:val="clear" w:color="auto" w:fill="FFFFFF"/>
          <w14:textFill>
            <w14:solidFill>
              <w14:schemeClr w14:val="tx1"/>
            </w14:solidFill>
          </w14:textFill>
        </w:rPr>
      </w:pPr>
      <w:r>
        <w:rPr>
          <w:rFonts w:hint="eastAsia" w:ascii="微软雅黑" w:hAnsi="微软雅黑" w:eastAsia="微软雅黑" w:cs="微软雅黑"/>
          <w:b/>
          <w:color w:val="000000" w:themeColor="text1"/>
          <w:szCs w:val="21"/>
          <w:shd w:val="clear" w:color="auto" w:fill="FFFFFF"/>
          <w14:textFill>
            <w14:solidFill>
              <w14:schemeClr w14:val="tx1"/>
            </w14:solidFill>
          </w14:textFill>
        </w:rPr>
        <w:t xml:space="preserve">六、合同纠纷争议救济的法律风险及预防 </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 xml:space="preserve">对方违约的合同救济法律风险 </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 xml:space="preserve">己方违约的合同救济法律风险 </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 xml:space="preserve">合同纠纷争议的风险预防  </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 xml:space="preserve">履行义务要留证据 </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 xml:space="preserve">不履行义务要留证据 </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 xml:space="preserve">避免给对方留下证据 </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 xml:space="preserve">消灭证据瑕疵 </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证据的收集设计</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合同发生争议时的补救</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发生争议后的补救措施</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针对合同争议沟通与磋商时应遵循的原则</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如何取证以保证企业的关键利益？</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签订补充协议或修改合同时的注意事项</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420" w:leftChars="200"/>
        <w:jc w:val="left"/>
        <w:textAlignment w:val="auto"/>
        <w:rPr>
          <w:rFonts w:hint="eastAsia" w:ascii="微软雅黑" w:hAnsi="微软雅黑" w:eastAsia="微软雅黑" w:cs="微软雅黑"/>
          <w:color w:val="000000" w:themeColor="text1"/>
          <w:szCs w:val="21"/>
          <w:shd w:val="clear" w:color="auto" w:fill="FFFFFF"/>
          <w14:textFill>
            <w14:solidFill>
              <w14:schemeClr w14:val="tx1"/>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themeColor="text1"/>
          <w:szCs w:val="21"/>
          <w:shd w:val="clear" w:color="auto" w:fill="FFFFFF"/>
          <w14:textFill>
            <w14:solidFill>
              <w14:schemeClr w14:val="tx1"/>
            </w14:solidFill>
          </w14:textFill>
        </w:rPr>
        <w:t>诉讼/仲裁流程</w:t>
      </w:r>
    </w:p>
    <w:p>
      <w:pPr>
        <w:keepNext w:val="0"/>
        <w:keepLines w:val="0"/>
        <w:pageBreakBefore w:val="0"/>
        <w:widowControl w:val="0"/>
        <w:shd w:val="solid" w:color="FFFFFF" w:fill="auto"/>
        <w:kinsoku/>
        <w:wordWrap/>
        <w:overflowPunct/>
        <w:topLinePunct w:val="0"/>
        <w:autoSpaceDE/>
        <w:autoSpaceDN w:val="0"/>
        <w:bidi w:val="0"/>
        <w:adjustRightInd/>
        <w:snapToGrid/>
        <w:spacing w:after="157" w:afterLines="50" w:line="360" w:lineRule="exact"/>
        <w:jc w:val="left"/>
        <w:textAlignment w:val="auto"/>
        <w:rPr>
          <w:rFonts w:hint="eastAsia" w:ascii="微软雅黑" w:hAnsi="微软雅黑" w:eastAsia="微软雅黑" w:cs="微软雅黑"/>
          <w:b/>
          <w:color w:val="000000" w:themeColor="text1"/>
          <w:szCs w:val="21"/>
          <w:shd w:val="clear" w:color="auto" w:fill="FFFFFF"/>
          <w:lang w:val="en-US" w:eastAsia="zh-CN"/>
          <w14:textFill>
            <w14:solidFill>
              <w14:schemeClr w14:val="tx1"/>
            </w14:solidFill>
          </w14:textFill>
        </w:rPr>
      </w:pPr>
      <w:r>
        <w:rPr>
          <w:rFonts w:hint="eastAsia" w:ascii="微软雅黑" w:hAnsi="微软雅黑" w:eastAsia="微软雅黑" w:cs="微软雅黑"/>
          <w:b/>
          <w:color w:val="000000" w:themeColor="text1"/>
          <w:szCs w:val="21"/>
          <w:shd w:val="clear" w:color="auto" w:fill="FFFFFF"/>
          <w14:textFill>
            <w14:solidFill>
              <w14:schemeClr w14:val="tx1"/>
            </w14:solidFill>
          </w14:textFill>
        </w:rPr>
        <w:t>答疑与互动</w:t>
      </w:r>
      <w:r>
        <w:rPr>
          <w:rFonts w:hint="eastAsia" w:ascii="微软雅黑" w:hAnsi="微软雅黑" w:eastAsia="微软雅黑" w:cs="微软雅黑"/>
          <w:b/>
          <w:color w:val="000000" w:themeColor="text1"/>
          <w:szCs w:val="21"/>
          <w:shd w:val="clear" w:color="auto" w:fill="FFFFFF"/>
          <w:lang w:val="en-US" w:eastAsia="zh-CN"/>
          <w14:textFill>
            <w14:solidFill>
              <w14:schemeClr w14:val="tx1"/>
            </w14:solidFill>
          </w14:textFill>
        </w:rPr>
        <w:t>环节</w:t>
      </w:r>
    </w:p>
    <w:p>
      <w:pPr>
        <w:keepNext w:val="0"/>
        <w:keepLines w:val="0"/>
        <w:pageBreakBefore w:val="0"/>
        <w:widowControl/>
        <w:kinsoku/>
        <w:wordWrap/>
        <w:overflowPunct/>
        <w:topLinePunct w:val="0"/>
        <w:autoSpaceDE/>
        <w:autoSpaceDN/>
        <w:bidi w:val="0"/>
        <w:adjustRightInd/>
        <w:snapToGrid/>
        <w:spacing w:after="157" w:afterLines="50" w:line="40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讲师介绍</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b/>
          <w:bCs/>
          <w:sz w:val="24"/>
          <w:szCs w:val="24"/>
          <w:lang w:val="en-US" w:eastAsia="zh-CN"/>
          <w14:shadow w14:blurRad="50800" w14:dist="38100" w14:dir="18900000" w14:sx="100000" w14:sy="100000" w14:kx="0" w14:ky="0" w14:algn="bl">
            <w14:srgbClr w14:val="000000">
              <w14:alpha w14:val="60000"/>
            </w14:srgbClr>
          </w14:shadow>
        </w:rPr>
      </w:pPr>
      <w:r>
        <w:rPr>
          <w:rFonts w:hint="eastAsia" w:ascii="微软雅黑" w:hAnsi="微软雅黑" w:eastAsia="微软雅黑" w:cs="微软雅黑"/>
          <w:b/>
          <w:bCs/>
          <w:sz w:val="24"/>
          <w:szCs w:val="24"/>
          <w:lang w:val="en-US" w:eastAsia="zh-CN"/>
          <w14:shadow w14:blurRad="50800" w14:dist="38100" w14:dir="18900000" w14:sx="100000" w14:sy="100000" w14:kx="0" w14:ky="0" w14:algn="bl">
            <w14:srgbClr w14:val="000000">
              <w14:alpha w14:val="60000"/>
            </w14:srgbClr>
          </w14:shadow>
        </w:rPr>
        <w:drawing>
          <wp:anchor distT="0" distB="0" distL="114300" distR="114300" simplePos="0" relativeHeight="251660288" behindDoc="0" locked="0" layoutInCell="1" allowOverlap="1">
            <wp:simplePos x="0" y="0"/>
            <wp:positionH relativeFrom="column">
              <wp:posOffset>12700</wp:posOffset>
            </wp:positionH>
            <wp:positionV relativeFrom="paragraph">
              <wp:posOffset>4445</wp:posOffset>
            </wp:positionV>
            <wp:extent cx="1120140" cy="1541145"/>
            <wp:effectExtent l="0" t="0" r="10160" b="8255"/>
            <wp:wrapSquare wrapText="bothSides"/>
            <wp:docPr id="12" name="图片 12" descr="宋福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宋福友"/>
                    <pic:cNvPicPr>
                      <a:picLocks noChangeAspect="1"/>
                    </pic:cNvPicPr>
                  </pic:nvPicPr>
                  <pic:blipFill>
                    <a:blip r:embed="rId8"/>
                    <a:srcRect l="20408" t="11512" r="9681" b="24420"/>
                    <a:stretch>
                      <a:fillRect/>
                    </a:stretch>
                  </pic:blipFill>
                  <pic:spPr>
                    <a:xfrm>
                      <a:off x="0" y="0"/>
                      <a:ext cx="1120140" cy="1541145"/>
                    </a:xfrm>
                    <a:prstGeom prst="rect">
                      <a:avLst/>
                    </a:prstGeom>
                  </pic:spPr>
                </pic:pic>
              </a:graphicData>
            </a:graphic>
          </wp:anchor>
        </w:drawing>
      </w:r>
      <w:r>
        <w:rPr>
          <w:rFonts w:hint="eastAsia" w:ascii="微软雅黑" w:hAnsi="微软雅黑" w:eastAsia="微软雅黑" w:cs="微软雅黑"/>
          <w:b/>
          <w:bCs/>
          <w:sz w:val="24"/>
          <w:szCs w:val="24"/>
          <w:lang w:val="en-US" w:eastAsia="zh-CN"/>
          <w14:shadow w14:blurRad="50800" w14:dist="38100" w14:dir="18900000" w14:sx="100000" w14:sy="100000" w14:kx="0" w14:ky="0" w14:algn="bl">
            <w14:srgbClr w14:val="000000">
              <w14:alpha w14:val="60000"/>
            </w14:srgbClr>
          </w14:shadow>
        </w:rPr>
        <w:t>Foy Song</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rPr>
        <w:t>北京博润伟业管理顾问有限公司高级培训师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rPr>
        <w:t>对外经济贸易大学学士</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rPr>
        <w:t>超过22年跨国公司的国际采购和管理实践经验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rPr>
        <w:t>经历过国企、民企及外企各种体制的资深采购</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rPr>
        <w:t>先后在天狮集团、诺基亚、微软、培生等多家世界500强跨国公司任职超过22年。在天狮集团任采购部经理，主导了采购架构重组，并负责集团各项物资包括多个大型招投标项目的采购；在诺基亚和微软分别担任亚太区高级采购经理、全球品类管理经理，主管亚太区市场营销服务类采购，年采购金额超过3亿美元；在培生教育集团任大中国区采购总监，完成集中采购组织、流程、系统的建立和整合，品类管理和合同管理的实施。</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rPr>
      </w:pPr>
      <w:r>
        <w:rPr>
          <w:rFonts w:hint="eastAsia" w:ascii="微软雅黑" w:hAnsi="微软雅黑" w:eastAsia="微软雅黑" w:cs="微软雅黑"/>
          <w:b/>
          <w:bCs/>
        </w:rPr>
        <w:t>主要负责过的工作和项目包括：</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rPr>
        <w:t>主导产业园区多业务单元大型工程、设备及物资招投标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rPr>
        <w:t>设计和实施跨业务单元集中采购模式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rPr>
        <w:t>建立亚太区间接采购体系和供应商管理体系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rPr>
        <w:t>制定和实施全球采购战略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rPr>
        <w:t>全球市场营销战略供应商整合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rPr>
        <w:t>非生产物料品类管理战略和项目实施</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rPr>
        <w:t>采购团队技能水平识别和持续提升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rPr>
        <w:t>对战略采购、品类管理和供应商管理有独到经验和见解</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lang w:eastAsia="zh-CN"/>
        </w:rPr>
      </w:pPr>
      <w:r>
        <w:rPr>
          <w:rFonts w:hint="eastAsia" w:ascii="微软雅黑" w:hAnsi="微软雅黑" w:eastAsia="微软雅黑" w:cs="微软雅黑"/>
          <w:b/>
          <w:bCs/>
        </w:rPr>
        <w:t>讲授过的课程</w:t>
      </w:r>
      <w:r>
        <w:rPr>
          <w:rFonts w:hint="eastAsia" w:ascii="微软雅黑" w:hAnsi="微软雅黑" w:eastAsia="微软雅黑" w:cs="微软雅黑"/>
          <w:b/>
          <w:bCs/>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rPr>
        <w:t>《招投标和合同管理》《采购谈判方法和技巧》《构建卓越采购体系》《SRM供应商关系管理》</w:t>
      </w:r>
    </w:p>
    <w:p>
      <w:pPr>
        <w:spacing w:line="300" w:lineRule="exact"/>
        <w:jc w:val="left"/>
        <w:rPr>
          <w:rFonts w:hint="eastAsia" w:ascii="微软雅黑" w:hAnsi="微软雅黑" w:eastAsia="微软雅黑" w:cs="微软雅黑"/>
          <w:b/>
          <w:szCs w:val="21"/>
          <w:lang w:val="en-US" w:eastAsia="zh-CN"/>
        </w:rPr>
      </w:pPr>
    </w:p>
    <w:sectPr>
      <w:type w:val="continuous"/>
      <w:pgSz w:w="11906" w:h="16838"/>
      <w:pgMar w:top="0" w:right="1080" w:bottom="0" w:left="1080" w:header="567" w:footer="0" w:gutter="0"/>
      <w:pgBorders>
        <w:top w:val="none" w:sz="0" w:space="0"/>
        <w:left w:val="none" w:sz="0" w:space="0"/>
        <w:bottom w:val="none" w:sz="0" w:space="0"/>
        <w:right w:val="none" w:sz="0" w:space="0"/>
      </w:pgBorders>
      <w:pgNumType w:fmt="decimal"/>
      <w:cols w:space="425"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swiss"/>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微软雅黑" w:hAnsi="微软雅黑" w:eastAsia="微软雅黑" w:cs="微软雅黑"/>
        <w:color w:val="A6A6A6" w:themeColor="background1" w:themeShade="A6"/>
        <w:sz w:val="18"/>
        <w:szCs w:val="18"/>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jc w:val="both"/>
      <w:rPr>
        <w:rFonts w:hint="eastAsia"/>
        <w:lang w:eastAsia="zh-CN"/>
      </w:rPr>
    </w:pPr>
    <w:r>
      <w:rPr>
        <w:rFonts w:hint="eastAsia"/>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lM2RlYTVhN2Y3NDhjYjk4Y2U3ZmVkZGY2MjY2M2QifQ=="/>
  </w:docVars>
  <w:rsids>
    <w:rsidRoot w:val="12532209"/>
    <w:rsid w:val="011E2A7F"/>
    <w:rsid w:val="04E645E8"/>
    <w:rsid w:val="0FEA2E84"/>
    <w:rsid w:val="10E91628"/>
    <w:rsid w:val="12532209"/>
    <w:rsid w:val="1CDD5EAD"/>
    <w:rsid w:val="1D3D72FA"/>
    <w:rsid w:val="1F7322DD"/>
    <w:rsid w:val="1FDB4E8A"/>
    <w:rsid w:val="244662C7"/>
    <w:rsid w:val="2A9C1216"/>
    <w:rsid w:val="303942A2"/>
    <w:rsid w:val="33141748"/>
    <w:rsid w:val="33BF05F5"/>
    <w:rsid w:val="3DD97AE7"/>
    <w:rsid w:val="3FE76D5D"/>
    <w:rsid w:val="418038F5"/>
    <w:rsid w:val="496A1199"/>
    <w:rsid w:val="4B9C7588"/>
    <w:rsid w:val="4D402F0C"/>
    <w:rsid w:val="51BA5C7F"/>
    <w:rsid w:val="5509696D"/>
    <w:rsid w:val="58574282"/>
    <w:rsid w:val="59BD1C25"/>
    <w:rsid w:val="5BC56E53"/>
    <w:rsid w:val="5C180C4C"/>
    <w:rsid w:val="60BA2D13"/>
    <w:rsid w:val="61631908"/>
    <w:rsid w:val="64566B02"/>
    <w:rsid w:val="64DF0625"/>
    <w:rsid w:val="65F87BE4"/>
    <w:rsid w:val="69681F0C"/>
    <w:rsid w:val="6CCD60AA"/>
    <w:rsid w:val="724A32B7"/>
    <w:rsid w:val="76D83018"/>
    <w:rsid w:val="76ED7D45"/>
    <w:rsid w:val="78EA0CEC"/>
    <w:rsid w:val="79967556"/>
    <w:rsid w:val="7C503F7A"/>
    <w:rsid w:val="7D2C6CBD"/>
    <w:rsid w:val="7E902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ocked="1"/>
    <w:lsdException w:qFormat="1" w:unhideWhenUsed="0" w:uiPriority="0" w:semiHidden="0" w:name="footer" w:locked="1"/>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20" w:after="80" w:line="240" w:lineRule="auto"/>
      <w:jc w:val="center"/>
      <w:outlineLvl w:val="0"/>
    </w:pPr>
    <w:rPr>
      <w:rFonts w:ascii="Calibri Light" w:hAnsi="Calibri Light"/>
      <w:color w:val="2D73B3"/>
      <w:sz w:val="40"/>
      <w:szCs w:val="40"/>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locked/>
    <w:uiPriority w:val="0"/>
    <w:pPr>
      <w:tabs>
        <w:tab w:val="center" w:pos="4153"/>
        <w:tab w:val="right" w:pos="8306"/>
      </w:tabs>
      <w:snapToGrid w:val="0"/>
      <w:jc w:val="left"/>
    </w:pPr>
    <w:rPr>
      <w:sz w:val="18"/>
    </w:rPr>
  </w:style>
  <w:style w:type="paragraph" w:styleId="5">
    <w:name w:val="header"/>
    <w:basedOn w:val="1"/>
    <w:qFormat/>
    <w:lock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22"/>
    <w:rPr>
      <w:b/>
      <w:bCs/>
    </w:rPr>
  </w:style>
  <w:style w:type="character" w:styleId="11">
    <w:name w:val="page number"/>
    <w:basedOn w:val="9"/>
    <w:qFormat/>
    <w:uiPriority w:val="99"/>
  </w:style>
  <w:style w:type="character" w:styleId="12">
    <w:name w:val="Emphasis"/>
    <w:qFormat/>
    <w:uiPriority w:val="0"/>
    <w:rPr>
      <w:rFonts w:cs="Times New Roman"/>
      <w:color w:val="CC0000"/>
    </w:rPr>
  </w:style>
  <w:style w:type="character" w:styleId="13">
    <w:name w:val="Hyperlink"/>
    <w:basedOn w:val="9"/>
    <w:qFormat/>
    <w:uiPriority w:val="0"/>
    <w:rPr>
      <w:color w:val="0000FF"/>
      <w:u w:val="single"/>
    </w:rPr>
  </w:style>
  <w:style w:type="character" w:customStyle="1" w:styleId="14">
    <w:name w:val="style9"/>
    <w:basedOn w:val="9"/>
    <w:qFormat/>
    <w:uiPriority w:val="0"/>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sv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2020-12-03T01:40:00Z</dcterms:created>
  <dc:creator>李文娜</dc:creator>
  <cp:lastModifiedBy>姜山</cp:lastModifiedBy>
  <dcterms:modified xsi:type="dcterms:W3CDTF">2023-12-05T07:41:58Z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35D9AD73814C45799A48DCE0F2F54B90</vt:lpwstr>
  </property>
</Properties>
</file>