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95" w:afterLines="30" w:line="56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0" w:name="_GoBack"/>
      <w:bookmarkEnd w:id="0"/>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企业招投标与合同管理</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kinsoku/>
        <w:wordWrap/>
        <w:overflowPunct/>
        <w:topLinePunct w:val="0"/>
        <w:autoSpaceDE/>
        <w:autoSpaceDN/>
        <w:bidi w:val="0"/>
        <w:adjustRightInd/>
        <w:snapToGrid/>
        <w:spacing w:after="157" w:afterLines="50" w:line="360" w:lineRule="exact"/>
        <w:jc w:val="left"/>
        <w:textAlignment w:val="auto"/>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rPr>
        <w:t>202</w:t>
      </w:r>
      <w:r>
        <w:rPr>
          <w:rFonts w:hint="eastAsia" w:ascii="微软雅黑" w:hAnsi="微软雅黑" w:eastAsia="微软雅黑" w:cs="微软雅黑"/>
          <w:b w:val="0"/>
          <w:bCs w:val="0"/>
          <w:color w:val="000000"/>
          <w:sz w:val="21"/>
          <w:szCs w:val="21"/>
          <w:lang w:val="en-US" w:eastAsia="zh-CN"/>
        </w:rPr>
        <w:t>4</w:t>
      </w:r>
      <w:r>
        <w:rPr>
          <w:rFonts w:hint="eastAsia" w:ascii="微软雅黑" w:hAnsi="微软雅黑" w:eastAsia="微软雅黑" w:cs="微软雅黑"/>
          <w:b w:val="0"/>
          <w:bCs w:val="0"/>
          <w:color w:val="000000"/>
          <w:sz w:val="21"/>
          <w:szCs w:val="21"/>
        </w:rPr>
        <w:t>年0</w:t>
      </w:r>
      <w:r>
        <w:rPr>
          <w:rFonts w:hint="eastAsia" w:ascii="微软雅黑" w:hAnsi="微软雅黑" w:eastAsia="微软雅黑" w:cs="微软雅黑"/>
          <w:b w:val="0"/>
          <w:bCs w:val="0"/>
          <w:color w:val="000000"/>
          <w:sz w:val="21"/>
          <w:szCs w:val="21"/>
          <w:lang w:val="en-US" w:eastAsia="zh-CN"/>
        </w:rPr>
        <w:t>5</w:t>
      </w:r>
      <w:r>
        <w:rPr>
          <w:rFonts w:hint="eastAsia" w:ascii="微软雅黑" w:hAnsi="微软雅黑" w:eastAsia="微软雅黑" w:cs="微软雅黑"/>
          <w:b w:val="0"/>
          <w:bCs w:val="0"/>
          <w:color w:val="000000"/>
          <w:sz w:val="21"/>
          <w:szCs w:val="21"/>
        </w:rPr>
        <w:t>月</w:t>
      </w:r>
      <w:r>
        <w:rPr>
          <w:rFonts w:hint="eastAsia" w:ascii="微软雅黑" w:hAnsi="微软雅黑" w:eastAsia="微软雅黑" w:cs="微软雅黑"/>
          <w:b w:val="0"/>
          <w:bCs w:val="0"/>
          <w:color w:val="000000"/>
          <w:sz w:val="21"/>
          <w:szCs w:val="21"/>
          <w:lang w:val="en-US" w:eastAsia="zh-CN"/>
        </w:rPr>
        <w:t>18-19</w:t>
      </w:r>
      <w:r>
        <w:rPr>
          <w:rFonts w:hint="eastAsia" w:ascii="微软雅黑" w:hAnsi="微软雅黑" w:eastAsia="微软雅黑" w:cs="微软雅黑"/>
          <w:b w:val="0"/>
          <w:bCs w:val="0"/>
          <w:color w:val="000000"/>
          <w:sz w:val="21"/>
          <w:szCs w:val="21"/>
        </w:rPr>
        <w:t>日</w:t>
      </w:r>
      <w:r>
        <w:rPr>
          <w:rFonts w:hint="eastAsia" w:ascii="微软雅黑" w:hAnsi="微软雅黑" w:eastAsia="微软雅黑" w:cs="微软雅黑"/>
          <w:b w:val="0"/>
          <w:bCs w:val="0"/>
          <w:color w:val="000000"/>
          <w:sz w:val="21"/>
          <w:szCs w:val="21"/>
          <w:lang w:val="en-US" w:eastAsia="zh-CN"/>
        </w:rPr>
        <w:t xml:space="preserve"> </w:t>
      </w:r>
      <w:r>
        <w:rPr>
          <w:rFonts w:hint="eastAsia" w:ascii="微软雅黑" w:hAnsi="微软雅黑" w:eastAsia="微软雅黑" w:cs="微软雅黑"/>
          <w:b w:val="0"/>
          <w:bCs w:val="0"/>
          <w:color w:val="000000"/>
          <w:sz w:val="21"/>
          <w:szCs w:val="21"/>
          <w:lang w:eastAsia="zh-CN"/>
        </w:rPr>
        <w:t>上海</w:t>
      </w:r>
      <w:r>
        <w:rPr>
          <w:rFonts w:hint="eastAsia" w:ascii="微软雅黑" w:hAnsi="微软雅黑" w:eastAsia="微软雅黑" w:cs="微软雅黑"/>
          <w:b w:val="0"/>
          <w:bCs w:val="0"/>
          <w:color w:val="000000"/>
          <w:sz w:val="21"/>
          <w:szCs w:val="21"/>
          <w:lang w:val="en-US" w:eastAsia="zh-CN"/>
        </w:rPr>
        <w:t xml:space="preserve">     </w:t>
      </w:r>
      <w:r>
        <w:rPr>
          <w:rFonts w:hint="eastAsia" w:ascii="微软雅黑" w:hAnsi="微软雅黑" w:eastAsia="微软雅黑" w:cs="微软雅黑"/>
          <w:b w:val="0"/>
          <w:bCs w:val="0"/>
          <w:color w:val="000000"/>
          <w:sz w:val="21"/>
          <w:szCs w:val="21"/>
        </w:rPr>
        <w:t>202</w:t>
      </w:r>
      <w:r>
        <w:rPr>
          <w:rFonts w:hint="eastAsia" w:ascii="微软雅黑" w:hAnsi="微软雅黑" w:eastAsia="微软雅黑" w:cs="微软雅黑"/>
          <w:b w:val="0"/>
          <w:bCs w:val="0"/>
          <w:color w:val="000000"/>
          <w:sz w:val="21"/>
          <w:szCs w:val="21"/>
          <w:lang w:val="en-US" w:eastAsia="zh-CN"/>
        </w:rPr>
        <w:t>3</w:t>
      </w:r>
      <w:r>
        <w:rPr>
          <w:rFonts w:hint="eastAsia" w:ascii="微软雅黑" w:hAnsi="微软雅黑" w:eastAsia="微软雅黑" w:cs="微软雅黑"/>
          <w:b w:val="0"/>
          <w:bCs w:val="0"/>
          <w:color w:val="000000"/>
          <w:sz w:val="21"/>
          <w:szCs w:val="21"/>
        </w:rPr>
        <w:t>年0</w:t>
      </w:r>
      <w:r>
        <w:rPr>
          <w:rFonts w:hint="eastAsia" w:ascii="微软雅黑" w:hAnsi="微软雅黑" w:eastAsia="微软雅黑" w:cs="微软雅黑"/>
          <w:b w:val="0"/>
          <w:bCs w:val="0"/>
          <w:color w:val="000000"/>
          <w:sz w:val="21"/>
          <w:szCs w:val="21"/>
          <w:lang w:val="en-US" w:eastAsia="zh-CN"/>
        </w:rPr>
        <w:t>7</w:t>
      </w:r>
      <w:r>
        <w:rPr>
          <w:rFonts w:hint="eastAsia" w:ascii="微软雅黑" w:hAnsi="微软雅黑" w:eastAsia="微软雅黑" w:cs="微软雅黑"/>
          <w:b w:val="0"/>
          <w:bCs w:val="0"/>
          <w:color w:val="000000"/>
          <w:sz w:val="21"/>
          <w:szCs w:val="21"/>
        </w:rPr>
        <w:t>月</w:t>
      </w:r>
      <w:r>
        <w:rPr>
          <w:rFonts w:hint="eastAsia" w:ascii="微软雅黑" w:hAnsi="微软雅黑" w:eastAsia="微软雅黑" w:cs="微软雅黑"/>
          <w:b w:val="0"/>
          <w:bCs w:val="0"/>
          <w:color w:val="000000"/>
          <w:sz w:val="21"/>
          <w:szCs w:val="21"/>
          <w:lang w:val="en-US" w:eastAsia="zh-CN"/>
        </w:rPr>
        <w:t>19-20</w:t>
      </w:r>
      <w:r>
        <w:rPr>
          <w:rFonts w:hint="eastAsia" w:ascii="微软雅黑" w:hAnsi="微软雅黑" w:eastAsia="微软雅黑" w:cs="微软雅黑"/>
          <w:b w:val="0"/>
          <w:bCs w:val="0"/>
          <w:color w:val="000000"/>
          <w:sz w:val="21"/>
          <w:szCs w:val="21"/>
        </w:rPr>
        <w:t xml:space="preserve">日 </w:t>
      </w:r>
      <w:r>
        <w:rPr>
          <w:rFonts w:hint="eastAsia" w:ascii="微软雅黑" w:hAnsi="微软雅黑" w:eastAsia="微软雅黑" w:cs="微软雅黑"/>
          <w:b w:val="0"/>
          <w:bCs w:val="0"/>
          <w:color w:val="000000"/>
          <w:sz w:val="21"/>
          <w:szCs w:val="21"/>
          <w:lang w:eastAsia="zh-CN"/>
        </w:rPr>
        <w:t>北京</w:t>
      </w:r>
      <w:r>
        <w:rPr>
          <w:rFonts w:hint="eastAsia" w:ascii="微软雅黑" w:hAnsi="微软雅黑" w:eastAsia="微软雅黑" w:cs="微软雅黑"/>
          <w:b w:val="0"/>
          <w:bCs w:val="0"/>
          <w:color w:val="000000"/>
          <w:sz w:val="21"/>
          <w:szCs w:val="21"/>
          <w:lang w:val="en-US" w:eastAsia="zh-CN"/>
        </w:rPr>
        <w:t xml:space="preserve">    </w:t>
      </w:r>
      <w:r>
        <w:rPr>
          <w:rFonts w:hint="eastAsia" w:ascii="微软雅黑" w:hAnsi="微软雅黑" w:eastAsia="微软雅黑" w:cs="微软雅黑"/>
          <w:b w:val="0"/>
          <w:bCs w:val="0"/>
          <w:color w:val="000000"/>
          <w:sz w:val="21"/>
          <w:szCs w:val="21"/>
        </w:rPr>
        <w:t>202</w:t>
      </w:r>
      <w:r>
        <w:rPr>
          <w:rFonts w:hint="eastAsia" w:ascii="微软雅黑" w:hAnsi="微软雅黑" w:eastAsia="微软雅黑" w:cs="微软雅黑"/>
          <w:b w:val="0"/>
          <w:bCs w:val="0"/>
          <w:color w:val="000000"/>
          <w:sz w:val="21"/>
          <w:szCs w:val="21"/>
          <w:lang w:val="en-US" w:eastAsia="zh-CN"/>
        </w:rPr>
        <w:t>3</w:t>
      </w:r>
      <w:r>
        <w:rPr>
          <w:rFonts w:hint="eastAsia" w:ascii="微软雅黑" w:hAnsi="微软雅黑" w:eastAsia="微软雅黑" w:cs="微软雅黑"/>
          <w:b w:val="0"/>
          <w:bCs w:val="0"/>
          <w:color w:val="000000"/>
          <w:sz w:val="21"/>
          <w:szCs w:val="21"/>
        </w:rPr>
        <w:t>年1</w:t>
      </w:r>
      <w:r>
        <w:rPr>
          <w:rFonts w:hint="eastAsia" w:ascii="微软雅黑" w:hAnsi="微软雅黑" w:eastAsia="微软雅黑" w:cs="微软雅黑"/>
          <w:b w:val="0"/>
          <w:bCs w:val="0"/>
          <w:color w:val="000000"/>
          <w:sz w:val="21"/>
          <w:szCs w:val="21"/>
          <w:lang w:val="en-US" w:eastAsia="zh-CN"/>
        </w:rPr>
        <w:t>1</w:t>
      </w:r>
      <w:r>
        <w:rPr>
          <w:rFonts w:hint="eastAsia" w:ascii="微软雅黑" w:hAnsi="微软雅黑" w:eastAsia="微软雅黑" w:cs="微软雅黑"/>
          <w:b w:val="0"/>
          <w:bCs w:val="0"/>
          <w:color w:val="000000"/>
          <w:sz w:val="21"/>
          <w:szCs w:val="21"/>
        </w:rPr>
        <w:t>月</w:t>
      </w:r>
      <w:r>
        <w:rPr>
          <w:rFonts w:hint="eastAsia" w:ascii="微软雅黑" w:hAnsi="微软雅黑" w:eastAsia="微软雅黑" w:cs="微软雅黑"/>
          <w:b w:val="0"/>
          <w:bCs w:val="0"/>
          <w:color w:val="000000"/>
          <w:sz w:val="21"/>
          <w:szCs w:val="21"/>
          <w:lang w:val="en-US" w:eastAsia="zh-CN"/>
        </w:rPr>
        <w:t>16-17</w:t>
      </w:r>
      <w:r>
        <w:rPr>
          <w:rFonts w:hint="eastAsia" w:ascii="微软雅黑" w:hAnsi="微软雅黑" w:eastAsia="微软雅黑" w:cs="微软雅黑"/>
          <w:b w:val="0"/>
          <w:bCs w:val="0"/>
          <w:color w:val="000000"/>
          <w:sz w:val="21"/>
          <w:szCs w:val="21"/>
        </w:rPr>
        <w:t>日</w:t>
      </w:r>
      <w:r>
        <w:rPr>
          <w:rFonts w:hint="eastAsia" w:ascii="微软雅黑" w:hAnsi="微软雅黑" w:eastAsia="微软雅黑" w:cs="微软雅黑"/>
          <w:b w:val="0"/>
          <w:bCs w:val="0"/>
          <w:color w:val="000000"/>
          <w:sz w:val="21"/>
          <w:szCs w:val="21"/>
          <w:lang w:val="en-US" w:eastAsia="zh-CN"/>
        </w:rPr>
        <w:t xml:space="preserve"> </w:t>
      </w:r>
      <w:r>
        <w:rPr>
          <w:rFonts w:hint="eastAsia" w:ascii="微软雅黑" w:hAnsi="微软雅黑" w:eastAsia="微软雅黑" w:cs="微软雅黑"/>
          <w:b w:val="0"/>
          <w:bCs w:val="0"/>
          <w:color w:val="000000"/>
          <w:sz w:val="21"/>
          <w:szCs w:val="21"/>
          <w:lang w:eastAsia="zh-CN"/>
        </w:rPr>
        <w:t>上海</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4,8</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numPr>
          <w:ilvl w:val="0"/>
          <w:numId w:val="0"/>
        </w:numPr>
        <w:spacing w:line="360" w:lineRule="exact"/>
        <w:ind w:leftChars="0"/>
        <w:rPr>
          <w:rFonts w:hint="eastAsia" w:ascii="微软雅黑" w:hAnsi="微软雅黑" w:eastAsia="微软雅黑" w:cs="微软雅黑"/>
        </w:rPr>
      </w:pPr>
      <w:r>
        <w:rPr>
          <w:rFonts w:hint="eastAsia" w:ascii="微软雅黑" w:hAnsi="微软雅黑" w:eastAsia="微软雅黑" w:cs="微软雅黑"/>
        </w:rPr>
        <w:t>随着市场竞争激烈程度的增加，开源节流成为市场的热点。采购已成为了一个重要的利润来源。采购市场的运作越来越规范化。采购领域内的相关的规范和相应的游戏规则是采购招标人员必备的知识。对于每天需要面对繁重的采购招标工作，解决实际问题的采购招标工作人员来说，往往无暇对繁杂的规范和规则等进行系统的归纳总结……</w:t>
      </w:r>
    </w:p>
    <w:p>
      <w:pPr>
        <w:numPr>
          <w:ilvl w:val="0"/>
          <w:numId w:val="0"/>
        </w:numPr>
        <w:spacing w:line="360" w:lineRule="exact"/>
        <w:ind w:leftChars="0"/>
        <w:rPr>
          <w:rFonts w:hint="eastAsia" w:ascii="微软雅黑" w:hAnsi="微软雅黑" w:eastAsia="微软雅黑" w:cs="微软雅黑"/>
        </w:rPr>
      </w:pPr>
      <w:r>
        <w:rPr>
          <w:rFonts w:hint="eastAsia" w:ascii="微软雅黑" w:hAnsi="微软雅黑" w:eastAsia="微软雅黑" w:cs="微软雅黑"/>
        </w:rPr>
        <w:t>如何在遵循相应的游戏规则的前提下，提高采购招标工作效率，规避风险，制订完善的招标文件，设计科学合理的评标规则，控制局面，选择合适的供应商，确保质量、交期、成本和服务等目标，成为摆在我们面前的难题。</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rPr>
        <w:t>本课程以采购招标的基本流程为线索，重点对采购领域所涉及到的相关法律法规及相应的游戏规则进行了系统全面地归纳总结，并分享了外资企业在操作方面的实战经验。</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hanging="1050" w:hangingChars="500"/>
        <w:textAlignment w:val="auto"/>
        <w:rPr>
          <w:rFonts w:hint="eastAsia" w:ascii="微软雅黑" w:hAnsi="微软雅黑" w:eastAsia="微软雅黑" w:cs="微软雅黑"/>
          <w:szCs w:val="21"/>
        </w:rPr>
      </w:pPr>
      <w:r>
        <w:rPr>
          <w:rFonts w:hint="eastAsia" w:ascii="微软雅黑" w:hAnsi="微软雅黑" w:eastAsia="微软雅黑" w:cs="微软雅黑"/>
          <w:kern w:val="0"/>
        </w:rPr>
        <w:t>采购主管、合同经理及合同管理人员、项目经理及项目管理人员、销售经理及销售人员等。</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课程收益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掌握规范的采购招标流程；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学会何时采取何种方式获得报价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学会邀请适当数量的供应商参与报价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学会选择适当的评标办法，制定科学合理的评标规则；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学会编制完善的招标文件并组织好采购招标、评标工作；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分享外资企业在采购招标方面的实战经验。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0"/>
        </w:rPr>
        <w:t>常见商务合同的管理重点和难点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0"/>
        </w:rPr>
        <w:t>合同陷阱的识别与风险的防范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0"/>
        </w:rPr>
        <w:t>商务合同纠纷的处理与对应</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0"/>
        </w:rPr>
        <w:t>合同管理的先进理念和流程</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授课特色</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textAlignment w:val="auto"/>
        <w:rPr>
          <w:rFonts w:hint="eastAsia" w:ascii="微软雅黑" w:hAnsi="微软雅黑" w:eastAsia="微软雅黑" w:cs="微软雅黑"/>
          <w:iCs/>
          <w:color w:val="000000"/>
        </w:rPr>
      </w:pPr>
      <w:r>
        <w:rPr>
          <w:rFonts w:hint="eastAsia" w:ascii="微软雅黑" w:hAnsi="微软雅黑" w:eastAsia="微软雅黑" w:cs="微软雅黑"/>
          <w:iCs/>
          <w:color w:val="000000"/>
        </w:rPr>
        <w:t>丰富的世界500强公司的国际采购实践经验；对采购案例的深入研究使得培训课程有很强的针对性和实践指导性；卓越的领导力和先进的方法论让学员在学习知识的同时得到整体的提升。</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授课方式</w:t>
      </w:r>
    </w:p>
    <w:p>
      <w:pPr>
        <w:keepNext w:val="0"/>
        <w:keepLines w:val="0"/>
        <w:pageBreakBefore w:val="0"/>
        <w:widowControl w:val="0"/>
        <w:tabs>
          <w:tab w:val="left" w:pos="807"/>
        </w:tabs>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案例研讨、角色扮演、视频学习、关键启发、顾问讲解、提问互动、经验分享</w:t>
      </w: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一、</w:t>
      </w:r>
      <w:r>
        <w:rPr>
          <w:rFonts w:hint="eastAsia" w:ascii="微软雅黑" w:hAnsi="微软雅黑" w:eastAsia="微软雅黑" w:cs="微软雅黑"/>
          <w:b/>
          <w:bCs/>
        </w:rPr>
        <w:t>招投标基本框架概述</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招投标的历史演进和意义</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采购寻源所遵循的主要步骤</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影响供应商获取与选择的主要维度</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如何选择适当的采购策略</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日常、杠杆、瓶颈和关键项目的寻源方法</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二、</w:t>
      </w:r>
      <w:r>
        <w:rPr>
          <w:rFonts w:hint="eastAsia" w:ascii="微软雅黑" w:hAnsi="微软雅黑" w:eastAsia="微软雅黑" w:cs="微软雅黑"/>
          <w:b/>
          <w:bCs/>
        </w:rPr>
        <w:t>招投标相关法律规范</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国际和国内招投标相关法律简介</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招投标法及实施条例解读和应用</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招投标中的注意事项</w:t>
      </w:r>
    </w:p>
    <w:p>
      <w:pPr>
        <w:numPr>
          <w:ilvl w:val="0"/>
          <w:numId w:val="0"/>
        </w:numPr>
        <w:spacing w:line="360" w:lineRule="exact"/>
        <w:ind w:left="420" w:leftChars="200"/>
        <w:rPr>
          <w:rFonts w:hint="eastAsia" w:ascii="微软雅黑" w:hAnsi="微软雅黑" w:eastAsia="微软雅黑" w:cs="微软雅黑"/>
          <w:b/>
          <w:bC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bCs/>
        </w:rPr>
        <w:t>实战经验分享及案例分析</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三、</w:t>
      </w:r>
      <w:r>
        <w:rPr>
          <w:rFonts w:hint="eastAsia" w:ascii="微软雅黑" w:hAnsi="微软雅黑" w:eastAsia="微软雅黑" w:cs="微软雅黑"/>
          <w:b/>
          <w:bCs/>
        </w:rPr>
        <w:t>招标流程及关键控制点</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采购招标的流程概述</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如何进行采购规划</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怎样制作招标文件</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通过规范流程管理杜绝违规现象</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评估供应商的步骤和方法</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招标关键点及控制方法</w:t>
      </w:r>
    </w:p>
    <w:p>
      <w:pPr>
        <w:numPr>
          <w:ilvl w:val="0"/>
          <w:numId w:val="0"/>
        </w:numPr>
        <w:spacing w:line="360" w:lineRule="exact"/>
        <w:ind w:left="420" w:leftChars="200"/>
        <w:rPr>
          <w:rFonts w:hint="eastAsia" w:ascii="微软雅黑" w:hAnsi="微软雅黑" w:eastAsia="微软雅黑" w:cs="微软雅黑"/>
          <w:b/>
          <w:bC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bCs/>
        </w:rPr>
        <w:t>实战经验分享及案例分析</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四、</w:t>
      </w:r>
      <w:r>
        <w:rPr>
          <w:rFonts w:hint="eastAsia" w:ascii="微软雅黑" w:hAnsi="微软雅黑" w:eastAsia="微软雅黑" w:cs="微软雅黑"/>
          <w:b/>
          <w:bCs/>
        </w:rPr>
        <w:t>企业采购招投标实务</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外企常用的招标采购方法</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招标中的商务谈判技巧</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招投标中的风险及分类</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如何识别和控制招标风险</w:t>
      </w:r>
    </w:p>
    <w:p>
      <w:pPr>
        <w:numPr>
          <w:ilvl w:val="0"/>
          <w:numId w:val="0"/>
        </w:numPr>
        <w:spacing w:line="360" w:lineRule="exact"/>
        <w:ind w:left="420" w:leftChars="200"/>
        <w:rPr>
          <w:rFonts w:hint="eastAsia" w:ascii="微软雅黑" w:hAnsi="微软雅黑" w:eastAsia="微软雅黑" w:cs="微软雅黑"/>
          <w:b/>
          <w:bC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bCs/>
        </w:rPr>
        <w:t>实战经验分享及案例分析</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五、</w:t>
      </w:r>
      <w:r>
        <w:rPr>
          <w:rFonts w:hint="eastAsia" w:ascii="微软雅黑" w:hAnsi="微软雅黑" w:eastAsia="微软雅黑" w:cs="微软雅黑"/>
          <w:b/>
          <w:bCs/>
        </w:rPr>
        <w:t>投标博弈过程及应对</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投标博弈的基本理论</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供应商投标的常见策略</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从供应商投标角度理解招投标的关键点</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如何应对招投标的一些主要问题</w:t>
      </w:r>
    </w:p>
    <w:p>
      <w:pPr>
        <w:numPr>
          <w:ilvl w:val="0"/>
          <w:numId w:val="0"/>
        </w:numPr>
        <w:spacing w:line="360" w:lineRule="exact"/>
        <w:ind w:left="420" w:leftChars="200"/>
        <w:rPr>
          <w:rFonts w:hint="eastAsia" w:ascii="微软雅黑" w:hAnsi="微软雅黑" w:eastAsia="微软雅黑" w:cs="微软雅黑"/>
          <w:b/>
          <w:bC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bCs/>
        </w:rPr>
        <w:t>实战经验分享及案例分析</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六、</w:t>
      </w:r>
      <w:r>
        <w:rPr>
          <w:rFonts w:hint="eastAsia" w:ascii="微软雅黑" w:hAnsi="微软雅黑" w:eastAsia="微软雅黑" w:cs="微软雅黑"/>
          <w:b/>
          <w:bCs/>
        </w:rPr>
        <w:t>合同的基本概念和常见类型</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要约与承诺的生效</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要约与承诺的撤回/取消</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合同的成立和生效条件</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企业常用合同形式</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采购订单的作用</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七、</w:t>
      </w:r>
      <w:r>
        <w:rPr>
          <w:rFonts w:hint="eastAsia" w:ascii="微软雅黑" w:hAnsi="微软雅黑" w:eastAsia="微软雅黑" w:cs="微软雅黑"/>
          <w:b/>
          <w:bCs/>
        </w:rPr>
        <w:t>合同的制作和签订</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如何描述标的</w:t>
      </w:r>
    </w:p>
    <w:p>
      <w:pPr>
        <w:numPr>
          <w:ilvl w:val="0"/>
          <w:numId w:val="0"/>
        </w:numPr>
        <w:tabs>
          <w:tab w:val="left" w:pos="1320"/>
          <w:tab w:val="left" w:pos="9000"/>
        </w:tabs>
        <w:spacing w:line="360" w:lineRule="exact"/>
        <w:ind w:left="0" w:leftChars="0"/>
        <w:rPr>
          <w:rFonts w:hint="eastAsia" w:ascii="微软雅黑" w:hAnsi="微软雅黑" w:eastAsia="微软雅黑" w:cs="微软雅黑"/>
        </w:rPr>
      </w:pP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价格条款的选择决策模型</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质量交付条款该如何制定</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保证金和违约金的规定</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合同一般条款的分析</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常用的合同模板讲解</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制作合同的技巧</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合同如何看上去美观</w:t>
      </w:r>
    </w:p>
    <w:p>
      <w:pPr>
        <w:numPr>
          <w:ilvl w:val="0"/>
          <w:numId w:val="0"/>
        </w:numPr>
        <w:spacing w:line="360" w:lineRule="exact"/>
        <w:ind w:left="420" w:leftChars="200"/>
        <w:rPr>
          <w:rFonts w:hint="eastAsia" w:ascii="微软雅黑" w:hAnsi="微软雅黑" w:eastAsia="微软雅黑" w:cs="微软雅黑"/>
          <w:b/>
          <w:bC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bCs/>
        </w:rPr>
        <w:t>实战经验分享及案例分析</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八、</w:t>
      </w:r>
      <w:r>
        <w:rPr>
          <w:rFonts w:hint="eastAsia" w:ascii="微软雅黑" w:hAnsi="微软雅黑" w:eastAsia="微软雅黑" w:cs="微软雅黑"/>
          <w:b/>
          <w:bCs/>
        </w:rPr>
        <w:t>合同管理概述</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合同管理的原则</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合同管理的常见问题和对策</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合同进度的管理与控制方法</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合同管理人的职责</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合同管理中的供应商管理</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合同纠纷的解决方式</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合同终止与解除的管理与控制方法</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合同收尾工作</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如何防范合同欺诈</w:t>
      </w:r>
    </w:p>
    <w:p>
      <w:pPr>
        <w:numPr>
          <w:ilvl w:val="0"/>
          <w:numId w:val="0"/>
        </w:numPr>
        <w:spacing w:line="360" w:lineRule="exact"/>
        <w:ind w:left="0" w:leftChars="0"/>
        <w:rPr>
          <w:rFonts w:hint="eastAsia" w:ascii="微软雅黑" w:hAnsi="微软雅黑" w:eastAsia="微软雅黑" w:cs="微软雅黑"/>
          <w:b/>
          <w:bCs/>
        </w:rPr>
      </w:pPr>
      <w:r>
        <w:rPr>
          <w:rFonts w:hint="eastAsia" w:ascii="微软雅黑" w:hAnsi="微软雅黑" w:eastAsia="微软雅黑" w:cs="微软雅黑"/>
          <w:b/>
          <w:bCs/>
          <w:lang w:val="en-US" w:eastAsia="zh-CN"/>
        </w:rPr>
        <w:t>九、</w:t>
      </w:r>
      <w:r>
        <w:rPr>
          <w:rFonts w:hint="eastAsia" w:ascii="微软雅黑" w:hAnsi="微软雅黑" w:eastAsia="微软雅黑" w:cs="微软雅黑"/>
          <w:b/>
          <w:bCs/>
        </w:rPr>
        <w:t>合同管理系统</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分散合同管理的挑战</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集中合同管理的利益</w:t>
      </w:r>
    </w:p>
    <w:p>
      <w:pPr>
        <w:numPr>
          <w:ilvl w:val="0"/>
          <w:numId w:val="0"/>
        </w:numPr>
        <w:tabs>
          <w:tab w:val="left" w:pos="1320"/>
          <w:tab w:val="left" w:pos="9000"/>
        </w:tabs>
        <w:spacing w:line="360" w:lineRule="exact"/>
        <w:ind w:left="420" w:leftChars="20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如何设计合同管理系统</w:t>
      </w:r>
    </w:p>
    <w:p>
      <w:pPr>
        <w:keepNext w:val="0"/>
        <w:keepLines w:val="0"/>
        <w:pageBreakBefore w:val="0"/>
        <w:widowControl w:val="0"/>
        <w:numPr>
          <w:ilvl w:val="0"/>
          <w:numId w:val="0"/>
        </w:numPr>
        <w:tabs>
          <w:tab w:val="left" w:pos="1320"/>
          <w:tab w:val="left" w:pos="9000"/>
        </w:tabs>
        <w:kinsoku/>
        <w:wordWrap/>
        <w:overflowPunct/>
        <w:topLinePunct w:val="0"/>
        <w:autoSpaceDE/>
        <w:autoSpaceDN/>
        <w:bidi w:val="0"/>
        <w:adjustRightInd/>
        <w:snapToGrid/>
        <w:spacing w:after="157" w:afterLines="50" w:line="360" w:lineRule="exact"/>
        <w:ind w:left="420" w:leftChars="20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合同管理系统实例分享</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bCs/>
          <w:sz w:val="24"/>
          <w:szCs w:val="24"/>
          <w:lang w:val="en-US" w:eastAsia="zh-CN"/>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sz w:val="24"/>
          <w:szCs w:val="24"/>
          <w:lang w:val="en-US" w:eastAsia="zh-CN"/>
          <w14:shadow w14:blurRad="50800" w14:dist="38100" w14:dir="18900000" w14:sx="100000" w14:sy="100000" w14:kx="0" w14:ky="0" w14:algn="bl">
            <w14:srgbClr w14:val="000000">
              <w14:alpha w14:val="60000"/>
            </w14:srgbClr>
          </w14:shadow>
        </w:rPr>
        <w:drawing>
          <wp:anchor distT="0" distB="0" distL="114300" distR="114300" simplePos="0" relativeHeight="251659264" behindDoc="0" locked="0" layoutInCell="1" allowOverlap="1">
            <wp:simplePos x="0" y="0"/>
            <wp:positionH relativeFrom="column">
              <wp:posOffset>-15875</wp:posOffset>
            </wp:positionH>
            <wp:positionV relativeFrom="paragraph">
              <wp:posOffset>62230</wp:posOffset>
            </wp:positionV>
            <wp:extent cx="1543685" cy="2122805"/>
            <wp:effectExtent l="0" t="0" r="5715" b="10795"/>
            <wp:wrapSquare wrapText="bothSides"/>
            <wp:docPr id="12" name="图片 12" descr="宋福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宋福友"/>
                    <pic:cNvPicPr>
                      <a:picLocks noChangeAspect="1"/>
                    </pic:cNvPicPr>
                  </pic:nvPicPr>
                  <pic:blipFill>
                    <a:blip r:embed="rId6"/>
                    <a:srcRect l="20408" t="11512" r="9681" b="24420"/>
                    <a:stretch>
                      <a:fillRect/>
                    </a:stretch>
                  </pic:blipFill>
                  <pic:spPr>
                    <a:xfrm>
                      <a:off x="0" y="0"/>
                      <a:ext cx="1543685" cy="2122805"/>
                    </a:xfrm>
                    <a:prstGeom prst="rect">
                      <a:avLst/>
                    </a:prstGeom>
                  </pic:spPr>
                </pic:pic>
              </a:graphicData>
            </a:graphic>
          </wp:anchor>
        </w:drawing>
      </w: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r>
        <w:rPr>
          <w:rFonts w:hint="eastAsia" w:ascii="微软雅黑" w:hAnsi="微软雅黑" w:eastAsia="微软雅黑" w:cs="微软雅黑"/>
          <w:b/>
          <w:bCs/>
          <w:sz w:val="24"/>
          <w:szCs w:val="24"/>
          <w:lang w:val="en-US" w:eastAsia="zh-CN"/>
          <w14:shadow w14:blurRad="50800" w14:dist="38100" w14:dir="18900000" w14:sx="100000" w14:sy="100000" w14:kx="0" w14:ky="0" w14:algn="bl">
            <w14:srgbClr w14:val="000000">
              <w14:alpha w14:val="60000"/>
            </w14:srgbClr>
          </w14:shadow>
        </w:rPr>
        <w:t>Foy Song</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北京博润伟业管理顾问有限公司高级培训师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对外经济贸易大学学士</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超过22年跨国公司的国际采购和管理实践经验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经历过国企、民企及外企各种体制的资深采购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先后在天狮集团、诺基亚、微软、培生等多家世界500强跨国公司任职超过22年。在天狮集团任采购部经理，主导了采购架构重组，并负责集团各项物资包括多个大型招投标项目的采购；在诺基亚和微软分别担任亚太区高级采购经理、全球品类管理经理，主管亚太区市场营销服务类采购，年采购金额超过3亿美元；在培生教育集团任大中国区采购总监，完成集中采购组织、流程、系统的建立和整合，品类管理和合同管理的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rPr>
        <w:t>主要负责过的工作和项目包括：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主导产业园区多业务单元大型工程、设备及物资招投标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设计和实施跨业务单元集中采购模式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建立亚太区间接采购体系和供应商管理体系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制定和实施全球采购战略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全球市场营销战略供应商整合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非生产物料品类管理战略和项目实施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采购团队技能水平识别和持续提升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对战略采购、品类管理和供应商管理有独到经验和见解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rPr>
        <w:t>讲授过的课程</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rPr>
      </w:pPr>
      <w:r>
        <w:rPr>
          <w:rFonts w:hint="eastAsia" w:ascii="微软雅黑" w:hAnsi="微软雅黑" w:eastAsia="微软雅黑" w:cs="微软雅黑"/>
        </w:rPr>
        <w:t>《招投标和合同管理》《采购谈判方法和技巧》《构建卓越采购体系》《SRM供应商关系管理》</w:t>
      </w:r>
    </w:p>
    <w:p>
      <w:pPr>
        <w:rPr>
          <w:rFonts w:hint="eastAsia"/>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sz w:val="18"/>
        <w:szCs w:val="18"/>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4E645E8"/>
    <w:rsid w:val="059A72F2"/>
    <w:rsid w:val="065E2CEC"/>
    <w:rsid w:val="08AB3C90"/>
    <w:rsid w:val="10E91628"/>
    <w:rsid w:val="12532209"/>
    <w:rsid w:val="15057423"/>
    <w:rsid w:val="1CDD5EAD"/>
    <w:rsid w:val="1FDB4E8A"/>
    <w:rsid w:val="243F3C0F"/>
    <w:rsid w:val="244662C7"/>
    <w:rsid w:val="2A9C1216"/>
    <w:rsid w:val="33141748"/>
    <w:rsid w:val="3FE76D5D"/>
    <w:rsid w:val="418038F5"/>
    <w:rsid w:val="458D4A3B"/>
    <w:rsid w:val="460A25D2"/>
    <w:rsid w:val="496A1199"/>
    <w:rsid w:val="4B9C7588"/>
    <w:rsid w:val="4D402F0C"/>
    <w:rsid w:val="51BA5C7F"/>
    <w:rsid w:val="5509696D"/>
    <w:rsid w:val="595605B8"/>
    <w:rsid w:val="5C180C4C"/>
    <w:rsid w:val="60BA2D13"/>
    <w:rsid w:val="64566B02"/>
    <w:rsid w:val="64DF0625"/>
    <w:rsid w:val="65F87BE4"/>
    <w:rsid w:val="69681F0C"/>
    <w:rsid w:val="724A32B7"/>
    <w:rsid w:val="76D83018"/>
    <w:rsid w:val="76ED7D45"/>
    <w:rsid w:val="78EA0CEC"/>
    <w:rsid w:val="79967556"/>
    <w:rsid w:val="7C503F7A"/>
    <w:rsid w:val="7D2C6CBD"/>
    <w:rsid w:val="7E102BB6"/>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0"/>
    <w:rPr>
      <w:rFonts w:cs="Times New Roman"/>
      <w:color w:val="CC0000"/>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2023-12-05T07:39:36Z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3E123871597F4AF39C4C8880882B8D04</vt:lpwstr>
  </property>
</Properties>
</file>