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51321466"/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eastAsia="zh-Hans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val="en-US" w:eastAsia="zh-Hans"/>
        </w:rPr>
        <w:t>类员工离职情形及优化谈判实务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【报名详情】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场次： 202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4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 xml:space="preserve">费用： 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4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u w:val="single"/>
        </w:rPr>
        <w:t>980元/ 人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（差旅费用请自理）</w:t>
      </w:r>
    </w:p>
    <w:p>
      <w:pPr>
        <w:spacing w:line="420" w:lineRule="exact"/>
        <w:jc w:val="left"/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【课程背景】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随着法律体系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员工法律意识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维权途径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法律能力的变化等影响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企业需要从碎片式的合规方式调整为建立系统性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全面性预</w:t>
      </w:r>
      <w:bookmarkStart w:id="1" w:name="_GoBack"/>
      <w:bookmarkEnd w:id="1"/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警合规机制建设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因此特设计本次课程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从内容框架角度讲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涵盖所有劳资双方结束关系的情形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从研习逻辑讲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每一解除方式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都从法定概念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解除流程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高频风险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成本结算等角度进行全纬度讲解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从劳动法规的地方差异讲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除了体系讲解全国和各省市共性内容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还要单独增加地方深化课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保障体系内容在各地区的适用性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从学习效果保障讲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有体系学习输入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课程演练输出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训练营全过程答疑解惑来保障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。</w:t>
      </w:r>
    </w:p>
    <w:p>
      <w:pPr>
        <w:spacing w:line="420" w:lineRule="exact"/>
        <w:jc w:val="lef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  <w:lang w:val="en-US" w:eastAsia="zh-CN"/>
        </w:rPr>
        <w:t>培训目标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本课程体系</w:t>
      </w:r>
      <w:r>
        <w:rPr>
          <w:rFonts w:hint="eastAsia" w:ascii="微软雅黑" w:hAnsi="微软雅黑" w:eastAsia="微软雅黑" w:cs="微软雅黑"/>
          <w:sz w:val="21"/>
          <w:szCs w:val="21"/>
        </w:rPr>
        <w:t>以帮助HR提升劳动法律知识应用能力及员工关系实务管理能力。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本课程体系</w:t>
      </w:r>
      <w:r>
        <w:rPr>
          <w:rFonts w:hint="eastAsia" w:ascii="微软雅黑" w:hAnsi="微软雅黑" w:eastAsia="微软雅黑" w:cs="微软雅黑"/>
          <w:sz w:val="21"/>
          <w:szCs w:val="21"/>
        </w:rPr>
        <w:t>以帮助HR成为具备人力资源管理能力+法务实操能力的双向人才。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法律体系：HR必备法律体系及法律逻辑体系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法务能力：系统掌握法律结合员工关系处理实操的方法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◆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工具</w:t>
      </w:r>
      <w:r>
        <w:rPr>
          <w:rFonts w:hint="eastAsia" w:ascii="微软雅黑" w:hAnsi="微软雅黑" w:eastAsia="微软雅黑" w:cs="微软雅黑"/>
          <w:sz w:val="21"/>
          <w:szCs w:val="21"/>
        </w:rPr>
        <w:t>设计：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培养用工表单</w:t>
      </w:r>
      <w:r>
        <w:rPr>
          <w:rFonts w:hint="default" w:ascii="微软雅黑" w:hAnsi="微软雅黑" w:eastAsia="微软雅黑" w:cs="微软雅黑"/>
          <w:sz w:val="21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协议的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设计修订能力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风险防控：提升企业劳资纠纷法律风险预判、分析、防范能力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和谐稳定：帮助企业调整管理思路，维持劳动关系和谐稳定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  <w:t xml:space="preserve">【课程大纲】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第一章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企业解除10类情形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过错性辞退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过错性辞退风控操作指引（不符合录用条件解除）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不符合录用条件”法定概念分析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不符合录用条件”解除流程指引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录用条件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”10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类共性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+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个性条款设计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试用期内精神病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工伤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培训服务期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泡病号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过错性辞退风控操作指引（严重违规解除）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严重违反用人单位规章制度中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严重”法定概念分析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严重违规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”解除流程指引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（小错不断/大错不犯、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旷工处理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异议程序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无适用条款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过错性辞退风控操作指引（严重失职解除）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严重失职”“营私舞弊”“重大损害”法定概念分析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严重失职，营私舞弊，给用人单位造成重大损害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”解除流程指引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解除高频风控实务（本职工作界定、重大损害界定）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四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过错性辞退风控操作指引（兼职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合同无效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被追究刑事责任）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兼职”“合同无效”“被追究刑事责任”法定概念分析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三类”解除流程指引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非过错性辞退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五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非过错性辞退风控操作指引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医疗期满解除）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医疗期满”“不能从事工作”法定概念分析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患病或非因工负伤，医疗期满后不能从事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新旧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工作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”解除流程指引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解除高频风控实务（虚假病假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泡病号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特殊疾病医疗期计算）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六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非过错性辞退风控操作指引（不胜任工作解除）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不胜任”“培训”“调岗”法定概念分析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不胜任工作”解除流程指引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解除高频风控实务（岗位职责设计、岗位拒签、绩效改进替代培训、调岗违法）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七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非过错性辞退风控操作指引（情势变更解除）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客观情况发生重大变化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”“合同无法履行”法定概念分析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情势变更”解除流程指引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4解除高频风控实务（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如何认定客观情况发生变化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、变化是否包含员工之情况）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第二章 员工辞职10类情形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【员工主动辞职】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主动辞职风控操作指引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CN"/>
        </w:rPr>
        <w:t>主动辞职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法定概念分析及要件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如何最大化规避员工未提前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30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天或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天辞职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主动辞职操作高频风控实务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口头辞职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不告而别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撤销辞职申请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【员工被动辞职】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被动辞职风控操作指引（劳保条件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劳动报酬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社保）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被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CN"/>
        </w:rPr>
        <w:t>动辞职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法定概念分析及要件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未提供约定劳保条件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用人单位未及时足额支付劳动报酬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用人单位未依法缴纳社会保险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被动辞职风控操作指引（制度违法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合同无效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强迫劳动）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用人单位规章制度违法且损害员工利益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用人单位以欺诈、胁迫或乘人之危与员工签订或变更合同导致条款无效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用人单位违反法律强制性规定用工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第三章 合同终止1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类情形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法定终止风控操作指引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1合同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期满终止 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员工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享受退休待遇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达到退休年龄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死亡或失踪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破产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执照被吊销、关闭、撤销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自行解散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特殊终止风控操作指引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highlight w:val="none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highlight w:val="none"/>
        </w:rPr>
        <w:t>1以完成一定工作任务为期限合同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highlight w:val="none"/>
          <w:lang w:val="en-US" w:eastAsia="zh-Hans"/>
        </w:rPr>
        <w:t>终止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非全日制劳动合同终止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劳务派遣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经营期限届满不再继续经营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终止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分支机构撤销后员工关系终止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第四章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非标准解除终止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11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类情形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事实劳动关系结束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事实劳动关系结束风控操作指引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首月劳动者不签合同企业终止关系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超过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月不满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年劳动者不签合同企业终止关系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CN" w:bidi="ar-SA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合同期满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未续签继续用工终止劳动关系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签订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《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合作协议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》+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被认定事实劳动关系下的解除赔偿新变化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赔偿金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未签合同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倍工资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协商解除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协商解除风控操作指引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协商一致”法定概念分析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协商一致”解除流程指引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协商解除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日约定技巧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离岗日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交接日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付款日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补偿项目及标准约定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签订后反悔申请认定协议无效或撤销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、员工放弃诉权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效力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第五章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特殊解除终止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12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限制解除终止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限制解除终止风控操作指引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限制解除或终止的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6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类情形（职业病未检、工伤丧劳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医疗期、女工三期、15+5员工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试用期）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限制终止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类情形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培训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服务期未到期、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疫情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工会主席等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职工协商代表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违法解除终止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违法解除终止风控操作指引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所有合同终止解除情形需满足的通用法定程序及要求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违法解除终止后果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支付赔偿金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支付诉讼期工资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恢复劳动关系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仲裁法院判决恢复劳动关系的裁审标准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特殊群体解除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 xml:space="preserve"> 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特殊群体解除风控操作指引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董事会聘任高级管理人员的岗位终止及合同解除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非董事会聘任中高级管理人员的岗位终止及合同解除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第六章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解除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辞职“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8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金”离职成本核算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支付解除成本的情形及科目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1 44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类离职成本汇总表对照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离职最常见“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8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金”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通过关联公司轮流签订合同等方式清零工龄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达到降低赔偿年限的裁判口径分析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赔偿补偿计发实务（经济补偿金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赔偿金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代通知金、医疗补助费、一次性伤残就业补助金）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22225</wp:posOffset>
            </wp:positionV>
            <wp:extent cx="1824990" cy="2738120"/>
            <wp:effectExtent l="0" t="0" r="3810" b="5080"/>
            <wp:wrapTight wrapText="bothSides">
              <wp:wrapPolygon>
                <wp:start x="256" y="0"/>
                <wp:lineTo x="256" y="21440"/>
                <wp:lineTo x="21600" y="21440"/>
                <wp:lineTo x="21600" y="0"/>
                <wp:lineTo x="256" y="0"/>
              </wp:wrapPolygon>
            </wp:wrapTight>
            <wp:docPr id="1" name="图片 1" descr="7aa94fa77a8036d1d958a66b4d0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a94fa77a8036d1d958a66b4d049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499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赔偿补偿计发实务（服务期违约金、竞业限制违约金、员工履职赔偿金）</w:t>
      </w:r>
    </w:p>
    <w:p>
      <w:pPr>
        <w:spacing w:line="420" w:lineRule="exact"/>
        <w:jc w:val="left"/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【讲师介绍-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  <w:lang w:val="en-US" w:eastAsia="zh-Hans"/>
        </w:rPr>
        <w:t>祝老师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】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环球人力资源智库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特聘劳动法讲师、咨询师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智联特聘劳动法讲师、咨询师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“HR法研社”创始人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晋泰律师事务所特聘灵工法务项目发起人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先之教育劳动法特聘专家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天眼查特聘劳动法讲师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人才培养与发展专家，资深人力资源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法务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管理者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8年人力资源管理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法务风控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落地指导经验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8年专业劳动法律师事务所管理经验</w:t>
      </w:r>
    </w:p>
    <w:p>
      <w:pPr>
        <w:jc w:val="left"/>
        <w:rPr>
          <w:rFonts w:hint="eastAsia" w:ascii="Microsoft YaHei Regular" w:hAnsi="Microsoft YaHei Regular" w:eastAsia="Microsoft YaHei Regular" w:cs="Microsoft YaHei Regular"/>
          <w:color w:val="C00000"/>
          <w:sz w:val="15"/>
          <w:szCs w:val="15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HR法研社“人财法税”12+灵工模式项目设计导师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Microsoft YaHei Regular" w:hAnsi="Microsoft YaHei Regular" w:eastAsia="Microsoft YaHei Regular" w:cs="Microsoft YaHei Regular"/>
          <w:b w:val="0"/>
          <w:bCs w:val="0"/>
          <w:i w:val="0"/>
          <w:iCs w:val="0"/>
          <w:sz w:val="21"/>
          <w:szCs w:val="21"/>
          <w:lang w:eastAsia="zh-Hans"/>
        </w:rPr>
      </w:pPr>
    </w:p>
    <w:sectPr>
      <w:headerReference r:id="rId5" w:type="default"/>
      <w:footerReference r:id="rId6" w:type="default"/>
      <w:pgSz w:w="11900" w:h="16840"/>
      <w:pgMar w:top="1440" w:right="1080" w:bottom="1440" w:left="1080" w:header="758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8" w:rightChars="37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YjM4NjJhZjVhMjU1OTFjZTljZmJlZjVkNzRhZDAifQ=="/>
  </w:docVars>
  <w:rsids>
    <w:rsidRoot w:val="009D0CF5"/>
    <w:rsid w:val="00000EE5"/>
    <w:rsid w:val="00010D2B"/>
    <w:rsid w:val="000936A0"/>
    <w:rsid w:val="000A3BBB"/>
    <w:rsid w:val="000D4DF5"/>
    <w:rsid w:val="0017530F"/>
    <w:rsid w:val="00183B62"/>
    <w:rsid w:val="001A3097"/>
    <w:rsid w:val="00297F41"/>
    <w:rsid w:val="0030157E"/>
    <w:rsid w:val="003135CE"/>
    <w:rsid w:val="00407CAF"/>
    <w:rsid w:val="00416221"/>
    <w:rsid w:val="00430D8A"/>
    <w:rsid w:val="00522443"/>
    <w:rsid w:val="00595B6F"/>
    <w:rsid w:val="005A23BF"/>
    <w:rsid w:val="00634BE3"/>
    <w:rsid w:val="00657FD1"/>
    <w:rsid w:val="006B1367"/>
    <w:rsid w:val="006D36E1"/>
    <w:rsid w:val="006D7B5A"/>
    <w:rsid w:val="006E0553"/>
    <w:rsid w:val="00716671"/>
    <w:rsid w:val="007501C8"/>
    <w:rsid w:val="007C1EF0"/>
    <w:rsid w:val="007C7000"/>
    <w:rsid w:val="008D61F7"/>
    <w:rsid w:val="008E162F"/>
    <w:rsid w:val="008F047F"/>
    <w:rsid w:val="00937DEE"/>
    <w:rsid w:val="009D04FF"/>
    <w:rsid w:val="009D0CF5"/>
    <w:rsid w:val="009F3A3D"/>
    <w:rsid w:val="00A74755"/>
    <w:rsid w:val="00BB7B9F"/>
    <w:rsid w:val="00BF7A30"/>
    <w:rsid w:val="00C707BC"/>
    <w:rsid w:val="00C730AC"/>
    <w:rsid w:val="00D56FEE"/>
    <w:rsid w:val="00D96CEB"/>
    <w:rsid w:val="00DF2D8E"/>
    <w:rsid w:val="00DF555D"/>
    <w:rsid w:val="00E45089"/>
    <w:rsid w:val="00E45F2C"/>
    <w:rsid w:val="00E64501"/>
    <w:rsid w:val="00ED7DAF"/>
    <w:rsid w:val="00F35E02"/>
    <w:rsid w:val="00FC5152"/>
    <w:rsid w:val="02AD739F"/>
    <w:rsid w:val="17086F76"/>
    <w:rsid w:val="186B1138"/>
    <w:rsid w:val="27FFA0F4"/>
    <w:rsid w:val="2B8B12B1"/>
    <w:rsid w:val="2EAB4F9F"/>
    <w:rsid w:val="2ED50182"/>
    <w:rsid w:val="36FFC43F"/>
    <w:rsid w:val="39B917E2"/>
    <w:rsid w:val="3D4E02B1"/>
    <w:rsid w:val="57A16050"/>
    <w:rsid w:val="5E679304"/>
    <w:rsid w:val="5F7E4AB3"/>
    <w:rsid w:val="5FB71E97"/>
    <w:rsid w:val="759323FF"/>
    <w:rsid w:val="75DD2B1B"/>
    <w:rsid w:val="77FC6EFA"/>
    <w:rsid w:val="7BDF611B"/>
    <w:rsid w:val="7BFA3A28"/>
    <w:rsid w:val="7C4EE014"/>
    <w:rsid w:val="AFFEEFE1"/>
    <w:rsid w:val="D7B3BDC9"/>
    <w:rsid w:val="DEBFAD07"/>
    <w:rsid w:val="DFFBE7B7"/>
    <w:rsid w:val="EAFCC5C7"/>
    <w:rsid w:val="EBFF5086"/>
    <w:rsid w:val="F9F35B1C"/>
    <w:rsid w:val="FBBF85B0"/>
    <w:rsid w:val="FFE62138"/>
    <w:rsid w:val="FFFF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4">
    <w:name w:val="Block Text"/>
    <w:basedOn w:val="1"/>
    <w:qFormat/>
    <w:uiPriority w:val="99"/>
    <w:pPr>
      <w:tabs>
        <w:tab w:val="left" w:pos="9000"/>
      </w:tabs>
      <w:spacing w:after="120"/>
      <w:ind w:left="1440" w:leftChars="700" w:right="1440" w:rightChars="7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2538</Words>
  <Characters>2563</Characters>
  <Lines>9</Lines>
  <Paragraphs>2</Paragraphs>
  <TotalTime>2</TotalTime>
  <ScaleCrop>false</ScaleCrop>
  <LinksUpToDate>false</LinksUpToDate>
  <CharactersWithSpaces>2587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2021-03-22T17:49:00Z</dcterms:created>
  <dc:creator>Microsoft Office User</dc:creator>
  <cp:lastModifiedBy>叶莹莹</cp:lastModifiedBy>
  <cp:lastPrinted>2020-11-26T23:19:00Z</cp:lastPrinted>
  <dcterms:modified xsi:type="dcterms:W3CDTF">2023-11-29T02:31:58Z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D89614F9584D0CA31A9F0B6523F9896E_43</vt:lpwstr>
  </property>
</Properties>
</file>