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学德鲁克：DISC在团队管理中的应用（测评认知篇）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The Application of DISC in Team Management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赖老师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¥5800元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深圳：2024年03月22日-23日</w:t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0"/>
        </w:rPr>
        <w:t xml:space="preserve">深圳：2024年08月16日-17日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课程背景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才测评通过科学方法对个体的行为和内在素质进行分析，为人事决策提供可靠、客观的依据，为人事决策提供参考性建议，是人事决策的基本工具。人才测评对企业人力资源的有效开发与利用、个人择业与事业发展，都有着十分重要的意义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授课方式：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训前测评+报告解读+互动研讨+案例教学+音像资料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课程时长：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2天（12小时）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学习后的收益：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对学员自身:深入客观了解自己的行事风格及特点。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对团队管理:识别不同人的行为风格，了解他们行为背后隐藏的特点做到有针对性的用人、激励人，打造高效团队组合。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对团队协作:了解其行事风格，建立润滑与互补的合作关系。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对客户或合作伙伴:了解客户的特性，正确解读其传达出的需求信息，以创造更高的业绩。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模块一：领导者的行为对个人或团队工作效率的影响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1．严苛管理对高移情领导工作效率的影响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2．严苛管理对低移情领导工作效率的影响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3．严苛管理对团队工作效率的影响曲线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模块二：提升DISC四类行为风格的领导效能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1．DISC双轴线模型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2．D行为风格特征与优劣势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——如何提升D的工作效率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3．I行为风格特征与优劣势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——如何提升I的工作效率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4．S行为风格特征与优劣势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——如何提升S的工作效率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5．C行为风格特征与优劣势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——如何提升C的工作效率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讨论：DISC四类行为风格中哪类领导风格有利于提升团队工作绩效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模块三：有效识别性格与行为特征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1．场景识别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2．九问识别法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3．VisualDISC三步识人法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4．专业测评工具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——专业测评报告解读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模块四、建立信任，实现团队高效融合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1．第一团队最佳人数实践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2．团队协作中为什么会存在问题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3．什么是信任，团队中应该如何建立信任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3.1  沙克尔顿航海的启示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3.2  信任公式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3.3  建立信任的三个技巧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4．冲突会损害来之不易的团队融和吗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4.1  什么是冲突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4.2  良性冲突的特征是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4.3  建立团队良性冲突的技巧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案例练习：赢在中国片段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4.4  团队冲突解决模型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模块五、角色互补，搭建高绩效团队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1．几种常见的团队的特征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1.1  最典型的四种团队优劣性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1.2  什么样的团队最具有创造力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1.3  什么样的团队最具有变革推动力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1.4  什么样的团队最具有执行力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2．高绩效团队及其角色特征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2.1  高绩效团队特征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2.2  团队角色的最佳匹配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案例练习：团队效能与文化诊断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2.3  让每个角色都发挥应有的作用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案例练习：某研发公司的团队组建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模块六、 回顾与总结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1．回顾所学，总结学习要点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2．制定个人与团队改进的计划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赖老师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原某家电集团全球人力资源总监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广州中山大学新华学院              副教授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上海交通大学                      客座教授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《领越领导力》                    认证讲师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《FDT克服团队协作五项障碍》      认证讲师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• 《基于绩效的领导力》              认证讲师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实战经历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赖老师曾就职于美的、格兰仕等国内外知名企业。原中国500强企业高管，原格兰仕集团考核委员会成员。15年企业及人力资源高管经历，8年管理咨询经历，具有丰富的企业经营及人才管理实践经验，擅长基于战略组织体系的打造，尤其在领导力开发、人才发展方面有独特的造诣。同时在战略解码，激励体系，人才供应链打造等方面有丰富的实战经验，拥有独家版权的人才测评系统和多门版权课程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服务过家电、快销、房地产、新材料、生物科技、银行、电商等多个行业，具备丰富的培训授课及管理咨询经验。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擅长领域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擅长《克服团队协作五项障碍》、《领越领导力》、《人才盘点》、《组织诊断与组织设计》、《基于绩效的领导力》、《敏捷人才供应链构建》等课程。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专业领域涉及人才发展、人才测评、领导力发展，人力资源管理体系咨询等。 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客户代表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工商银行、顺德农商行、碧桂园金融、万科地产、佳兆业地产，美的制冷、努比亚科技、中国陶瓷城、鹰牌陶瓷、新明珠陶瓷、智联招聘、海天、联川生物、卫光生物、海威斯特、美兆科技、塔塔木业、新纶科技、浙江大学无锡私董会等。</w:t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2024-02-26T16:08:39Z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