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  <w:lang w:eastAsia="zh-CN"/>
        </w:rPr>
        <w:t>《</w:t>
      </w:r>
      <w:r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</w:rPr>
        <w:t>人才盘点与发展体系全案设计班（</w:t>
      </w:r>
      <w:r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  <w:lang w:val="en-US" w:eastAsia="zh-CN"/>
        </w:rPr>
        <w:t>3</w:t>
      </w:r>
      <w:r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</w:rPr>
        <w:t>天</w:t>
      </w:r>
      <w:r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  <w:lang w:val="en-US" w:eastAsia="zh-CN"/>
        </w:rPr>
        <w:t>2</w:t>
      </w:r>
      <w:r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</w:rPr>
        <w:t>夜）</w:t>
      </w:r>
      <w:r>
        <w:rPr>
          <w:rFonts w:hint="eastAsia" w:ascii="Microsoft YaHei Regular" w:hAnsi="Microsoft YaHei Regular" w:eastAsia="Microsoft YaHei Regular" w:cs="Microsoft YaHei Regular"/>
          <w:b w:val="0"/>
          <w:sz w:val="36"/>
          <w:szCs w:val="36"/>
          <w:lang w:eastAsia="zh-CN"/>
        </w:rPr>
        <w:t>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>场次：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2024年</w:t>
      </w:r>
    </w:p>
    <w:p>
      <w:pPr>
        <w:spacing w:line="276" w:lineRule="auto"/>
        <w:jc w:val="both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费用：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 w:themeColor="text1"/>
          <w:kern w:val="0"/>
          <w:sz w:val="21"/>
          <w:szCs w:val="21"/>
          <w:u w:val="single"/>
          <w14:textFill>
            <w14:solidFill>
              <w14:schemeClr w14:val="tx1"/>
            </w14:solidFill>
          </w14:textFill>
        </w:rPr>
        <w:t>980/元人（差旅费用请自理）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【课程收益】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通过对人才的盘点与评估，建设企业核心人才梯队，可以达成以下目标：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战略链接：真正将人力资源与战略需求链接在一起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辨识人才：全方位评价各序列各层级人才,让高潜人才浮出水面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统一语言：不同管理者用同一把尺子评价人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领导力提升：提升管理者的识人用人水平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培养梯队：通过培养后备人才池，建设人才梯队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调配资源：整合并调配内、外部人才资源</w:t>
      </w:r>
    </w:p>
    <w:p>
      <w:pPr>
        <w:pStyle w:val="13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人效提升：实现资源利用的最大化，不断提升组织人效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课程交付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】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战略挑战下，组织对未来3-5年人才的需求澄清与整体规划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人才选聘/盘点的标准与评价实施方式选择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各层级领导干部的工序差距与进出配置的渠道设计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技术专家、骨干团队的冗缺与人才流动的渠道设计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各层级管理团队的优势与不足所对应的发展计划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关键岗位的胜任能力评价结果及未来的发展计划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组织关键岗位人才的数量与结构盘点及发展实施计划</w:t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演绎、归纳、评价工具等常见咨询方法的构建与思维强化演练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【课程大纲】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课程导入：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时代背景下的人才战略重要定位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领导人才培养实践——打造领导力驱动型组织（外企）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人才强企相关实例——国央企/民企</w:t>
      </w:r>
    </w:p>
    <w:p>
      <w:pPr>
        <w:numPr>
          <w:ilvl w:val="0"/>
          <w:numId w:val="3"/>
        </w:numPr>
        <w:spacing w:line="360" w:lineRule="auto"/>
        <w:ind w:left="425" w:leftChars="0" w:hanging="425"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人才盘点与发展体系建设的目标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第一章：基于胜任力的人才标准体系构建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模块一：任职资格体系</w:t>
      </w:r>
    </w:p>
    <w:p>
      <w:pPr>
        <w:spacing w:line="360" w:lineRule="auto"/>
        <w:jc w:val="left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任职资格体系全貌和构建的流程方法论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标准的流程方法论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任职资格管理体系建设四大步骤</w:t>
      </w:r>
    </w:p>
    <w:p>
      <w:pPr>
        <w:numPr>
          <w:ilvl w:val="0"/>
          <w:numId w:val="4"/>
        </w:numPr>
        <w:spacing w:line="360" w:lineRule="auto"/>
        <w:ind w:left="425" w:leftChars="0" w:hanging="425" w:firstLineChars="0"/>
        <w:jc w:val="left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我们的实践：任职标准开发的三个核心技术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模块二：胜任力建模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胜任力素质模型技术分解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  <w:t>1）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素质词条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  <w:t>2）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维度划分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  <w:t>3）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层级划分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  <w:t>4）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行为描述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  <w:t>5）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课堂练习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胜任力模型构建的方法论及流程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1）战略、文化/标杆解析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2）定义效标样本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3）演绎建模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4）模型修订访谈信息整理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5）归纳法建模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胜任力建模核心技术：BEI访谈</w:t>
      </w:r>
    </w:p>
    <w:p>
      <w:pPr>
        <w:numPr>
          <w:ilvl w:val="0"/>
          <w:numId w:val="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素质模型的人才管理中的应用</w:t>
      </w:r>
    </w:p>
    <w:p>
      <w:pPr>
        <w:numPr>
          <w:ilvl w:val="0"/>
          <w:numId w:val="6"/>
        </w:numPr>
        <w:spacing w:line="360" w:lineRule="auto"/>
        <w:ind w:left="84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BEI面试题库开发</w:t>
      </w:r>
    </w:p>
    <w:p>
      <w:pPr>
        <w:numPr>
          <w:ilvl w:val="0"/>
          <w:numId w:val="6"/>
        </w:numPr>
        <w:spacing w:line="360" w:lineRule="auto"/>
        <w:ind w:left="84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360评估问卷开发</w:t>
      </w:r>
    </w:p>
    <w:p>
      <w:pPr>
        <w:numPr>
          <w:ilvl w:val="0"/>
          <w:numId w:val="6"/>
        </w:numPr>
        <w:spacing w:line="360" w:lineRule="auto"/>
        <w:ind w:left="84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人才测评和培养体系建设</w:t>
      </w:r>
    </w:p>
    <w:p>
      <w:pPr>
        <w:numPr>
          <w:ilvl w:val="0"/>
          <w:numId w:val="7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  <w:t>实操演练：胜任力建模实操演练（咨询案例）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第二章：人才盘点体系构建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模块一：人才盘点体系构建的内容与流程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模块二：组织盘点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 xml:space="preserve">战略演绎下的胜任力人才规划总体目标 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关键岗位人才规划目标</w:t>
      </w:r>
    </w:p>
    <w:p>
      <w:pPr>
        <w:numPr>
          <w:ilvl w:val="0"/>
          <w:numId w:val="8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行业对标分析与人才供应链渠道策略研究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模块三：数量盘点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宏观盘点（组织人效核定：人才数量盘点思路与定编方法论，公司人效目标、运行现状、编制核定）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中观盘点（部门/二级机构人才数量盘点与核定）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微观盘点（关键岗位人才数量盘点，岗位工作量分析）</w:t>
      </w:r>
    </w:p>
    <w:p>
      <w:pPr>
        <w:numPr>
          <w:ilvl w:val="0"/>
          <w:numId w:val="9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专项（动态）人才数量盘点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模块四：质量盘点（狭义人才盘点）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人才评估体系构建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1）人才评估技术常用方法与适用场景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2）核心工具使用与注意事项</w:t>
      </w:r>
    </w:p>
    <w:p>
      <w:pPr>
        <w:spacing w:line="360" w:lineRule="auto"/>
        <w:ind w:left="420"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心理测验技术</w:t>
      </w:r>
    </w:p>
    <w:p>
      <w:pPr>
        <w:spacing w:line="360" w:lineRule="auto"/>
        <w:ind w:left="420"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问卷调研评价360</w:t>
      </w:r>
    </w:p>
    <w:p>
      <w:pPr>
        <w:spacing w:line="360" w:lineRule="auto"/>
        <w:ind w:left="420"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行为面试评价</w:t>
      </w:r>
    </w:p>
    <w:p>
      <w:pPr>
        <w:spacing w:line="360" w:lineRule="auto"/>
        <w:ind w:left="420" w:leftChars="0"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情景模拟评价</w:t>
      </w:r>
    </w:p>
    <w:p>
      <w:pPr>
        <w:numPr>
          <w:ilvl w:val="0"/>
          <w:numId w:val="11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  <w:t>实操演练：360°题本设计、FBEI题本设计、IT系统评价操作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  <w:t>人才</w:t>
      </w: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盘点</w:t>
      </w:r>
      <w:r>
        <w:rPr>
          <w:rFonts w:hint="eastAsia" w:ascii="Microsoft YaHei Regular" w:hAnsi="Microsoft YaHei Regular" w:eastAsia="Microsoft YaHei Regular" w:cs="Microsoft YaHei Regular"/>
          <w:bCs/>
          <w:color w:val="3B3838"/>
          <w:spacing w:val="15"/>
          <w:kern w:val="0"/>
          <w:sz w:val="21"/>
          <w:szCs w:val="21"/>
        </w:rPr>
        <w:t>会议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1）人才盘点会议准备工作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2）人才盘点会议的流程及主持技巧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3）人才盘点会议的成果输出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成果：人才盘点九宫格、人才评估一览图、梯队人才地图</w:t>
      </w:r>
    </w:p>
    <w:p>
      <w:pPr>
        <w:numPr>
          <w:ilvl w:val="0"/>
          <w:numId w:val="1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  <w:t>实操演练：人才盘点会议演练</w:t>
      </w:r>
    </w:p>
    <w:p>
      <w:pPr>
        <w:numPr>
          <w:ilvl w:val="0"/>
          <w:numId w:val="12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  <w:t>实操演练：人才盘点成果“两图一表”输出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个人发展规划IDP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1）领导力发展规划与干部档案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2）高潜人才发展规划与生涯追踪</w:t>
      </w:r>
    </w:p>
    <w:p>
      <w:pPr>
        <w:numPr>
          <w:ilvl w:val="0"/>
          <w:numId w:val="13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  <w:t>实操演练：IDP撰写与反馈</w:t>
      </w:r>
    </w:p>
    <w:p>
      <w:pPr>
        <w:numPr>
          <w:ilvl w:val="0"/>
          <w:numId w:val="10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人才盘点结果的其他应用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1）人才盘点结果在人才规划中的应用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2）人才盘点结果在招聘选拔中的应用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3）人才盘点结果在薪酬激励中的应用</w:t>
      </w:r>
    </w:p>
    <w:p>
      <w:pPr>
        <w:spacing w:line="360" w:lineRule="auto"/>
        <w:ind w:firstLine="420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4）人才盘点结果在劳动关系中的应用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第三章：人才发展体系构建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模块一：学习地图设计</w:t>
      </w:r>
    </w:p>
    <w:p>
      <w:pPr>
        <w:numPr>
          <w:ilvl w:val="0"/>
          <w:numId w:val="14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学习任务分析和内容萃取</w:t>
      </w:r>
    </w:p>
    <w:p>
      <w:pPr>
        <w:numPr>
          <w:ilvl w:val="0"/>
          <w:numId w:val="14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学习策略与选择</w:t>
      </w:r>
    </w:p>
    <w:p>
      <w:pPr>
        <w:numPr>
          <w:ilvl w:val="0"/>
          <w:numId w:val="14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学习项目设计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模块二：基于人才盘点的梯队人才建设</w:t>
      </w:r>
    </w:p>
    <w:p>
      <w:pPr>
        <w:numPr>
          <w:ilvl w:val="0"/>
          <w:numId w:val="1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管理类梯队人才培养</w:t>
      </w:r>
    </w:p>
    <w:p>
      <w:pPr>
        <w:numPr>
          <w:ilvl w:val="0"/>
          <w:numId w:val="1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专业类梯队人才培养</w:t>
      </w:r>
    </w:p>
    <w:p>
      <w:pPr>
        <w:numPr>
          <w:ilvl w:val="0"/>
          <w:numId w:val="1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技能类梯队人才培养</w:t>
      </w:r>
    </w:p>
    <w:p>
      <w:pPr>
        <w:numPr>
          <w:ilvl w:val="0"/>
          <w:numId w:val="15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关键人才在岗培养路径设计</w:t>
      </w:r>
    </w:p>
    <w:p>
      <w:pPr>
        <w:numPr>
          <w:ilvl w:val="0"/>
          <w:numId w:val="16"/>
        </w:numPr>
        <w:spacing w:line="360" w:lineRule="auto"/>
        <w:ind w:left="420" w:leftChars="0" w:hanging="420" w:firstLineChars="0"/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 w:val="21"/>
          <w:szCs w:val="21"/>
        </w:rPr>
        <w:t>实操演练：管理/专业某层级某类关键人才培养课程与路径设计</w:t>
      </w:r>
    </w:p>
    <w:p>
      <w:pPr>
        <w:spacing w:before="156" w:beforeLines="50" w:line="360" w:lineRule="auto"/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 w:val="21"/>
          <w:szCs w:val="21"/>
        </w:rPr>
        <w:t>模块三：三大培训体系构建</w:t>
      </w:r>
    </w:p>
    <w:p>
      <w:pPr>
        <w:numPr>
          <w:ilvl w:val="0"/>
          <w:numId w:val="17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课程体系</w:t>
      </w:r>
    </w:p>
    <w:p>
      <w:pPr>
        <w:numPr>
          <w:ilvl w:val="0"/>
          <w:numId w:val="17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讲师体系</w:t>
      </w:r>
    </w:p>
    <w:p>
      <w:pPr>
        <w:numPr>
          <w:ilvl w:val="0"/>
          <w:numId w:val="17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运营体系</w:t>
      </w:r>
    </w:p>
    <w:p>
      <w:pPr>
        <w:numPr>
          <w:ilvl w:val="0"/>
          <w:numId w:val="17"/>
        </w:numPr>
        <w:spacing w:line="360" w:lineRule="auto"/>
        <w:ind w:left="425" w:leftChars="0" w:hanging="425" w:firstLineChars="0"/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 w:val="21"/>
          <w:szCs w:val="21"/>
        </w:rPr>
        <w:t>企业大学/商学院构建与管理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sz w:val="21"/>
          <w:szCs w:val="21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/>
          <w:color w:val="000000"/>
          <w:sz w:val="21"/>
          <w:szCs w:val="21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113030</wp:posOffset>
                </wp:positionV>
                <wp:extent cx="1453515" cy="1968500"/>
                <wp:effectExtent l="6350" t="6350" r="13335" b="6350"/>
                <wp:wrapTight wrapText="bothSides">
                  <wp:wrapPolygon>
                    <wp:start x="-94" y="-70"/>
                    <wp:lineTo x="-94" y="4111"/>
                    <wp:lineTo x="20666" y="4390"/>
                    <wp:lineTo x="-94" y="8849"/>
                    <wp:lineTo x="-94" y="17768"/>
                    <wp:lineTo x="20666" y="17768"/>
                    <wp:lineTo x="-94" y="21112"/>
                    <wp:lineTo x="-94" y="21391"/>
                    <wp:lineTo x="21421" y="21391"/>
                    <wp:lineTo x="21421" y="13308"/>
                    <wp:lineTo x="661" y="8849"/>
                    <wp:lineTo x="21421" y="8570"/>
                    <wp:lineTo x="21421" y="-70"/>
                    <wp:lineTo x="-94" y="-70"/>
                  </wp:wrapPolygon>
                </wp:wrapTight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6700" y="1399540"/>
                          <a:ext cx="1453515" cy="196850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drawing>
                                <wp:inline distT="0" distB="0" distL="114300" distR="114300">
                                  <wp:extent cx="1254125" cy="1881505"/>
                                  <wp:effectExtent l="0" t="0" r="15875" b="23495"/>
                                  <wp:docPr id="4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125" cy="188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5pt;margin-top:8.9pt;height:155pt;width:114.45pt;mso-wrap-distance-left:9pt;mso-wrap-distance-right:9pt;z-index:-251657216;mso-width-relative:page;mso-height-relative:page;" filled="f" stroked="t" coordsize="21600,21600" wrapcoords="-94 -70 -94 4111 20666 4390 -94 8849 -94 17768 20666 17768 -94 21112 -94 21391 21421 21391 21421 13308 661 8849 21421 8570 21421 -70 -94 -70" o:gfxdata="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EevPYAAAACgEAAA8AAAAAAAAAAQAgAAAAIgAAAGRy&#10;cy9kb3ducmV2LnhtbFBLAQIUABQAAAAIAIdO4kAPlwh7dwIAANUEAAAOAAAAAAAAAAEAIAAAACcB&#10;AABkcnMvZTJvRG9jLnhtbFBLBQYAAAAABgAGAFkBAAAQBgAAAAA=&#10;">
                <v:fill on="f" focussize="0,0"/>
                <v:stroke color="#FFFFFF [3212]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drawing>
                          <wp:inline distT="0" distB="0" distL="114300" distR="114300">
                            <wp:extent cx="1254125" cy="1881505"/>
                            <wp:effectExtent l="0" t="0" r="15875" b="23495"/>
                            <wp:docPr id="4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125" cy="188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Microsoft YaHei Regular" w:hAnsi="Microsoft YaHei Regular" w:eastAsia="Microsoft YaHei Regular" w:cs="Microsoft YaHei Regular"/>
          <w:b/>
          <w:color w:val="000000"/>
          <w:sz w:val="21"/>
          <w:szCs w:val="21"/>
          <w:lang w:eastAsia="zh-CN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color w:val="000000"/>
          <w:sz w:val="21"/>
          <w:szCs w:val="21"/>
        </w:rPr>
        <w:t>讲师介绍</w:t>
      </w:r>
      <w:r>
        <w:rPr>
          <w:rFonts w:hint="eastAsia" w:ascii="Microsoft YaHei Regular" w:hAnsi="Microsoft YaHei Regular" w:eastAsia="Microsoft YaHei Regular" w:cs="Microsoft YaHei Regular"/>
          <w:b/>
          <w:color w:val="000000"/>
          <w:sz w:val="21"/>
          <w:szCs w:val="21"/>
          <w:lang w:val="en-US" w:eastAsia="zh-CN"/>
        </w:rPr>
        <w:t>-肖老师</w:t>
      </w:r>
      <w:r>
        <w:rPr>
          <w:rFonts w:hint="eastAsia" w:ascii="Microsoft YaHei Regular" w:hAnsi="Microsoft YaHei Regular" w:eastAsia="Microsoft YaHei Regular" w:cs="Microsoft YaHei Regular"/>
          <w:b/>
          <w:color w:val="000000"/>
          <w:sz w:val="21"/>
          <w:szCs w:val="21"/>
          <w:lang w:eastAsia="zh-CN"/>
        </w:rPr>
        <w:t>】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GHR研究院人力资源资深专家/成都公司总经理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 xml:space="preserve">营创学院&amp;哥伦比亚DBA博士在读、西南石油大学MBA硕士 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国家人力资源管理师（高级）、国家心理咨询师（二级）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项目经验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专注于国央企、大中型企业总部薪酬绩效设计、定编定岗、职业发展通道、人才评估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事业部/下属一级单位领导人考核、契约化与职业经理人制度等设计与实施。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某交通设计集团岗位、绩效、薪酬、职业发展通道设计项目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某新材料公司岗位重构及岗位价值评价项目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某直升机人才标准、激励、评价体系设计项目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某供应链省分公司人力资源优化项目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某卷烟厂定编定岗、岗位价值评价、任职资格设计项目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华电四川水电开发有限公司绩效咨询服务项目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成都产投大数据集团/科创投集团行业经营水平与薪酬调研服务项目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蜀南气矿岗位定编、人才盘点咨询服务项目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某公交集团岗位、绩效、薪酬、职业发展通道设计项目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中石化某油气田分公司岗位、绩效、薪酬、员工评价体系项目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某石油管道工程有限公司定员、岗评、绩效薪酬项目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某油田第三采油厂定员、绩效考核及人才盘点与规划项目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中国船舶集团工业系统研究所/703研究所薪酬、绩效体系优化项目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湖南机场空港实业胜任力建模与领导力人才发展项目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南京金陵科技学院人力资源体系优化项目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海南正业农业科技/上海星乐食品/南京任天科技战略解码及组织能力建设项目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中航国际/万科/广汽研究院/招行IT中心领导力认知与发展项目</w:t>
      </w:r>
    </w:p>
    <w:p>
      <w:pPr>
        <w:tabs>
          <w:tab w:val="left" w:pos="0"/>
          <w:tab w:val="left" w:pos="360"/>
        </w:tabs>
        <w:spacing w:line="276" w:lineRule="auto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sz w:val="21"/>
          <w:szCs w:val="21"/>
          <w:lang w:eastAsia="zh-CN"/>
        </w:rPr>
        <w:t>一飞智控无人机/上海东龙服饰YCC战略解码及薪酬绩效、人才盘点项目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6E23C0"/>
    <w:multiLevelType w:val="singleLevel"/>
    <w:tmpl w:val="8B6E23C0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9FBA7646"/>
    <w:multiLevelType w:val="singleLevel"/>
    <w:tmpl w:val="9FBA7646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abstractNum w:abstractNumId="2">
    <w:nsid w:val="A22EB3DA"/>
    <w:multiLevelType w:val="singleLevel"/>
    <w:tmpl w:val="A22EB3D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BF7F2B5E"/>
    <w:multiLevelType w:val="singleLevel"/>
    <w:tmpl w:val="BF7F2B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CDD4C895"/>
    <w:multiLevelType w:val="singleLevel"/>
    <w:tmpl w:val="CDD4C89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DDE639E5"/>
    <w:multiLevelType w:val="singleLevel"/>
    <w:tmpl w:val="DDE639E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EFF411ED"/>
    <w:multiLevelType w:val="singleLevel"/>
    <w:tmpl w:val="EFF411E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F76FBE25"/>
    <w:multiLevelType w:val="singleLevel"/>
    <w:tmpl w:val="F76FBE2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F77F9E8B"/>
    <w:multiLevelType w:val="singleLevel"/>
    <w:tmpl w:val="F77F9E8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F7F20D46"/>
    <w:multiLevelType w:val="singleLevel"/>
    <w:tmpl w:val="F7F20D4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FE1D41A4"/>
    <w:multiLevelType w:val="multilevel"/>
    <w:tmpl w:val="FE1D41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1">
    <w:nsid w:val="FF993039"/>
    <w:multiLevelType w:val="singleLevel"/>
    <w:tmpl w:val="FF993039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56FE763C"/>
    <w:multiLevelType w:val="singleLevel"/>
    <w:tmpl w:val="56FE763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57FC8F5E"/>
    <w:multiLevelType w:val="singleLevel"/>
    <w:tmpl w:val="57FC8F5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79A3D5C0"/>
    <w:multiLevelType w:val="singleLevel"/>
    <w:tmpl w:val="79A3D5C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7E98C8E0"/>
    <w:multiLevelType w:val="singleLevel"/>
    <w:tmpl w:val="7E98C8E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7FDDC20F"/>
    <w:multiLevelType w:val="multilevel"/>
    <w:tmpl w:val="7FDDC20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2"/>
  </w:num>
  <w:num w:numId="11">
    <w:abstractNumId w:val="13"/>
  </w:num>
  <w:num w:numId="12">
    <w:abstractNumId w:val="7"/>
  </w:num>
  <w:num w:numId="13">
    <w:abstractNumId w:val="8"/>
  </w:num>
  <w:num w:numId="14">
    <w:abstractNumId w:val="10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YjM4NjJhZjVhMjU1OTFjZTljZmJlZjVkNzRhZDAifQ=="/>
    <w:docVar w:name="KSO_WPS_MARK_KEY" w:val="eb0b7163-d918-4f98-ba28-3bd9e751c00c"/>
  </w:docVars>
  <w:rsids>
    <w:rsidRoot w:val="00433013"/>
    <w:rsid w:val="00002664"/>
    <w:rsid w:val="00034367"/>
    <w:rsid w:val="000A4945"/>
    <w:rsid w:val="000B4DA3"/>
    <w:rsid w:val="000D00C5"/>
    <w:rsid w:val="00112321"/>
    <w:rsid w:val="0011312D"/>
    <w:rsid w:val="001B09C1"/>
    <w:rsid w:val="001C6358"/>
    <w:rsid w:val="002303CE"/>
    <w:rsid w:val="0029408C"/>
    <w:rsid w:val="002B4E31"/>
    <w:rsid w:val="00301EFB"/>
    <w:rsid w:val="00340D65"/>
    <w:rsid w:val="0037187E"/>
    <w:rsid w:val="00371D0E"/>
    <w:rsid w:val="00373101"/>
    <w:rsid w:val="00383A17"/>
    <w:rsid w:val="00422237"/>
    <w:rsid w:val="00433013"/>
    <w:rsid w:val="00433568"/>
    <w:rsid w:val="004A2653"/>
    <w:rsid w:val="004B1551"/>
    <w:rsid w:val="004F4BB0"/>
    <w:rsid w:val="004F4EF6"/>
    <w:rsid w:val="005317CD"/>
    <w:rsid w:val="0054681F"/>
    <w:rsid w:val="005474F1"/>
    <w:rsid w:val="0063342D"/>
    <w:rsid w:val="00646875"/>
    <w:rsid w:val="00687384"/>
    <w:rsid w:val="00690CCA"/>
    <w:rsid w:val="006E3FF4"/>
    <w:rsid w:val="00706B1C"/>
    <w:rsid w:val="00741065"/>
    <w:rsid w:val="00775AC2"/>
    <w:rsid w:val="0079706F"/>
    <w:rsid w:val="007D52DC"/>
    <w:rsid w:val="008367DC"/>
    <w:rsid w:val="00873383"/>
    <w:rsid w:val="00885E36"/>
    <w:rsid w:val="0091346C"/>
    <w:rsid w:val="00934374"/>
    <w:rsid w:val="009C0A97"/>
    <w:rsid w:val="00A17E24"/>
    <w:rsid w:val="00A828F3"/>
    <w:rsid w:val="00B30800"/>
    <w:rsid w:val="00B32A83"/>
    <w:rsid w:val="00B32C76"/>
    <w:rsid w:val="00BA0A84"/>
    <w:rsid w:val="00BC1622"/>
    <w:rsid w:val="00BC4F11"/>
    <w:rsid w:val="00C6253A"/>
    <w:rsid w:val="00C72741"/>
    <w:rsid w:val="00CD1534"/>
    <w:rsid w:val="00D061F4"/>
    <w:rsid w:val="00D22590"/>
    <w:rsid w:val="00D313CA"/>
    <w:rsid w:val="00D8633A"/>
    <w:rsid w:val="00E402E6"/>
    <w:rsid w:val="00EC0EAB"/>
    <w:rsid w:val="00F41329"/>
    <w:rsid w:val="00F5145B"/>
    <w:rsid w:val="00F61009"/>
    <w:rsid w:val="00FB2128"/>
    <w:rsid w:val="16134C45"/>
    <w:rsid w:val="2F112DF8"/>
    <w:rsid w:val="430F01DB"/>
    <w:rsid w:val="437D75EB"/>
    <w:rsid w:val="7B6F83F8"/>
    <w:rsid w:val="7FFF86D1"/>
    <w:rsid w:val="7FFFCCF3"/>
    <w:rsid w:val="BEFB815F"/>
    <w:rsid w:val="DF75BD92"/>
    <w:rsid w:val="FD2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Theme="minorHAnsi" w:hAnsiTheme="minorHAnsi" w:eastAsiaTheme="minorEastAsia" w:cstheme="minorBidi"/>
      <w:sz w:val="24"/>
      <w:szCs w:val="2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link w:val="2"/>
    <w:qFormat/>
    <w:uiPriority w:val="0"/>
    <w:rPr>
      <w:sz w:val="24"/>
    </w:rPr>
  </w:style>
  <w:style w:type="character" w:customStyle="1" w:styleId="11">
    <w:name w:val="正文文本 Char1"/>
    <w:basedOn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2263</Words>
  <Characters>2383</Characters>
  <Lines>17</Lines>
  <Paragraphs>5</Paragraphs>
  <TotalTime>2</TotalTime>
  <ScaleCrop>false</ScaleCrop>
  <LinksUpToDate>false</LinksUpToDate>
  <CharactersWithSpaces>2390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2016-01-10T03:36:00Z</dcterms:created>
  <dc:creator>samsung-</dc:creator>
  <cp:lastModifiedBy>叶莹莹</cp:lastModifiedBy>
  <dcterms:modified xsi:type="dcterms:W3CDTF">2023-12-26T07:37:02Z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60F62B445A2F49D09E491135E7B05688_13</vt:lpwstr>
  </property>
</Properties>
</file>