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复盘改进：结构化复盘与绩效改进</w:t>
      </w: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报名详情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场次：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2024年5月24日-25日上海</w:t>
      </w:r>
    </w:p>
    <w:p>
      <w:pPr>
        <w:spacing w:line="276" w:lineRule="auto"/>
        <w:jc w:val="both"/>
        <w:rPr>
          <w:rFonts w:hint="eastAsia" w:ascii="Microsoft YaHei Regular" w:hAnsi="Microsoft YaHei Regular" w:eastAsia="Microsoft YaHei Regular" w:cs="Microsoft YaHei Regular"/>
          <w:b/>
          <w:bCs/>
          <w:color w:val="00000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费用：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  <w:t>980/元人（差旅费用请自理）</w:t>
      </w:r>
    </w:p>
    <w:p>
      <w:pPr>
        <w:spacing w:line="300" w:lineRule="auto"/>
        <w:jc w:val="left"/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【课程</w:t>
      </w: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  <w:lang w:val="en-US" w:eastAsia="zh-CN"/>
        </w:rPr>
        <w:t>前言</w:t>
      </w: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】</w:t>
      </w:r>
    </w:p>
    <w:p>
      <w:pPr>
        <w:spacing w:line="300" w:lineRule="auto"/>
        <w:ind w:firstLine="420" w:firstLineChars="0"/>
        <w:jc w:val="left"/>
        <w:rPr>
          <w:rFonts w:hint="eastAsia" w:ascii="Microsoft YaHei Regular" w:hAnsi="Microsoft YaHei Regular" w:eastAsia="Microsoft YaHei Regular" w:cs="Microsoft YaHei Regular"/>
          <w:kern w:val="2"/>
          <w:sz w:val="21"/>
          <w:szCs w:val="22"/>
          <w:lang w:val="en-US" w:eastAsia="zh-CN" w:bidi="ar-SA"/>
        </w:rPr>
      </w:pPr>
      <w:r>
        <w:rPr>
          <w:rFonts w:hint="eastAsia" w:ascii="Microsoft YaHei Regular" w:hAnsi="Microsoft YaHei Regular" w:eastAsia="Microsoft YaHei Regular" w:cs="Microsoft YaHei Regular"/>
          <w:kern w:val="2"/>
          <w:sz w:val="21"/>
          <w:szCs w:val="22"/>
          <w:lang w:val="en-US" w:eastAsia="zh-CN" w:bidi="ar-SA"/>
        </w:rPr>
        <w:t>复盘是一种关键性的反思和学习工具，有助于个人和组织吸取宝贵的经验，提高工作效率和决策质量。它促进知识传承，推动创新，并帮助应对不断变化的挑战，最终实现个人和组织的可持续成功。同时，复盘的实践在提高绩效、建设学习型组织和保持竞争力方面具有不可估量的重要性。然而在实际工作中，虽然很多企业的管理者已经认识到复盘的重要性，但对于复盘的理解和实践还停留于表面，尚未真正掌握复盘技术的底层逻辑和关键方法，使得复盘的价值尚未真正体现出来。</w:t>
      </w:r>
    </w:p>
    <w:p>
      <w:pPr>
        <w:spacing w:line="300" w:lineRule="auto"/>
        <w:ind w:firstLine="420" w:firstLineChars="200"/>
        <w:jc w:val="left"/>
        <w:rPr>
          <w:rStyle w:val="15"/>
          <w:rFonts w:hint="eastAsia" w:ascii="Microsoft YaHei Regular" w:hAnsi="Microsoft YaHei Regular" w:eastAsia="Microsoft YaHei Regular" w:cs="Microsoft YaHei Regular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kern w:val="2"/>
          <w:sz w:val="21"/>
          <w:szCs w:val="22"/>
          <w:lang w:val="en-US" w:eastAsia="zh-CN" w:bidi="ar-SA"/>
        </w:rPr>
        <w:t>本课程依据“道、法、术、例”的逻辑，为管理者提供了不同场景下，复盘的工具方法，并通过案例分享、小组讨论、现场演练等多样化的学习形式，帮助管理者将过往经验转化为可复制的能力，促进了经验分享与团队协作，为组织持续高效地发展提供了重要动力。</w:t>
      </w:r>
    </w:p>
    <w:p>
      <w:pPr>
        <w:spacing w:line="300" w:lineRule="auto"/>
        <w:jc w:val="left"/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【课程收益】</w:t>
      </w:r>
    </w:p>
    <w:p>
      <w:pPr>
        <w:pStyle w:val="18"/>
        <w:numPr>
          <w:ilvl w:val="0"/>
          <w:numId w:val="1"/>
        </w:numPr>
        <w:overflowPunct/>
        <w:spacing w:line="360" w:lineRule="auto"/>
        <w:ind w:left="420" w:leftChars="0" w:hanging="420"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让学员深刻理解“复盘”的价值和底层逻辑，通过反思和规律总结，提升个人心智模式</w:t>
      </w:r>
    </w:p>
    <w:p>
      <w:pPr>
        <w:pStyle w:val="18"/>
        <w:numPr>
          <w:ilvl w:val="0"/>
          <w:numId w:val="1"/>
        </w:numPr>
        <w:overflowPunct/>
        <w:spacing w:line="360" w:lineRule="auto"/>
        <w:ind w:left="420" w:leftChars="0" w:hanging="420"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通过团队演练、案例分析、实战研讨让学员掌握复盘的具体操作手法，应用于工作实践</w:t>
      </w:r>
    </w:p>
    <w:p>
      <w:pPr>
        <w:pStyle w:val="18"/>
        <w:numPr>
          <w:ilvl w:val="0"/>
          <w:numId w:val="1"/>
        </w:numPr>
        <w:overflowPunct/>
        <w:spacing w:line="360" w:lineRule="auto"/>
        <w:ind w:left="420" w:leftChars="0" w:hanging="420"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掌握四大复盘技术，有效应对不同复盘场景</w:t>
      </w:r>
    </w:p>
    <w:p>
      <w:pPr>
        <w:spacing w:line="300" w:lineRule="auto"/>
        <w:jc w:val="left"/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【课程对象】</w:t>
      </w:r>
    </w:p>
    <w:p>
      <w:pPr>
        <w:numPr>
          <w:ilvl w:val="0"/>
          <w:numId w:val="0"/>
        </w:numPr>
        <w:spacing w:line="300" w:lineRule="auto"/>
        <w:jc w:val="left"/>
        <w:rPr>
          <w:rFonts w:hint="eastAsia" w:ascii="Microsoft YaHei Regular" w:hAnsi="Microsoft YaHei Regular" w:eastAsia="Microsoft YaHei Regular" w:cs="Microsoft YaHei Regular"/>
          <w:b w:val="0"/>
          <w:bCs w:val="0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 w:val="0"/>
          <w:lang w:val="en-US" w:eastAsia="zh-CN"/>
        </w:rPr>
        <w:t>团队管理者、项目管理人员、高潜员工、培训负责人、企业内训师等</w:t>
      </w:r>
    </w:p>
    <w:p>
      <w:pPr>
        <w:spacing w:line="300" w:lineRule="auto"/>
        <w:jc w:val="left"/>
        <w:rPr>
          <w:rFonts w:hint="eastAsia" w:ascii="Microsoft YaHei Regular" w:hAnsi="Microsoft YaHei Regular" w:eastAsia="Microsoft YaHei Regular" w:cs="Microsoft YaHei Regular"/>
          <w:b w:val="0"/>
          <w:bCs w:val="0"/>
          <w:lang w:val="en-US" w:eastAsia="zh-CN"/>
        </w:rPr>
      </w:pP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【</w:t>
      </w: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  <w:lang w:val="en-US" w:eastAsia="zh-CN"/>
        </w:rPr>
        <w:t>教学方式</w:t>
      </w: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】</w:t>
      </w:r>
    </w:p>
    <w:p>
      <w:pPr>
        <w:pStyle w:val="19"/>
        <w:numPr>
          <w:ilvl w:val="0"/>
          <w:numId w:val="0"/>
        </w:numPr>
        <w:rPr>
          <w:rFonts w:hint="eastAsia" w:ascii="Microsoft YaHei Regular" w:hAnsi="Microsoft YaHei Regular" w:eastAsia="Microsoft YaHei Regular" w:cs="Microsoft YaHei Regular"/>
          <w:b w:val="0"/>
          <w:bCs w:val="0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lang w:val="en-US" w:eastAsia="zh-CN"/>
        </w:rPr>
        <w:t>案例研讨、场景模拟、视频教学、讲授等</w:t>
      </w:r>
    </w:p>
    <w:p>
      <w:pPr>
        <w:numPr>
          <w:ilvl w:val="0"/>
          <w:numId w:val="0"/>
        </w:numPr>
        <w:spacing w:line="300" w:lineRule="auto"/>
        <w:jc w:val="left"/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【课程大纲】</w:t>
      </w:r>
    </w:p>
    <w:p>
      <w:pPr>
        <w:jc w:val="left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  <w:t>模块一：认识复盘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从林彪作战习惯，看复盘的价值和意义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复盘的前世今生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复盘和总结的区别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案例：为什么联想坚持复盘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  <w:t>模块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  <w:t>二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  <w:t>：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  <w:t>项目复盘：复盘四步法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复盘流程全景图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复盘前期准备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确定复盘主题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数据信息准备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确定参与人员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预留复盘时间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环境道具准备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【现场演练】选择复盘主题，激活过往经验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kern w:val="0"/>
          <w:sz w:val="21"/>
          <w:szCs w:val="21"/>
          <w:lang w:val="en-US" w:eastAsia="zh-CN"/>
        </w:rPr>
        <w:t>step1：回顾目标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回顾目标，不忘初心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目标与目的区别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目标制定、分解和评估的方法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案例：一次校园招聘案例的目标回顾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【现场演练】目标回顾与分析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【工具】《项目复盘画布》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kern w:val="0"/>
          <w:sz w:val="21"/>
          <w:szCs w:val="21"/>
          <w:lang w:val="en-US" w:eastAsia="zh-CN"/>
        </w:rPr>
        <w:t>Step2：评估结果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评估结果达成度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探寻亮点的3个途径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反思不足的3种思维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树立标杆的4种来源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【现场演练】：分析亮点与不足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【工具】《项目复盘画布》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kern w:val="0"/>
          <w:sz w:val="21"/>
          <w:szCs w:val="21"/>
          <w:lang w:val="en-US" w:eastAsia="zh-CN"/>
        </w:rPr>
        <w:t>Step3：分析原因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探讨真因的研讨流程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判断真因的4个标准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挖掘真因的3个层面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挖掘真因的5种工具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引导原因转向的角度和方法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深度萃取经验的3个问题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案例：美团为什么成功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lang w:val="en-US" w:eastAsia="zh-CN" w:bidi="ar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【现场演练】：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lang w:val="en-US" w:eastAsia="zh-CN" w:bidi="ar"/>
        </w:rPr>
        <w:t>亮点和不足点进行原因分析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lang w:val="en-US" w:eastAsia="zh-CN" w:bidi="ar"/>
        </w:rPr>
      </w:pP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lang w:val="en-US" w:eastAsia="zh-CN" w:bidi="ar"/>
        </w:rPr>
        <w:t>【工具】：原因分析流程（Me-We-Us）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kern w:val="0"/>
          <w:sz w:val="21"/>
          <w:szCs w:val="21"/>
          <w:lang w:val="en-US" w:eastAsia="zh-CN"/>
        </w:rPr>
        <w:t>Step4: 总结规律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提炼规律的原则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制定行动计划CSS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【现场演练】：分组讨论行动计划，汇总记录</w:t>
      </w:r>
    </w:p>
    <w:p>
      <w:pPr>
        <w:pStyle w:val="18"/>
        <w:numPr>
          <w:ilvl w:val="0"/>
          <w:numId w:val="0"/>
        </w:numPr>
        <w:overflowPunct/>
        <w:spacing w:line="360" w:lineRule="auto"/>
        <w:ind w:left="420" w:leftChars="0" w:firstLine="420" w:firstLineChars="20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【工具】：行动计划模版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  <w:t>模块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  <w:t>三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eastAsia="zh-CN"/>
        </w:rPr>
        <w:t>：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  <w:t>个人反馈复盘：鱼缸会议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鱼缸会议的本质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鱼缸会议复盘流程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“批评自我批评”下的行为改善策略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案例：一次鱼缸会议的真实体验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  <w:t>模块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  <w:t>四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eastAsia="zh-CN"/>
        </w:rPr>
        <w:t>：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  <w:t>文化反思复盘：未来探索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团队及组织文化基因：企业文化色彩图谱（企业文化的七种模因）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“未来探索”复盘5步流程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探索企业文化基因，构建高效团队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案例：一家互联网公司的企业文化复盘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【工具】《企业文化色彩图谱》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  <w:t>模块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  <w:t>五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eastAsia="zh-CN"/>
        </w:rPr>
        <w:t>：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  <w:t>业绩提升复盘：绩效改进GAPS模型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绩效改进的GAPS模型及复盘流程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还原关键价值链、分析关键差距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分析原因、提炼经验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提出方案、制定计划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案例：零售行业单店天业绩提升复盘</w:t>
      </w:r>
    </w:p>
    <w:p>
      <w:pPr>
        <w:pStyle w:val="18"/>
        <w:numPr>
          <w:ilvl w:val="0"/>
          <w:numId w:val="2"/>
        </w:numPr>
        <w:overflowPunct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kern w:val="0"/>
          <w:sz w:val="21"/>
          <w:szCs w:val="21"/>
          <w:lang w:val="en-US" w:eastAsia="zh-CN"/>
        </w:rPr>
        <w:t>【工具】《绩效改进商业画布》《BEM模型》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  <w:t>模块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  <w:t>四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eastAsia="zh-CN"/>
        </w:rPr>
        <w:t>：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  <w:t>课程回顾总结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bCs/>
          <w:color w:val="D19B21"/>
          <w:sz w:val="28"/>
          <w:szCs w:val="28"/>
          <w:lang w:val="en-US" w:eastAsia="zh-CN"/>
        </w:rPr>
      </w:pPr>
      <w:r>
        <w:rPr>
          <w:rFonts w:ascii="黑体" w:hAnsi="黑体" w:eastAsia="黑体" w:cs="黑体"/>
          <w:b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3833495</wp:posOffset>
            </wp:positionH>
            <wp:positionV relativeFrom="paragraph">
              <wp:posOffset>-74295</wp:posOffset>
            </wp:positionV>
            <wp:extent cx="2450465" cy="271081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271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eastAsia="zh-Hans"/>
        </w:rPr>
        <w:t>老师介绍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  <w:t>】-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val="en-US" w:eastAsia="zh-CN"/>
        </w:rPr>
        <w:t>石老师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GHR研究院专家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>具有20年人力资源及人才开发管理实战经验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>曾就职于大型央企总部、TOP零售服务企业</w:t>
      </w:r>
    </w:p>
    <w:p>
      <w:pPr>
        <w:spacing w:line="460" w:lineRule="exact"/>
        <w:ind w:left="-424" w:firstLine="422" w:firstLineChars="192"/>
        <w:rPr>
          <w:rFonts w:hint="eastAsia" w:ascii="Microsoft YaHei Regular" w:hAnsi="Microsoft YaHei Regular" w:eastAsia="Microsoft YaHei Regular" w:cs="Microsoft YaHei Regular"/>
          <w:bCs/>
          <w:sz w:val="22"/>
          <w:szCs w:val="22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2"/>
          <w:szCs w:val="22"/>
        </w:rPr>
        <w:t>担任</w:t>
      </w:r>
      <w:r>
        <w:rPr>
          <w:rFonts w:hint="eastAsia" w:ascii="Microsoft YaHei Regular" w:hAnsi="Microsoft YaHei Regular" w:eastAsia="Microsoft YaHei Regular" w:cs="Microsoft YaHei Regular"/>
          <w:bCs/>
          <w:sz w:val="22"/>
          <w:szCs w:val="22"/>
          <w:lang w:val="en-US" w:eastAsia="zh-CN"/>
        </w:rPr>
        <w:t>企业大学课程开发中心负责人、</w:t>
      </w:r>
      <w:r>
        <w:rPr>
          <w:rFonts w:hint="eastAsia" w:ascii="Microsoft YaHei Regular" w:hAnsi="Microsoft YaHei Regular" w:eastAsia="Microsoft YaHei Regular" w:cs="Microsoft YaHei Regular"/>
          <w:bCs/>
          <w:sz w:val="22"/>
          <w:szCs w:val="22"/>
        </w:rPr>
        <w:t>项目经理</w:t>
      </w:r>
      <w:r>
        <w:rPr>
          <w:rFonts w:hint="eastAsia" w:ascii="Microsoft YaHei Regular" w:hAnsi="Microsoft YaHei Regular" w:eastAsia="Microsoft YaHei Regular" w:cs="Microsoft YaHei Regular"/>
          <w:bCs/>
          <w:sz w:val="22"/>
          <w:szCs w:val="22"/>
          <w:lang w:val="en-US" w:eastAsia="zh-CN"/>
        </w:rPr>
        <w:t>等岗位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>管理并运营近</w:t>
      </w: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核心岗位学习地图搭建、关键人才培养等近20个项目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具备丰富的项目设计与管理经验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</w:pPr>
    </w:p>
    <w:p>
      <w:pPr>
        <w:spacing w:line="460" w:lineRule="exact"/>
        <w:ind w:left="-424" w:firstLine="405" w:firstLineChars="192"/>
        <w:rPr>
          <w:rFonts w:hint="eastAsia" w:ascii="Microsoft YaHei Regular" w:hAnsi="Microsoft YaHei Regular" w:eastAsia="Microsoft YaHei Regular" w:cs="Microsoft YaHei Regular"/>
          <w:color w:val="376092" w:themeColor="accent1" w:themeShade="BF"/>
          <w:sz w:val="32"/>
          <w:szCs w:val="32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</w:rPr>
        <w:t>讲师资历</w:t>
      </w:r>
      <w:r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32"/>
          <w:szCs w:val="32"/>
        </w:rPr>
        <w:t xml:space="preserve"> 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>◆ 经济学硕士、法学学士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>◆ 学习地图设计与开发认证讲师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>◆ 情景案例版权课程开发者及项目导师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>◆ TTT认证讲师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>◆ 经验萃取认证讲师</w:t>
      </w:r>
    </w:p>
    <w:p>
      <w:pPr>
        <w:spacing w:line="400" w:lineRule="exact"/>
        <w:rPr>
          <w:rFonts w:hint="eastAsia" w:ascii="Microsoft YaHei Regular" w:hAnsi="Microsoft YaHei Regular" w:eastAsia="Microsoft YaHei Regular" w:cs="Microsoft YaHei Regular"/>
          <w:b/>
          <w:bCs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</w:rPr>
        <w:t>擅长领域：学习地图开发与设计、情景案例课程开发、微课开发设计、经验萃取、团队管理</w:t>
      </w:r>
    </w:p>
    <w:p>
      <w:pPr>
        <w:spacing w:line="400" w:lineRule="exact"/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</w:rPr>
      </w:pPr>
    </w:p>
    <w:p>
      <w:pPr>
        <w:spacing w:line="400" w:lineRule="exact"/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</w:rPr>
        <w:t xml:space="preserve">主讲课程 </w:t>
      </w:r>
    </w:p>
    <w:p>
      <w:pPr>
        <w:spacing w:line="460" w:lineRule="exact"/>
        <w:ind w:leftChars="-1" w:hanging="2"/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</w:rPr>
      </w:pPr>
      <w:r>
        <w:rPr>
          <w:rStyle w:val="15"/>
          <w:rFonts w:hint="eastAsia" w:ascii="微软雅黑" w:hAnsi="微软雅黑" w:eastAsia="微软雅黑" w:cs="微软雅黑"/>
          <w:b w:val="0"/>
          <w:bCs w:val="0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结构化复盘：将经验转化为能力</w:t>
      </w:r>
      <w:r>
        <w:rPr>
          <w:rStyle w:val="15"/>
          <w:rFonts w:hint="eastAsia" w:ascii="微软雅黑" w:hAnsi="微软雅黑" w:eastAsia="微软雅黑" w:cs="微软雅黑"/>
          <w:b w:val="0"/>
          <w:bCs w:val="0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》</w:t>
      </w:r>
    </w:p>
    <w:p>
      <w:pPr>
        <w:spacing w:line="460" w:lineRule="exact"/>
        <w:ind w:leftChars="-1" w:hanging="2"/>
        <w:rPr>
          <w:rFonts w:hint="eastAsia" w:ascii="Microsoft YaHei Regular" w:hAnsi="Microsoft YaHei Regular" w:eastAsia="Microsoft YaHei Regular" w:cs="Microsoft YaHei Regular"/>
        </w:rPr>
      </w:pPr>
      <w:r>
        <w:rPr>
          <w:rFonts w:hint="eastAsia" w:ascii="Microsoft YaHei Regular" w:hAnsi="Microsoft YaHei Regular" w:eastAsia="Microsoft YaHei Regular" w:cs="Microsoft YaHei Regular"/>
        </w:rPr>
        <w:t>《</w:t>
      </w:r>
      <w:r>
        <w:rPr>
          <w:rFonts w:hint="eastAsia" w:ascii="Microsoft YaHei Regular" w:hAnsi="Microsoft YaHei Regular" w:eastAsia="Microsoft YaHei Regular" w:cs="Microsoft YaHei Regular"/>
          <w:lang w:val="en-US" w:eastAsia="zh-CN"/>
        </w:rPr>
        <w:t>关键岗位场景化学习地图构建</w:t>
      </w:r>
      <w:r>
        <w:rPr>
          <w:rFonts w:hint="eastAsia" w:ascii="Microsoft YaHei Regular" w:hAnsi="Microsoft YaHei Regular" w:eastAsia="Microsoft YaHei Regular" w:cs="Microsoft YaHei Regular"/>
        </w:rPr>
        <w:t>》</w:t>
      </w:r>
    </w:p>
    <w:p>
      <w:pPr>
        <w:spacing w:line="460" w:lineRule="exact"/>
        <w:rPr>
          <w:rFonts w:hint="eastAsia" w:ascii="Microsoft YaHei Regular" w:hAnsi="Microsoft YaHei Regular" w:eastAsia="Microsoft YaHei Regular" w:cs="Microsoft YaHei Regular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lang w:val="en-US" w:eastAsia="zh-CN"/>
        </w:rPr>
        <w:t>三环五扣：绩效导向的课程开发与设计</w:t>
      </w:r>
      <w:r>
        <w:rPr>
          <w:rFonts w:hint="eastAsia" w:ascii="Microsoft YaHei Regular" w:hAnsi="Microsoft YaHei Regular" w:eastAsia="Microsoft YaHei Regular" w:cs="Microsoft YaHei Regular"/>
          <w:lang w:eastAsia="zh-CN"/>
        </w:rPr>
        <w:t>》</w:t>
      </w:r>
    </w:p>
    <w:p>
      <w:pPr>
        <w:spacing w:line="460" w:lineRule="exact"/>
        <w:ind w:leftChars="-1" w:hanging="2"/>
        <w:rPr>
          <w:rFonts w:hint="eastAsia" w:ascii="Microsoft YaHei Regular" w:hAnsi="Microsoft YaHei Regular" w:eastAsia="Microsoft YaHei Regular" w:cs="Microsoft YaHei Regular"/>
        </w:rPr>
      </w:pPr>
      <w:r>
        <w:rPr>
          <w:rFonts w:hint="eastAsia" w:ascii="Microsoft YaHei Regular" w:hAnsi="Microsoft YaHei Regular" w:eastAsia="Microsoft YaHei Regular" w:cs="Microsoft YaHei Regular"/>
        </w:rPr>
        <w:t>《极致呈现</w:t>
      </w:r>
      <w:r>
        <w:rPr>
          <w:rFonts w:hint="eastAsia" w:ascii="Microsoft YaHei Regular" w:hAnsi="Microsoft YaHei Regular" w:eastAsia="Microsoft YaHei Regular" w:cs="Microsoft YaHei Regular"/>
          <w:lang w:eastAsia="zh-CN"/>
        </w:rPr>
        <w:t>：</w:t>
      </w:r>
      <w:r>
        <w:rPr>
          <w:rFonts w:hint="eastAsia" w:ascii="Microsoft YaHei Regular" w:hAnsi="Microsoft YaHei Regular" w:eastAsia="Microsoft YaHei Regular" w:cs="Microsoft YaHei Regular"/>
          <w:lang w:val="en-US" w:eastAsia="zh-CN"/>
        </w:rPr>
        <w:t>培训师自我修炼</w:t>
      </w:r>
      <w:r>
        <w:rPr>
          <w:rFonts w:hint="eastAsia" w:ascii="Microsoft YaHei Regular" w:hAnsi="Microsoft YaHei Regular" w:eastAsia="Microsoft YaHei Regular" w:cs="Microsoft YaHei Regular"/>
        </w:rPr>
        <w:t>》</w:t>
      </w:r>
    </w:p>
    <w:p>
      <w:pPr>
        <w:spacing w:line="460" w:lineRule="exact"/>
        <w:ind w:leftChars="-1" w:hanging="2"/>
        <w:rPr>
          <w:rFonts w:hint="eastAsia" w:ascii="Microsoft YaHei Regular" w:hAnsi="Microsoft YaHei Regular" w:eastAsia="Microsoft YaHei Regular" w:cs="Microsoft YaHei Regular"/>
        </w:rPr>
      </w:pPr>
      <w:r>
        <w:rPr>
          <w:rFonts w:hint="eastAsia" w:ascii="Microsoft YaHei Regular" w:hAnsi="Microsoft YaHei Regular" w:eastAsia="Microsoft YaHei Regular" w:cs="Microsoft YaHei Regular"/>
        </w:rPr>
        <w:t>《</w:t>
      </w:r>
      <w:r>
        <w:rPr>
          <w:rFonts w:hint="eastAsia" w:ascii="Microsoft YaHei Regular" w:hAnsi="Microsoft YaHei Regular" w:eastAsia="Microsoft YaHei Regular" w:cs="Microsoft YaHei Regular"/>
          <w:lang w:val="en-US" w:eastAsia="zh-CN"/>
        </w:rPr>
        <w:t>磨砺：Smart</w:t>
      </w:r>
      <w:r>
        <w:rPr>
          <w:rFonts w:hint="eastAsia" w:ascii="Microsoft YaHei Regular" w:hAnsi="Microsoft YaHei Regular" w:eastAsia="Microsoft YaHei Regular" w:cs="Microsoft YaHei Regular"/>
        </w:rPr>
        <w:t>经理人实战训练》</w:t>
      </w:r>
    </w:p>
    <w:p>
      <w:pPr>
        <w:spacing w:line="460" w:lineRule="exact"/>
        <w:ind w:leftChars="-1" w:hanging="2"/>
        <w:rPr>
          <w:rFonts w:hint="eastAsia" w:ascii="Microsoft YaHei Regular" w:hAnsi="Microsoft YaHei Regular" w:eastAsia="Microsoft YaHei Regular" w:cs="Microsoft YaHei Regular"/>
        </w:rPr>
      </w:pPr>
    </w:p>
    <w:p>
      <w:pPr>
        <w:spacing w:line="460" w:lineRule="exact"/>
        <w:ind w:leftChars="-1" w:hanging="2"/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  <w:lang w:val="en-US" w:eastAsia="zh-CN"/>
        </w:rPr>
        <w:t>主导项目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关键岗位学习地图搭建与学习资源开发项目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敏捷微课开发项目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内训师培养项目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一线门店经验萃取项目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移动学习平台搭建项目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片区总经理训战营项目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新经理培养项目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管培生培养项目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金牌门店长培养项目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带教店长培养项目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加盟商特训营项目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lang w:val="en-US" w:eastAsia="zh-CN"/>
        </w:rPr>
        <w:t>门店业绩提升项目</w:t>
      </w:r>
      <w:r>
        <w:rPr>
          <w:rFonts w:hint="eastAsia" w:ascii="Microsoft YaHei Regular" w:hAnsi="Microsoft YaHei Regular" w:eastAsia="Microsoft YaHei Regular" w:cs="Microsoft YaHei Regular"/>
          <w:bCs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lang w:eastAsia="zh-CN"/>
        </w:rPr>
      </w:pPr>
    </w:p>
    <w:p>
      <w:pPr>
        <w:spacing w:line="460" w:lineRule="exact"/>
        <w:ind w:left="-424" w:firstLine="405" w:firstLineChars="192"/>
        <w:rPr>
          <w:rFonts w:hint="eastAsia" w:ascii="Microsoft YaHei Regular" w:hAnsi="Microsoft YaHei Regular" w:eastAsia="Microsoft YaHei Regular" w:cs="Microsoft YaHei Regular"/>
          <w:color w:val="auto"/>
          <w:sz w:val="32"/>
          <w:szCs w:val="32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</w:rPr>
        <w:t>授课风格</w:t>
      </w:r>
      <w:r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32"/>
          <w:szCs w:val="32"/>
        </w:rPr>
        <w:t xml:space="preserve"> </w:t>
      </w:r>
    </w:p>
    <w:p>
      <w:pPr>
        <w:pStyle w:val="14"/>
        <w:numPr>
          <w:ilvl w:val="0"/>
          <w:numId w:val="3"/>
        </w:numPr>
        <w:spacing w:line="460" w:lineRule="exact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/>
          <w:bCs/>
          <w:color w:val="996633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auto"/>
        </w:rPr>
        <w:t>实战性强</w:t>
      </w:r>
      <w:r>
        <w:rPr>
          <w:rFonts w:hint="eastAsia" w:ascii="Microsoft YaHei Regular" w:hAnsi="Microsoft YaHei Regular" w:eastAsia="Microsoft YaHei Regular" w:cs="Microsoft YaHei Regular"/>
          <w:b/>
          <w:bCs/>
        </w:rPr>
        <w:t>：</w:t>
      </w:r>
      <w:r>
        <w:rPr>
          <w:rFonts w:hint="eastAsia" w:ascii="Microsoft YaHei Regular" w:hAnsi="Microsoft YaHei Regular" w:eastAsia="Microsoft YaHei Regular" w:cs="Microsoft YaHei Regular"/>
        </w:rPr>
        <w:t>以解决企业真实问题为目标，聚焦问题，即学即用，带领学员进入真实情景化的训练，让学员在课堂上进行练习、反馈、改进，带来看得见的效果。</w:t>
      </w:r>
    </w:p>
    <w:p>
      <w:pPr>
        <w:numPr>
          <w:ilvl w:val="0"/>
          <w:numId w:val="4"/>
        </w:numPr>
        <w:spacing w:line="460" w:lineRule="exact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/>
          <w:bCs/>
          <w:color w:val="996633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</w:rPr>
        <w:t>互动性强：</w:t>
      </w:r>
      <w:r>
        <w:rPr>
          <w:rFonts w:hint="eastAsia" w:ascii="Microsoft YaHei Regular" w:hAnsi="Microsoft YaHei Regular" w:eastAsia="Microsoft YaHei Regular" w:cs="Microsoft YaHei Regular"/>
        </w:rPr>
        <w:t>通过互动式教学，启发学员思考、引导学员参与。通过大量案例+视频+游戏+引导+团体动力学等体验式教学，激发学员自主学习的意愿。</w:t>
      </w:r>
    </w:p>
    <w:p>
      <w:pPr>
        <w:numPr>
          <w:ilvl w:val="0"/>
          <w:numId w:val="4"/>
        </w:numPr>
        <w:spacing w:line="460" w:lineRule="exact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/>
          <w:bCs w:val="0"/>
          <w:color w:val="376092" w:themeColor="accent1" w:themeShade="BF"/>
          <w:sz w:val="32"/>
          <w:szCs w:val="32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</w:rPr>
        <w:t>易学性强：</w:t>
      </w:r>
      <w:r>
        <w:rPr>
          <w:rFonts w:hint="eastAsia" w:ascii="Microsoft YaHei Regular" w:hAnsi="Microsoft YaHei Regular" w:eastAsia="Microsoft YaHei Regular" w:cs="Microsoft YaHei Regular"/>
        </w:rPr>
        <w:t>复杂的问题简单化，简单的问题深入化，通过大量的类比、举例，让学员在轻松思考的环境中，理解知识体系，并进入应用的情境。</w:t>
      </w:r>
    </w:p>
    <w:p>
      <w:pPr>
        <w:numPr>
          <w:ilvl w:val="0"/>
          <w:numId w:val="0"/>
        </w:numPr>
        <w:spacing w:line="460" w:lineRule="exact"/>
        <w:ind w:leftChars="0"/>
        <w:rPr>
          <w:rFonts w:hint="eastAsia" w:ascii="Microsoft YaHei Regular" w:hAnsi="Microsoft YaHei Regular" w:eastAsia="Microsoft YaHei Regular" w:cs="Microsoft YaHei Regular"/>
        </w:rPr>
      </w:pPr>
    </w:p>
    <w:p>
      <w:pPr>
        <w:numPr>
          <w:ilvl w:val="0"/>
          <w:numId w:val="0"/>
        </w:numPr>
        <w:spacing w:line="460" w:lineRule="exact"/>
        <w:ind w:leftChars="0"/>
        <w:rPr>
          <w:rFonts w:hint="eastAsia" w:ascii="Microsoft YaHei Regular" w:hAnsi="Microsoft YaHei Regular" w:eastAsia="Microsoft YaHei Regular" w:cs="Microsoft YaHei Regular"/>
          <w:b/>
          <w:bCs w:val="0"/>
          <w:color w:val="376092" w:themeColor="accent1" w:themeShade="BF"/>
          <w:sz w:val="32"/>
          <w:szCs w:val="32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color w:val="376092" w:themeColor="accent1" w:themeShade="BF"/>
          <w:sz w:val="21"/>
          <w:szCs w:val="21"/>
        </w:rPr>
        <w:t>学员反馈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376092" w:themeColor="accent1" w:themeShade="BF"/>
          <w:sz w:val="32"/>
          <w:szCs w:val="32"/>
        </w:rPr>
        <w:t xml:space="preserve"> </w:t>
      </w:r>
    </w:p>
    <w:p>
      <w:pPr>
        <w:pStyle w:val="14"/>
        <w:numPr>
          <w:ilvl w:val="0"/>
          <w:numId w:val="3"/>
        </w:numPr>
        <w:spacing w:line="460" w:lineRule="exact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>课堂生动有趣，不枯燥，案例贴近实际场景，对工作特别有启发，相信应用于实际</w:t>
      </w:r>
    </w:p>
    <w:p>
      <w:pPr>
        <w:pStyle w:val="14"/>
        <w:numPr>
          <w:ilvl w:val="0"/>
          <w:numId w:val="0"/>
        </w:numPr>
        <w:spacing w:line="460" w:lineRule="exact"/>
        <w:ind w:leftChars="0" w:firstLine="420" w:firstLineChars="200"/>
        <w:rPr>
          <w:rFonts w:hint="eastAsia" w:ascii="Microsoft YaHei Regular" w:hAnsi="Microsoft YaHei Regular" w:eastAsia="Microsoft YaHei Regular" w:cs="Microsoft YaHei Regular"/>
          <w:bCs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>工作中，会带来惊喜的变化。</w:t>
      </w:r>
    </w:p>
    <w:p>
      <w:pPr>
        <w:pStyle w:val="14"/>
        <w:numPr>
          <w:ilvl w:val="0"/>
          <w:numId w:val="3"/>
        </w:numPr>
        <w:spacing w:line="460" w:lineRule="exact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</w:rPr>
      </w:pPr>
      <w:r>
        <w:rPr>
          <w:rFonts w:hint="eastAsia" w:ascii="Microsoft YaHei Regular" w:hAnsi="Microsoft YaHei Regular" w:eastAsia="Microsoft YaHei Regular" w:cs="Microsoft YaHei Regular"/>
          <w:bCs/>
        </w:rPr>
        <w:t>逻辑思维严密，教学思路清晰，能够化繁为简，接地气，学起来特别轻松。</w:t>
      </w:r>
    </w:p>
    <w:p>
      <w:pPr>
        <w:pStyle w:val="14"/>
        <w:numPr>
          <w:ilvl w:val="0"/>
          <w:numId w:val="3"/>
        </w:numPr>
        <w:spacing w:line="460" w:lineRule="exact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</w:rPr>
      </w:pPr>
      <w:r>
        <w:rPr>
          <w:rFonts w:hint="eastAsia" w:ascii="Microsoft YaHei Regular" w:hAnsi="Microsoft YaHei Regular" w:eastAsia="Microsoft YaHei Regular" w:cs="Microsoft YaHei Regular"/>
        </w:rPr>
        <w:t>台风稳健，</w:t>
      </w:r>
      <w:r>
        <w:rPr>
          <w:rFonts w:hint="eastAsia" w:ascii="Microsoft YaHei Regular" w:hAnsi="Microsoft YaHei Regular" w:eastAsia="Microsoft YaHei Regular" w:cs="Microsoft YaHei Regular"/>
          <w:bCs/>
        </w:rPr>
        <w:t>干货满满，收获很大，改变了我的思维，未来要应用于实践。</w:t>
      </w:r>
    </w:p>
    <w:p>
      <w:pPr>
        <w:widowControl/>
        <w:adjustRightInd w:val="0"/>
        <w:snapToGrid w:val="0"/>
        <w:jc w:val="left"/>
        <w:rPr>
          <w:rFonts w:hint="eastAsia" w:ascii="Microsoft YaHei Regular" w:hAnsi="Microsoft YaHei Regular" w:eastAsia="Microsoft YaHei Regular" w:cs="Microsoft YaHei Regular"/>
          <w:sz w:val="21"/>
          <w:szCs w:val="21"/>
          <w:lang w:bidi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Regular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B99B5F"/>
    <w:multiLevelType w:val="singleLevel"/>
    <w:tmpl w:val="8CB99B5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13"/>
        <w:szCs w:val="13"/>
      </w:rPr>
    </w:lvl>
  </w:abstractNum>
  <w:abstractNum w:abstractNumId="1">
    <w:nsid w:val="C7A73CED"/>
    <w:multiLevelType w:val="singleLevel"/>
    <w:tmpl w:val="C7A73CE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270F34B"/>
    <w:multiLevelType w:val="singleLevel"/>
    <w:tmpl w:val="3270F34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auto"/>
        <w:sz w:val="13"/>
        <w:szCs w:val="13"/>
      </w:rPr>
    </w:lvl>
  </w:abstractNum>
  <w:abstractNum w:abstractNumId="3">
    <w:nsid w:val="69E713CC"/>
    <w:multiLevelType w:val="multilevel"/>
    <w:tmpl w:val="69E713CC"/>
    <w:lvl w:ilvl="0" w:tentative="0">
      <w:start w:val="1"/>
      <w:numFmt w:val="bullet"/>
      <w:lvlText w:val="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YjM4NjJhZjVhMjU1OTFjZTljZmJlZjVkNzRhZDAifQ=="/>
    <w:docVar w:name="KSO_WPS_MARK_KEY" w:val="eb0b7163-d918-4f98-ba28-3bd9e751c00c"/>
  </w:docVars>
  <w:rsids>
    <w:rsidRoot w:val="00433013"/>
    <w:rsid w:val="00002664"/>
    <w:rsid w:val="00034367"/>
    <w:rsid w:val="000A4945"/>
    <w:rsid w:val="000B4DA3"/>
    <w:rsid w:val="000D00C5"/>
    <w:rsid w:val="00112321"/>
    <w:rsid w:val="0011312D"/>
    <w:rsid w:val="001B09C1"/>
    <w:rsid w:val="001C6358"/>
    <w:rsid w:val="002303CE"/>
    <w:rsid w:val="0029408C"/>
    <w:rsid w:val="002B4E31"/>
    <w:rsid w:val="00301EFB"/>
    <w:rsid w:val="00340D65"/>
    <w:rsid w:val="0037187E"/>
    <w:rsid w:val="00371D0E"/>
    <w:rsid w:val="00373101"/>
    <w:rsid w:val="00383A17"/>
    <w:rsid w:val="00422237"/>
    <w:rsid w:val="00433013"/>
    <w:rsid w:val="00433568"/>
    <w:rsid w:val="004A2653"/>
    <w:rsid w:val="004B1551"/>
    <w:rsid w:val="004F4BB0"/>
    <w:rsid w:val="004F4EF6"/>
    <w:rsid w:val="005317CD"/>
    <w:rsid w:val="0054681F"/>
    <w:rsid w:val="005474F1"/>
    <w:rsid w:val="0063342D"/>
    <w:rsid w:val="00646875"/>
    <w:rsid w:val="00687384"/>
    <w:rsid w:val="00690CCA"/>
    <w:rsid w:val="006E3FF4"/>
    <w:rsid w:val="00706B1C"/>
    <w:rsid w:val="00741065"/>
    <w:rsid w:val="00775AC2"/>
    <w:rsid w:val="0079706F"/>
    <w:rsid w:val="007D52DC"/>
    <w:rsid w:val="008367DC"/>
    <w:rsid w:val="00873383"/>
    <w:rsid w:val="00885E36"/>
    <w:rsid w:val="0091346C"/>
    <w:rsid w:val="00934374"/>
    <w:rsid w:val="009C0A97"/>
    <w:rsid w:val="00A17E24"/>
    <w:rsid w:val="00A828F3"/>
    <w:rsid w:val="00B30800"/>
    <w:rsid w:val="00B32A83"/>
    <w:rsid w:val="00B32C76"/>
    <w:rsid w:val="00BA0A84"/>
    <w:rsid w:val="00BC1622"/>
    <w:rsid w:val="00BC4F11"/>
    <w:rsid w:val="00C6253A"/>
    <w:rsid w:val="00C72741"/>
    <w:rsid w:val="00CD1534"/>
    <w:rsid w:val="00D061F4"/>
    <w:rsid w:val="00D22590"/>
    <w:rsid w:val="00D313CA"/>
    <w:rsid w:val="00D8633A"/>
    <w:rsid w:val="00E402E6"/>
    <w:rsid w:val="00EC0EAB"/>
    <w:rsid w:val="00F41329"/>
    <w:rsid w:val="00F5145B"/>
    <w:rsid w:val="00F61009"/>
    <w:rsid w:val="00FB2128"/>
    <w:rsid w:val="1EBD79A0"/>
    <w:rsid w:val="2DBF0F82"/>
    <w:rsid w:val="430F01DB"/>
    <w:rsid w:val="437D75EB"/>
    <w:rsid w:val="43E84382"/>
    <w:rsid w:val="577BDB7E"/>
    <w:rsid w:val="7B6F83F8"/>
    <w:rsid w:val="7E7173E7"/>
    <w:rsid w:val="7FF5F6C9"/>
    <w:rsid w:val="7FFF86D1"/>
    <w:rsid w:val="9BEDF9A4"/>
    <w:rsid w:val="9EF89844"/>
    <w:rsid w:val="BEFB815F"/>
    <w:rsid w:val="CFE3BC46"/>
    <w:rsid w:val="EF252E7B"/>
    <w:rsid w:val="FD2E151B"/>
    <w:rsid w:val="FDB6A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Theme="minorHAnsi" w:hAnsiTheme="minorHAnsi" w:eastAsiaTheme="minorEastAsia" w:cstheme="minorBidi"/>
      <w:sz w:val="24"/>
      <w:szCs w:val="2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字符"/>
    <w:link w:val="2"/>
    <w:qFormat/>
    <w:uiPriority w:val="0"/>
    <w:rPr>
      <w:sz w:val="24"/>
    </w:rPr>
  </w:style>
  <w:style w:type="character" w:customStyle="1" w:styleId="12">
    <w:name w:val="正文文本 Char1"/>
    <w:basedOn w:val="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9p1"/>
    <w:qFormat/>
    <w:uiPriority w:val="0"/>
    <w:rPr>
      <w:sz w:val="18"/>
      <w:szCs w:val="18"/>
    </w:rPr>
  </w:style>
  <w:style w:type="character" w:customStyle="1" w:styleId="16">
    <w:name w:val="17"/>
    <w:basedOn w:val="8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17">
    <w:name w:val="列表段落1"/>
    <w:basedOn w:val="1"/>
    <w:qFormat/>
    <w:uiPriority w:val="0"/>
    <w:pPr>
      <w:spacing w:before="181" w:after="100" w:afterAutospacing="1"/>
      <w:ind w:left="1692" w:hanging="721"/>
    </w:pPr>
    <w:rPr>
      <w:rFonts w:ascii="微软雅黑" w:hAnsi="微软雅黑" w:eastAsia="微软雅黑" w:cs="宋体"/>
    </w:rPr>
  </w:style>
  <w:style w:type="paragraph" w:customStyle="1" w:styleId="18">
    <w:name w:val="List Paragraph1"/>
    <w:basedOn w:val="1"/>
    <w:qFormat/>
    <w:uiPriority w:val="0"/>
    <w:pPr>
      <w:overflowPunct w:val="0"/>
      <w:ind w:firstLine="420" w:firstLineChars="200"/>
    </w:pPr>
    <w:rPr>
      <w:rFonts w:ascii="Calibri" w:hAnsi="Calibri" w:eastAsia="微软雅黑" w:cs="Times New Roman"/>
      <w:szCs w:val="21"/>
    </w:rPr>
  </w:style>
  <w:style w:type="paragraph" w:customStyle="1" w:styleId="19">
    <w:name w:val="Normal"/>
    <w:qFormat/>
    <w:uiPriority w:val="0"/>
    <w:pPr>
      <w:jc w:val="both"/>
    </w:pPr>
    <w:rPr>
      <w:rFonts w:ascii="微软雅黑" w:hAnsi="微软雅黑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2263</Words>
  <Characters>2383</Characters>
  <Lines>17</Lines>
  <Paragraphs>5</Paragraphs>
  <TotalTime>0</TotalTime>
  <ScaleCrop>false</ScaleCrop>
  <LinksUpToDate>false</LinksUpToDate>
  <CharactersWithSpaces>2390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2016-01-12T19:36:00Z</dcterms:created>
  <dc:creator>samsung-</dc:creator>
  <cp:lastModifiedBy>叶莹莹</cp:lastModifiedBy>
  <dcterms:modified xsi:type="dcterms:W3CDTF">2024-02-19T05:24:54Z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225A73648B36A5EAC4935165A1C6A7AD_43</vt:lpwstr>
  </property>
</Properties>
</file>