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Microsoft YaHei Regular" w:hAnsi="Microsoft YaHei Regular" w:eastAsia="Microsoft YaHei Regular" w:cs="Microsoft YaHei Regular"/>
          <w:b/>
          <w:sz w:val="36"/>
          <w:szCs w:val="36"/>
        </w:rPr>
      </w:pPr>
      <w:r>
        <w:rPr>
          <w:rFonts w:hint="eastAsia" w:ascii="Microsoft YaHei Regular" w:hAnsi="Microsoft YaHei Regular" w:eastAsia="Microsoft YaHei Regular" w:cs="Microsoft YaHei Regular"/>
          <w:b/>
          <w:sz w:val="36"/>
          <w:szCs w:val="36"/>
        </w:rPr>
        <w:t>《组织人效提升的底层建设：定责定编定岗定额》</w:t>
      </w:r>
    </w:p>
    <w:p>
      <w:pPr>
        <w:spacing w:line="360" w:lineRule="auto"/>
        <w:rPr>
          <w:rFonts w:ascii="Microsoft YaHei Regular" w:hAnsi="Microsoft YaHei Regular" w:eastAsia="Microsoft YaHei Regular" w:cs="Microsoft YaHei Regular"/>
          <w:b/>
          <w:sz w:val="36"/>
          <w:szCs w:val="36"/>
        </w:rPr>
      </w:pPr>
    </w:p>
    <w:p>
      <w:pPr>
        <w:spacing w:line="360" w:lineRule="auto"/>
        <w:rPr>
          <w:rFonts w:ascii="Microsoft YaHei Regular" w:hAnsi="Microsoft YaHei Regular" w:eastAsia="Microsoft YaHei Regular" w:cs="Microsoft YaHei Regular"/>
          <w:b/>
          <w:bCs/>
          <w:color w:val="000000" w:themeColor="text1"/>
          <w:kern w:val="0"/>
          <w:szCs w:val="21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/>
          <w:bCs/>
          <w:color w:val="000000" w:themeColor="text1"/>
          <w:kern w:val="0"/>
          <w:szCs w:val="21"/>
          <w:lang w:eastAsia="zh-Hans"/>
          <w14:textFill>
            <w14:solidFill>
              <w14:schemeClr w14:val="tx1"/>
            </w14:solidFill>
          </w14:textFill>
        </w:rPr>
        <w:t>【报名详情】</w:t>
      </w:r>
    </w:p>
    <w:p>
      <w:pPr>
        <w:spacing w:line="360" w:lineRule="auto"/>
        <w:rPr>
          <w:rFonts w:ascii="Microsoft YaHei Regular" w:hAnsi="Microsoft YaHei Regular" w:eastAsia="Microsoft YaHei Regular" w:cs="Microsoft YaHei Regular"/>
          <w:b/>
          <w:color w:val="000000" w:themeColor="text1"/>
          <w:kern w:val="0"/>
          <w:szCs w:val="21"/>
          <w:u w:val="single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>场次：</w:t>
      </w:r>
      <w:r>
        <w:rPr>
          <w:rFonts w:hint="eastAsia" w:ascii="Microsoft YaHei Regular" w:hAnsi="Microsoft YaHei Regular" w:eastAsia="Microsoft YaHei Regular" w:cs="Microsoft YaHei Regular"/>
          <w:b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2024年</w:t>
      </w:r>
      <w:r>
        <w:rPr>
          <w:rFonts w:hint="eastAsia" w:ascii="Microsoft YaHei Regular" w:hAnsi="Microsoft YaHei Regular" w:eastAsia="Microsoft YaHei Regular" w:cs="Microsoft YaHei Regular"/>
          <w:b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6月21-22日上海，10月18-19日上海</w:t>
      </w:r>
    </w:p>
    <w:p>
      <w:pPr>
        <w:spacing w:line="276" w:lineRule="auto"/>
        <w:rPr>
          <w:rFonts w:ascii="Microsoft YaHei Regular" w:hAnsi="Microsoft YaHei Regular" w:eastAsia="Microsoft YaHei Regular" w:cs="Microsoft YaHei Regular"/>
          <w:b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费用：</w:t>
      </w:r>
      <w:r>
        <w:rPr>
          <w:rFonts w:hint="eastAsia" w:ascii="Microsoft YaHei Regular" w:hAnsi="Microsoft YaHei Regular" w:eastAsia="Microsoft YaHei Regular" w:cs="Microsoft YaHei Regular"/>
          <w:bCs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Microsoft YaHei Regular" w:hAnsi="Microsoft YaHei Regular" w:eastAsia="Microsoft YaHei Regular" w:cs="Microsoft YaHei Regular"/>
          <w:bCs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980/元人（差旅费用请自理）</w:t>
      </w:r>
      <w:bookmarkStart w:id="0" w:name="_GoBack"/>
      <w:bookmarkEnd w:id="0"/>
    </w:p>
    <w:p>
      <w:pPr>
        <w:spacing w:line="360" w:lineRule="auto"/>
        <w:rPr>
          <w:rFonts w:ascii="Microsoft YaHei Regular" w:hAnsi="Microsoft YaHei Regular" w:eastAsia="Microsoft YaHei Regular" w:cs="Microsoft YaHei Regular"/>
          <w:b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szCs w:val="21"/>
        </w:rPr>
        <w:t>【课程收益】</w:t>
      </w:r>
    </w:p>
    <w:p>
      <w:pPr>
        <w:spacing w:line="360" w:lineRule="auto"/>
        <w:ind w:firstLine="420" w:firstLineChars="20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在过往咨询培训项目的案例中，经常发现两类显著情况：一类是劳动密集型行业，员工人数庞大，岗位细分，一旦加班加活儿，员工就提加钱；一类是知识密集型行业，同岗位类型员工较多，总有一些员工资深又有经验，拿了高工资高绩效，原因多数因为资历老，实际做的工作，和新进3-5年的员工差别不大。这些情况，都是在企业发展过程中，没有构建好适配发展阶段和发展方向的岗位设置带来的。</w:t>
      </w:r>
    </w:p>
    <w:p>
      <w:pPr>
        <w:spacing w:line="360" w:lineRule="auto"/>
        <w:ind w:firstLine="420" w:firstLineChars="20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企业中一切行为的目标都导向企业绩效，企业绩效需要完善的组织运行体系，帮助员工规范地高效地达成绩效。而提升组织能效的基础则是岗位体系。岗位体系的构建通常包含四大核心板块：定责定编定岗定额。</w:t>
      </w:r>
    </w:p>
    <w:p>
      <w:pPr>
        <w:spacing w:line="360" w:lineRule="auto"/>
        <w:ind w:firstLine="420" w:firstLineChars="20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。通过本次训战，完成组织“定责定编定岗定额”的整体设计：</w:t>
      </w:r>
    </w:p>
    <w:p>
      <w:pPr>
        <w:pStyle w:val="13"/>
        <w:numPr>
          <w:ilvl w:val="0"/>
          <w:numId w:val="1"/>
        </w:numPr>
        <w:spacing w:line="360" w:lineRule="auto"/>
        <w:ind w:firstLine="6" w:firstLineChars="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战略演绎：演绎业务战略目标，设计一级组织职能职责</w:t>
      </w:r>
    </w:p>
    <w:p>
      <w:pPr>
        <w:pStyle w:val="13"/>
        <w:numPr>
          <w:ilvl w:val="0"/>
          <w:numId w:val="1"/>
        </w:numPr>
        <w:spacing w:line="360" w:lineRule="auto"/>
        <w:ind w:firstLine="6" w:firstLineChars="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战略解码：澄清各职能战略，设计二级组织职能定位与职责</w:t>
      </w:r>
    </w:p>
    <w:p>
      <w:pPr>
        <w:pStyle w:val="13"/>
        <w:numPr>
          <w:ilvl w:val="0"/>
          <w:numId w:val="1"/>
        </w:numPr>
        <w:spacing w:line="360" w:lineRule="auto"/>
        <w:ind w:firstLine="6" w:firstLineChars="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岗位定责：解析关键流程和管控模式，设计三级岗位职责</w:t>
      </w:r>
    </w:p>
    <w:p>
      <w:pPr>
        <w:pStyle w:val="13"/>
        <w:numPr>
          <w:ilvl w:val="0"/>
          <w:numId w:val="1"/>
        </w:numPr>
        <w:spacing w:line="360" w:lineRule="auto"/>
        <w:ind w:firstLine="6" w:firstLineChars="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编制规划：从宏观、中观、微观三级测算各单位各岗位编制</w:t>
      </w:r>
    </w:p>
    <w:p>
      <w:pPr>
        <w:pStyle w:val="13"/>
        <w:numPr>
          <w:ilvl w:val="0"/>
          <w:numId w:val="1"/>
        </w:numPr>
        <w:spacing w:line="360" w:lineRule="auto"/>
        <w:ind w:firstLine="6" w:firstLineChars="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确定职责：根据测算情况，重构岗位职责，验证可行性</w:t>
      </w:r>
    </w:p>
    <w:p>
      <w:pPr>
        <w:pStyle w:val="13"/>
        <w:numPr>
          <w:ilvl w:val="0"/>
          <w:numId w:val="1"/>
        </w:numPr>
        <w:spacing w:line="360" w:lineRule="auto"/>
        <w:ind w:firstLine="6" w:firstLineChars="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劳动定额：对职责范围内的业绩指标进行量化标定，确定人效值</w:t>
      </w:r>
    </w:p>
    <w:p>
      <w:pPr>
        <w:pStyle w:val="13"/>
        <w:numPr>
          <w:ilvl w:val="0"/>
          <w:numId w:val="1"/>
        </w:numPr>
        <w:spacing w:line="360" w:lineRule="auto"/>
        <w:ind w:firstLine="6" w:firstLineChars="0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人效提升：最大化落地四定管理，为组织持续人效提升奠定体系基础</w:t>
      </w:r>
    </w:p>
    <w:p>
      <w:pPr>
        <w:spacing w:line="360" w:lineRule="auto"/>
        <w:rPr>
          <w:rFonts w:ascii="Microsoft YaHei Regular" w:hAnsi="Microsoft YaHei Regular" w:eastAsia="Microsoft YaHei Regular" w:cs="Microsoft YaHei Regular"/>
          <w:b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【</w:t>
      </w:r>
      <w:r>
        <w:rPr>
          <w:rFonts w:hint="eastAsia" w:ascii="Microsoft YaHei Regular" w:hAnsi="Microsoft YaHei Regular" w:eastAsia="Microsoft YaHei Regular" w:cs="Microsoft YaHei Regular"/>
          <w:b/>
          <w:szCs w:val="21"/>
        </w:rPr>
        <w:t>课程交付</w:t>
      </w: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】</w:t>
      </w:r>
    </w:p>
    <w:p>
      <w:pPr>
        <w:numPr>
          <w:ilvl w:val="0"/>
          <w:numId w:val="2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一级、二级、三级组织职能分解表</w:t>
      </w:r>
    </w:p>
    <w:p>
      <w:pPr>
        <w:numPr>
          <w:ilvl w:val="0"/>
          <w:numId w:val="2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组织能效分析测算表</w:t>
      </w:r>
    </w:p>
    <w:p>
      <w:pPr>
        <w:numPr>
          <w:ilvl w:val="0"/>
          <w:numId w:val="2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宏观编制测算流程及注意事项</w:t>
      </w:r>
    </w:p>
    <w:p>
      <w:pPr>
        <w:numPr>
          <w:ilvl w:val="0"/>
          <w:numId w:val="2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中观编制能效测算及方法</w:t>
      </w:r>
    </w:p>
    <w:p>
      <w:pPr>
        <w:numPr>
          <w:ilvl w:val="0"/>
          <w:numId w:val="2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微观编制测算方法及使用场景</w:t>
      </w:r>
    </w:p>
    <w:p>
      <w:pPr>
        <w:numPr>
          <w:ilvl w:val="0"/>
          <w:numId w:val="2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岗位设置的“一图一表一书”</w:t>
      </w:r>
    </w:p>
    <w:p>
      <w:pPr>
        <w:numPr>
          <w:ilvl w:val="0"/>
          <w:numId w:val="2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劳动定额分析表</w:t>
      </w:r>
    </w:p>
    <w:p>
      <w:pPr>
        <w:numPr>
          <w:ilvl w:val="0"/>
          <w:numId w:val="2"/>
        </w:numPr>
        <w:spacing w:line="360" w:lineRule="auto"/>
        <w:rPr>
          <w:rFonts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职位体系图-立体式岗位体系设计要点</w:t>
      </w:r>
    </w:p>
    <w:p>
      <w:pPr>
        <w:spacing w:line="360" w:lineRule="auto"/>
        <w:rPr>
          <w:rFonts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  <w:t>【课程大纲】</w:t>
      </w:r>
    </w:p>
    <w:p>
      <w:pPr>
        <w:spacing w:before="156" w:beforeLines="50" w:line="360" w:lineRule="auto"/>
        <w:rPr>
          <w:rFonts w:ascii="Microsoft YaHei Regular" w:hAnsi="Microsoft YaHei Regular" w:eastAsia="Microsoft YaHei Regular" w:cs="Microsoft YaHei Regular"/>
          <w:b/>
          <w:color w:val="FF0000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FF0000"/>
          <w:spacing w:val="15"/>
          <w:kern w:val="0"/>
          <w:szCs w:val="21"/>
        </w:rPr>
        <w:t>课前作业【特殊注意事项】：</w:t>
      </w:r>
    </w:p>
    <w:p>
      <w:pPr>
        <w:spacing w:before="156" w:beforeLines="50" w:line="360" w:lineRule="auto"/>
        <w:rPr>
          <w:rFonts w:ascii="Microsoft YaHei Regular" w:hAnsi="Microsoft YaHei Regular" w:eastAsia="Microsoft YaHei Regular" w:cs="Microsoft YaHei Regular"/>
          <w:b/>
          <w:color w:val="FF0000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FF0000"/>
          <w:spacing w:val="15"/>
          <w:kern w:val="0"/>
          <w:szCs w:val="21"/>
        </w:rPr>
        <w:t>本公司业务情况简介，岗位管理现状简析。</w:t>
      </w:r>
    </w:p>
    <w:p>
      <w:pPr>
        <w:spacing w:line="360" w:lineRule="auto"/>
        <w:jc w:val="left"/>
        <w:rPr>
          <w:rFonts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  <w:t>课程导入：</w:t>
      </w:r>
    </w:p>
    <w:p>
      <w:pPr>
        <w:numPr>
          <w:ilvl w:val="0"/>
          <w:numId w:val="3"/>
        </w:numPr>
        <w:spacing w:line="360" w:lineRule="auto"/>
        <w:jc w:val="left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B</w:t>
      </w:r>
      <w:r>
        <w:rPr>
          <w:rFonts w:ascii="Microsoft YaHei Regular" w:hAnsi="Microsoft YaHei Regular" w:eastAsia="Microsoft YaHei Regular" w:cs="Microsoft YaHei Regular"/>
          <w:bCs/>
          <w:szCs w:val="21"/>
        </w:rPr>
        <w:t>ANI</w:t>
      </w: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时代人效管理的紧迫性</w:t>
      </w:r>
    </w:p>
    <w:p>
      <w:pPr>
        <w:numPr>
          <w:ilvl w:val="0"/>
          <w:numId w:val="3"/>
        </w:numPr>
        <w:spacing w:line="360" w:lineRule="auto"/>
        <w:jc w:val="left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科学&amp;合理的人效测算与规划，为组织保驾护航</w:t>
      </w:r>
    </w:p>
    <w:p>
      <w:pPr>
        <w:spacing w:line="360" w:lineRule="auto"/>
        <w:jc w:val="left"/>
        <w:rPr>
          <w:rFonts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  <w:t>第一章：三级定责【公司级、部门级、岗位级】</w:t>
      </w:r>
    </w:p>
    <w:p>
      <w:pPr>
        <w:numPr>
          <w:ilvl w:val="0"/>
          <w:numId w:val="4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战略演绎、目标分解与组织机构设置概况分析</w:t>
      </w:r>
    </w:p>
    <w:p>
      <w:pPr>
        <w:spacing w:line="360" w:lineRule="auto"/>
        <w:ind w:left="425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1）行业调研与对标</w:t>
      </w:r>
    </w:p>
    <w:p>
      <w:pPr>
        <w:spacing w:line="360" w:lineRule="auto"/>
        <w:ind w:left="425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2）内部调研与对标</w:t>
      </w:r>
    </w:p>
    <w:p>
      <w:pPr>
        <w:numPr>
          <w:ilvl w:val="0"/>
          <w:numId w:val="4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公司业务、部门职能、岗位任务的三级定责梳理与确定</w:t>
      </w:r>
    </w:p>
    <w:p>
      <w:pPr>
        <w:numPr>
          <w:ilvl w:val="0"/>
          <w:numId w:val="4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部门职能说明书撰写</w:t>
      </w:r>
    </w:p>
    <w:p>
      <w:pPr>
        <w:numPr>
          <w:ilvl w:val="0"/>
          <w:numId w:val="4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Cs w:val="21"/>
        </w:rPr>
        <w:t>实操演练：3个关联部门职能分析练习</w:t>
      </w:r>
    </w:p>
    <w:p>
      <w:pPr>
        <w:spacing w:line="360" w:lineRule="auto"/>
        <w:jc w:val="left"/>
        <w:rPr>
          <w:rFonts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  <w:t>第二章：宏观定编</w:t>
      </w:r>
    </w:p>
    <w:p>
      <w:pPr>
        <w:numPr>
          <w:ilvl w:val="0"/>
          <w:numId w:val="5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宏观编制核定：定编思路与定编方法论</w:t>
      </w:r>
    </w:p>
    <w:p>
      <w:pPr>
        <w:numPr>
          <w:ilvl w:val="0"/>
          <w:numId w:val="5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公司人效目标与定编策略</w:t>
      </w:r>
    </w:p>
    <w:p>
      <w:pPr>
        <w:numPr>
          <w:ilvl w:val="0"/>
          <w:numId w:val="5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宏观编制测算</w:t>
      </w:r>
    </w:p>
    <w:p>
      <w:pPr>
        <w:numPr>
          <w:ilvl w:val="0"/>
          <w:numId w:val="5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Cs w:val="21"/>
        </w:rPr>
        <w:t>实操演练：内部数据回归分析练习</w:t>
      </w:r>
    </w:p>
    <w:p>
      <w:pPr>
        <w:spacing w:line="360" w:lineRule="auto"/>
        <w:jc w:val="left"/>
        <w:rPr>
          <w:rFonts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  <w:t>第三章：中观定编</w:t>
      </w:r>
    </w:p>
    <w:p>
      <w:pPr>
        <w:numPr>
          <w:ilvl w:val="0"/>
          <w:numId w:val="6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中观编制核定：定编思路与定编方法论</w:t>
      </w:r>
    </w:p>
    <w:p>
      <w:pPr>
        <w:numPr>
          <w:ilvl w:val="0"/>
          <w:numId w:val="6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中观人效目标与定编策略</w:t>
      </w:r>
    </w:p>
    <w:p>
      <w:pPr>
        <w:numPr>
          <w:ilvl w:val="0"/>
          <w:numId w:val="6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三维定编检视</w:t>
      </w:r>
    </w:p>
    <w:p>
      <w:pPr>
        <w:numPr>
          <w:ilvl w:val="0"/>
          <w:numId w:val="6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中观编制测算</w:t>
      </w:r>
    </w:p>
    <w:p>
      <w:pPr>
        <w:numPr>
          <w:ilvl w:val="0"/>
          <w:numId w:val="6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Cs w:val="21"/>
        </w:rPr>
        <w:t>实操演练：编制对标分位值测算与选择练习</w:t>
      </w:r>
    </w:p>
    <w:p>
      <w:pPr>
        <w:spacing w:line="360" w:lineRule="auto"/>
        <w:jc w:val="left"/>
        <w:rPr>
          <w:rFonts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  <w:t>第四章：微观定编</w:t>
      </w:r>
    </w:p>
    <w:p>
      <w:pPr>
        <w:numPr>
          <w:ilvl w:val="0"/>
          <w:numId w:val="7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微观编制核定：定编思路与定编方法论</w:t>
      </w:r>
    </w:p>
    <w:p>
      <w:pPr>
        <w:numPr>
          <w:ilvl w:val="0"/>
          <w:numId w:val="7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岗位工作量分析、业绩目标与定编策略</w:t>
      </w:r>
    </w:p>
    <w:p>
      <w:pPr>
        <w:numPr>
          <w:ilvl w:val="0"/>
          <w:numId w:val="7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微观编制测算</w:t>
      </w:r>
    </w:p>
    <w:p>
      <w:pPr>
        <w:numPr>
          <w:ilvl w:val="0"/>
          <w:numId w:val="7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Cs w:val="21"/>
        </w:rPr>
        <w:t>实操演练：微观编制测算练习</w:t>
      </w:r>
    </w:p>
    <w:p>
      <w:pPr>
        <w:spacing w:line="360" w:lineRule="auto"/>
        <w:jc w:val="left"/>
        <w:rPr>
          <w:rFonts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  <w:t>第五章：定岗</w:t>
      </w:r>
    </w:p>
    <w:p>
      <w:pPr>
        <w:numPr>
          <w:ilvl w:val="0"/>
          <w:numId w:val="8"/>
        </w:numPr>
        <w:spacing w:line="360" w:lineRule="auto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岗位职责梳理与检视</w:t>
      </w:r>
    </w:p>
    <w:p>
      <w:pPr>
        <w:numPr>
          <w:ilvl w:val="0"/>
          <w:numId w:val="8"/>
        </w:numPr>
        <w:spacing w:line="360" w:lineRule="auto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岗位说明书撰写</w:t>
      </w:r>
    </w:p>
    <w:p>
      <w:pPr>
        <w:numPr>
          <w:ilvl w:val="0"/>
          <w:numId w:val="8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职位体系框架搭建</w:t>
      </w:r>
    </w:p>
    <w:p>
      <w:pPr>
        <w:numPr>
          <w:ilvl w:val="0"/>
          <w:numId w:val="8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Cs w:val="21"/>
        </w:rPr>
        <w:t>实操演练：职位体系框架搭建练习</w:t>
      </w:r>
    </w:p>
    <w:p>
      <w:pPr>
        <w:spacing w:line="360" w:lineRule="auto"/>
        <w:jc w:val="left"/>
        <w:rPr>
          <w:rFonts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/>
          <w:color w:val="3B3838"/>
          <w:spacing w:val="15"/>
          <w:kern w:val="0"/>
          <w:szCs w:val="21"/>
        </w:rPr>
        <w:t>第六章：定额</w:t>
      </w:r>
    </w:p>
    <w:p>
      <w:pPr>
        <w:numPr>
          <w:ilvl w:val="0"/>
          <w:numId w:val="9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工时定额</w:t>
      </w:r>
    </w:p>
    <w:p>
      <w:pPr>
        <w:numPr>
          <w:ilvl w:val="0"/>
          <w:numId w:val="9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计件定额</w:t>
      </w:r>
    </w:p>
    <w:p>
      <w:pPr>
        <w:numPr>
          <w:ilvl w:val="0"/>
          <w:numId w:val="9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进度定额</w:t>
      </w:r>
    </w:p>
    <w:p>
      <w:pPr>
        <w:numPr>
          <w:ilvl w:val="0"/>
          <w:numId w:val="9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质量定标</w:t>
      </w:r>
    </w:p>
    <w:p>
      <w:pPr>
        <w:numPr>
          <w:ilvl w:val="0"/>
          <w:numId w:val="9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szCs w:val="21"/>
        </w:rPr>
        <w:t>劳动定额分析表</w:t>
      </w:r>
    </w:p>
    <w:p>
      <w:pPr>
        <w:numPr>
          <w:ilvl w:val="0"/>
          <w:numId w:val="9"/>
        </w:numPr>
        <w:spacing w:line="360" w:lineRule="auto"/>
        <w:rPr>
          <w:rFonts w:ascii="Microsoft YaHei Regular" w:hAnsi="Microsoft YaHei Regular" w:eastAsia="Microsoft YaHei Regular" w:cs="Microsoft YaHei Regular"/>
          <w:bCs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FF0000"/>
          <w:spacing w:val="15"/>
          <w:kern w:val="0"/>
          <w:szCs w:val="21"/>
        </w:rPr>
        <w:t>实操演练：劳动定额分析表测算练习</w:t>
      </w:r>
    </w:p>
    <w:p>
      <w:pPr>
        <w:spacing w:line="360" w:lineRule="auto"/>
        <w:rPr>
          <w:rFonts w:hint="eastAsia" w:ascii="Microsoft YaHei Regular" w:hAnsi="Microsoft YaHei Regular" w:eastAsia="Microsoft YaHei Regular" w:cs="Microsoft YaHei Regular"/>
          <w:bCs/>
          <w:szCs w:val="21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/>
          <w:color w:val="00000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113030</wp:posOffset>
                </wp:positionV>
                <wp:extent cx="1453515" cy="1968500"/>
                <wp:effectExtent l="6350" t="6350" r="13335" b="6350"/>
                <wp:wrapTight wrapText="bothSides">
                  <wp:wrapPolygon>
                    <wp:start x="-94" y="-70"/>
                    <wp:lineTo x="-94" y="4111"/>
                    <wp:lineTo x="20666" y="4390"/>
                    <wp:lineTo x="-94" y="8849"/>
                    <wp:lineTo x="-94" y="17768"/>
                    <wp:lineTo x="20666" y="17768"/>
                    <wp:lineTo x="-94" y="21112"/>
                    <wp:lineTo x="-94" y="21391"/>
                    <wp:lineTo x="21421" y="21391"/>
                    <wp:lineTo x="21421" y="13308"/>
                    <wp:lineTo x="661" y="8849"/>
                    <wp:lineTo x="21421" y="8570"/>
                    <wp:lineTo x="21421" y="-70"/>
                    <wp:lineTo x="-94" y="-70"/>
                  </wp:wrapPolygon>
                </wp:wrapTight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46700" y="1399540"/>
                          <a:ext cx="1453515" cy="1968500"/>
                        </a:xfrm>
                        <a:prstGeom prst="rect">
                          <a:avLst/>
                        </a:prstGeom>
                        <a:ln w="9525" cap="flat" cmpd="sng" algn="ctr"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drawing>
                                <wp:inline distT="0" distB="0" distL="114300" distR="114300">
                                  <wp:extent cx="1254125" cy="1881505"/>
                                  <wp:effectExtent l="0" t="0" r="15875" b="23495"/>
                                  <wp:docPr id="4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4125" cy="1881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45pt;margin-top:8.9pt;height:155pt;width:114.45pt;mso-wrap-distance-left:9pt;mso-wrap-distance-right:9pt;z-index:-251657216;mso-width-relative:page;mso-height-relative:page;" filled="f" stroked="t" coordsize="21600,21600" wrapcoords="-94 -70 -94 4111 20666 4390 -94 8849 -94 17768 20666 17768 -94 21112 -94 21391 21421 21391 21421 13308 661 8849 21421 8570 21421 -70 -94 -70" o:gfxdata="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AfEevPYAAAACgEAAA8AAAAAAAAAAQAgAAAAIgAAAGRy&#10;cy9kb3ducmV2LnhtbFBLAQIUABQAAAAIAIdO4kAPlwh7dwIAANUEAAAOAAAAAAAAAAEAIAAAACcB&#10;AABkcnMvZTJvRG9jLnhtbFBLBQYAAAAABgAGAFkBAAAQBgAAAAA=&#10;">
                <v:fill on="f" focussize="0,0"/>
                <v:stroke color="#FFFFFF [3212]" joinstyle="round" dashstyle="dash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114300" distR="114300">
                            <wp:extent cx="1254125" cy="1881505"/>
                            <wp:effectExtent l="0" t="0" r="15875" b="23495"/>
                            <wp:docPr id="4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4125" cy="1881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hint="eastAsia" w:ascii="Microsoft YaHei Regular" w:hAnsi="Microsoft YaHei Regular" w:eastAsia="Microsoft YaHei Regular" w:cs="Microsoft YaHei Regular"/>
          <w:b/>
          <w:color w:val="000000"/>
          <w:szCs w:val="21"/>
        </w:rPr>
        <w:t>【讲师介绍-肖老师】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GHR研究院人力资源资深专家/成都公司总经理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 xml:space="preserve">营创学院&amp;哥伦比亚DBA博士在读、西南石油大学MBA硕士 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国家人力资源管理师（高级）、国家心理咨询师（二级）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项目经验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专注于国央企、大中型企业总部薪酬绩效设计、定编定岗、职业发展通道、人才评估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事业部/下属一级单位领导人考核、契约化与职业经理人制度等设计与实施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某交通设计集团岗位、绩效、薪酬、职业发展通道设计项目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某新材料公司岗位重构及岗位价值评价项目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某直升机人才标准、激励、评价体系设计项目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某供应链省分公司人力资源优化项目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某卷烟厂定编定岗、岗位价值评价、任职资格设计项目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华电四川水电开发有限公司绩效咨询服务项目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成都产投大数据集团/科创投集团行业经营水平与薪酬调研服务项目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蜀南气矿岗位定编、人才盘点咨询服务项目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某公交集团岗位、绩效、薪酬、职业发展通道设计项目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中石化某油气田分公司岗位、绩效、薪酬、员工评价体系项目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某石油管道工程有限公司定员、岗评、绩效薪酬项目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某油田第三采油厂定员、绩效考核及人才盘点与规划项目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中国船舶集团工业系统研究所/703研究所薪酬、绩效体系优化项目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湖南机场空港实业胜任力建模与领导力人才发展项目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南京金陵科技学院人力资源体系优化项目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海南正业农业科技/上海星乐食品/南京任天科技战略解码及组织能力建设项目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中航国际/万科/广汽研究院/招行IT中心领导力认知与发展项目</w:t>
      </w:r>
    </w:p>
    <w:p>
      <w:pPr>
        <w:tabs>
          <w:tab w:val="left" w:pos="0"/>
          <w:tab w:val="left" w:pos="360"/>
        </w:tabs>
        <w:spacing w:line="276" w:lineRule="auto"/>
        <w:rPr>
          <w:rFonts w:ascii="Microsoft YaHei Regular" w:hAnsi="Microsoft YaHei Regular" w:eastAsia="Microsoft YaHei Regular" w:cs="Microsoft YaHei Regular"/>
          <w:bCs/>
          <w:color w:val="000000"/>
          <w:szCs w:val="21"/>
        </w:rPr>
      </w:pPr>
      <w:r>
        <w:rPr>
          <w:rFonts w:hint="eastAsia" w:ascii="Microsoft YaHei Regular" w:hAnsi="Microsoft YaHei Regular" w:eastAsia="Microsoft YaHei Regular" w:cs="Microsoft YaHei Regular"/>
          <w:bCs/>
          <w:color w:val="000000"/>
          <w:szCs w:val="21"/>
        </w:rPr>
        <w:t>一飞智控无人机/上海东龙服饰YCC战略解码及薪酬绩效、人才盘点项目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Regular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BF35F1"/>
    <w:multiLevelType w:val="singleLevel"/>
    <w:tmpl w:val="FBBF35F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2AB266A"/>
    <w:multiLevelType w:val="multilevel"/>
    <w:tmpl w:val="22AB266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247E311C"/>
    <w:multiLevelType w:val="multilevel"/>
    <w:tmpl w:val="247E311C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FC305B2"/>
    <w:multiLevelType w:val="multilevel"/>
    <w:tmpl w:val="2FC305B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4">
    <w:nsid w:val="45964CB8"/>
    <w:multiLevelType w:val="multilevel"/>
    <w:tmpl w:val="45964CB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>
    <w:nsid w:val="491E394B"/>
    <w:multiLevelType w:val="multilevel"/>
    <w:tmpl w:val="491E394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54FC06D8"/>
    <w:multiLevelType w:val="multilevel"/>
    <w:tmpl w:val="54FC06D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7FFBA10D"/>
    <w:multiLevelType w:val="multilevel"/>
    <w:tmpl w:val="7FFBA1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8">
    <w:nsid w:val="7FFCE0F8"/>
    <w:multiLevelType w:val="singleLevel"/>
    <w:tmpl w:val="7FFCE0F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yYjM4NjJhZjVhMjU1OTFjZTljZmJlZjVkNzRhZDAifQ=="/>
    <w:docVar w:name="KSO_WPS_MARK_KEY" w:val="eb0b7163-d918-4f98-ba28-3bd9e751c00c"/>
  </w:docVars>
  <w:rsids>
    <w:rsidRoot w:val="00433013"/>
    <w:rsid w:val="00002664"/>
    <w:rsid w:val="00020677"/>
    <w:rsid w:val="00034367"/>
    <w:rsid w:val="000365C6"/>
    <w:rsid w:val="00057DD9"/>
    <w:rsid w:val="000A4945"/>
    <w:rsid w:val="000A7010"/>
    <w:rsid w:val="000B4DA3"/>
    <w:rsid w:val="000D00C5"/>
    <w:rsid w:val="00112321"/>
    <w:rsid w:val="0011312D"/>
    <w:rsid w:val="0016274C"/>
    <w:rsid w:val="001B09C1"/>
    <w:rsid w:val="001B16BE"/>
    <w:rsid w:val="001C6358"/>
    <w:rsid w:val="0022502B"/>
    <w:rsid w:val="0022593E"/>
    <w:rsid w:val="002303CE"/>
    <w:rsid w:val="0029408C"/>
    <w:rsid w:val="002B4E31"/>
    <w:rsid w:val="002B5EDF"/>
    <w:rsid w:val="00301EFB"/>
    <w:rsid w:val="003172A2"/>
    <w:rsid w:val="00340D65"/>
    <w:rsid w:val="0037187E"/>
    <w:rsid w:val="00371D0E"/>
    <w:rsid w:val="00373101"/>
    <w:rsid w:val="00373860"/>
    <w:rsid w:val="00383A17"/>
    <w:rsid w:val="003A2E42"/>
    <w:rsid w:val="00422237"/>
    <w:rsid w:val="00433013"/>
    <w:rsid w:val="00433568"/>
    <w:rsid w:val="00434AF6"/>
    <w:rsid w:val="00440338"/>
    <w:rsid w:val="00483037"/>
    <w:rsid w:val="004A2653"/>
    <w:rsid w:val="004B1551"/>
    <w:rsid w:val="004F4BB0"/>
    <w:rsid w:val="004F4EF6"/>
    <w:rsid w:val="005317CD"/>
    <w:rsid w:val="0054681F"/>
    <w:rsid w:val="005474F1"/>
    <w:rsid w:val="00585A50"/>
    <w:rsid w:val="0063342D"/>
    <w:rsid w:val="00646875"/>
    <w:rsid w:val="006654BA"/>
    <w:rsid w:val="00687384"/>
    <w:rsid w:val="00690CCA"/>
    <w:rsid w:val="006E3FF4"/>
    <w:rsid w:val="00706B1C"/>
    <w:rsid w:val="00741065"/>
    <w:rsid w:val="00762C00"/>
    <w:rsid w:val="00775AC2"/>
    <w:rsid w:val="0079706F"/>
    <w:rsid w:val="007C7952"/>
    <w:rsid w:val="007D52DC"/>
    <w:rsid w:val="008367DC"/>
    <w:rsid w:val="00873383"/>
    <w:rsid w:val="00885E36"/>
    <w:rsid w:val="0091346C"/>
    <w:rsid w:val="00934374"/>
    <w:rsid w:val="009530CD"/>
    <w:rsid w:val="009855C0"/>
    <w:rsid w:val="009C0A97"/>
    <w:rsid w:val="00A17E24"/>
    <w:rsid w:val="00A55D97"/>
    <w:rsid w:val="00A56001"/>
    <w:rsid w:val="00A828F3"/>
    <w:rsid w:val="00AD68E0"/>
    <w:rsid w:val="00B30800"/>
    <w:rsid w:val="00B32A83"/>
    <w:rsid w:val="00B32C76"/>
    <w:rsid w:val="00B96713"/>
    <w:rsid w:val="00BA0A84"/>
    <w:rsid w:val="00BB4350"/>
    <w:rsid w:val="00BC1622"/>
    <w:rsid w:val="00BC4F11"/>
    <w:rsid w:val="00C6253A"/>
    <w:rsid w:val="00C72741"/>
    <w:rsid w:val="00CD1534"/>
    <w:rsid w:val="00D061F4"/>
    <w:rsid w:val="00D22590"/>
    <w:rsid w:val="00D313CA"/>
    <w:rsid w:val="00D8633A"/>
    <w:rsid w:val="00DE0E98"/>
    <w:rsid w:val="00E402E6"/>
    <w:rsid w:val="00EC0EAB"/>
    <w:rsid w:val="00F34832"/>
    <w:rsid w:val="00F41329"/>
    <w:rsid w:val="00F5145B"/>
    <w:rsid w:val="00F61009"/>
    <w:rsid w:val="00FB2128"/>
    <w:rsid w:val="00FB6304"/>
    <w:rsid w:val="1C8308D0"/>
    <w:rsid w:val="430F01DB"/>
    <w:rsid w:val="437D75EB"/>
    <w:rsid w:val="73E46131"/>
    <w:rsid w:val="7B6F83F8"/>
    <w:rsid w:val="7FFF86D1"/>
    <w:rsid w:val="7FFFCCF3"/>
    <w:rsid w:val="BEFB815F"/>
    <w:rsid w:val="DF75BD92"/>
    <w:rsid w:val="FD2E151B"/>
    <w:rsid w:val="FF6FCE62"/>
    <w:rsid w:val="FFB7F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0"/>
    <w:rPr>
      <w:rFonts w:asciiTheme="minorHAnsi" w:hAnsiTheme="minorHAnsi" w:eastAsiaTheme="minorEastAsia" w:cstheme="minorBidi"/>
      <w:sz w:val="24"/>
      <w:szCs w:val="22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正文文本 字符"/>
    <w:link w:val="2"/>
    <w:qFormat/>
    <w:uiPriority w:val="0"/>
    <w:rPr>
      <w:sz w:val="24"/>
    </w:rPr>
  </w:style>
  <w:style w:type="character" w:customStyle="1" w:styleId="11">
    <w:name w:val="正文文本 Char1"/>
    <w:basedOn w:val="7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1545</Characters>
  <Lines>12</Lines>
  <Paragraphs>3</Paragraphs>
  <TotalTime>1</TotalTime>
  <ScaleCrop>false</ScaleCrop>
  <LinksUpToDate>false</LinksUpToDate>
  <CharactersWithSpaces>1812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2024-01-29T12:05:00Z</dcterms:created>
  <dc:creator>samsung-</dc:creator>
  <cp:lastModifiedBy>叶莹莹</cp:lastModifiedBy>
  <dcterms:modified xsi:type="dcterms:W3CDTF">2024-02-19T05:11:59Z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0048D9D36A2C760FE4192665F0482189_43</vt:lpwstr>
  </property>
</Properties>
</file>