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6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6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《高维战略》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【课程对象】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企业主、股东、董事长、总经理等决策层高管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2024年4月12-14日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【课程地点】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广州开课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【课程费用】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6980元/人，9800元/两人，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费用包含：学费、资料费、休闲点心及其它服务费，交通和食宿费用自理，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无折扣优惠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D7D7D7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课程收益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海峰老师用三天两夜的时间，结合他服务企业10年的高度总结，结合他成功操盘的企业，让你：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1明白企业增长的底层逻辑是什么？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2懂得如何用顺三势，借三力的路径方法，实现企业的持续快速增长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3变成懂周期，懂战略的更高维的专业级的企业家赛手！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《高维战略》是一套让企业实现三年五倍，五年十倍快速增长的路径和方法。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D7D7D7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授课老师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69215</wp:posOffset>
            </wp:positionV>
            <wp:extent cx="1635125" cy="1711960"/>
            <wp:effectExtent l="0" t="0" r="3175" b="2540"/>
            <wp:wrapTight wrapText="bothSides">
              <wp:wrapPolygon>
                <wp:start x="0" y="0"/>
                <wp:lineTo x="0" y="21392"/>
                <wp:lineTo x="21390" y="21392"/>
                <wp:lineTo x="21390" y="0"/>
                <wp:lineTo x="0" y="0"/>
              </wp:wrapPolygon>
            </wp:wrapTight>
            <wp:docPr id="3" name="图片 3" descr="caaa36f33ad86a1e046c3e048994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aa36f33ad86a1e046c3e04899409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刘海峰  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①高维战略开创者、实践者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②战略入股老爸评测、欧税通、顺联动力、众鑫环保等数十家公司，推动诸多标杆企业3年成长数十倍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一亿中流集团董事长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北大光华管理学院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高维战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略开创者 实践者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五年内获四轮战略投资；最新一轮估值20亿，计划2023年登陆资本场；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股东背景中林集团.浙江清华长三角研究院等知名机构；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17145</wp:posOffset>
            </wp:positionV>
            <wp:extent cx="1826895" cy="1621790"/>
            <wp:effectExtent l="0" t="0" r="1905" b="16510"/>
            <wp:wrapTight wrapText="bothSides">
              <wp:wrapPolygon>
                <wp:start x="0" y="0"/>
                <wp:lineTo x="0" y="21312"/>
                <wp:lineTo x="21397" y="21312"/>
                <wp:lineTo x="21397" y="0"/>
                <wp:lineTo x="0" y="0"/>
              </wp:wrapPolygon>
            </wp:wrapTight>
            <wp:docPr id="4" name="图片 4" descr="16323672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236721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翁一铭 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①产业战略与商业模式规划专家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②组织战略与股权规划专家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③为过百家创业、创新及转型升级企业提供产业战略规划、商业模式创新及股权设计咨询服务。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一亿中流商学院副总经理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产业战略与商业模式规划专家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组织战略与股权规划专家</w:t>
      </w:r>
    </w:p>
    <w:p>
      <w:pPr>
        <w:keepNext w:val="0"/>
        <w:keepLines w:val="0"/>
        <w:pageBreakBefore w:val="0"/>
        <w:widowControl w:val="0"/>
        <w:shd w:val="clear" w:color="auto" w:fill="D7D7D7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授课方式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案例互动式教学：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从案例到实操，从转型到增长，从战略到落地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1、实战经验：高维竞争，降维打击，让企业找到清晰的发展路径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2、全要素赋能：从战略思维到落地辅导，边学边练，一站式服务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3、全过程陪伴：经验丰富的老师全程陪伴学习，现场解决企业困惑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4、实战性学习：边学边练中为自己的企业全面体检，理清发展思路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D7D7D7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战略的本质是什么？战略的本质是实现可持续增长！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CEO就是企业的首席增长官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增长面临的挑战是什么？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1、大停滞——增量市场到存量市场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老客户消费习惯被对手锁定，新客户没有增长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2、大混战——差异竞争到差异过度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竞争加剧，竞争对手都削减脑袋创造差异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3、大整合——零散市场到寡头市场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头部企业越来越有优势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企业再如此具有挑战的时代背景下应何去何从？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1、顺三势借三力！顺势借力实现指数级增长！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2、顺未来的势、顺周期的势、顺全局的势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3、借产业的力、借资本的力、借政府的力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</w:pPr>
      <w:r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  <w:t>知点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832FC3"/>
    <w:multiLevelType w:val="singleLevel"/>
    <w:tmpl w:val="70832F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OGQ5NWM0NGEzODdiMTBhNWIyNjM5ZGRiNjRiZTEifQ=="/>
  </w:docVars>
  <w:rsids>
    <w:rsidRoot w:val="00000000"/>
    <w:rsid w:val="01FE688E"/>
    <w:rsid w:val="09BF1E8A"/>
    <w:rsid w:val="0F2C0D68"/>
    <w:rsid w:val="17215F32"/>
    <w:rsid w:val="1D0853B7"/>
    <w:rsid w:val="1F9E2816"/>
    <w:rsid w:val="22696D76"/>
    <w:rsid w:val="22787407"/>
    <w:rsid w:val="42A10801"/>
    <w:rsid w:val="44531468"/>
    <w:rsid w:val="45D121FF"/>
    <w:rsid w:val="50882E50"/>
    <w:rsid w:val="536E3CD2"/>
    <w:rsid w:val="61C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customStyle="1" w:styleId="6">
    <w:name w:val="apple-style-span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2024-01-30T07:52:00Z</dcterms:created>
  <dc:creator>jzx</dc:creator>
  <cp:lastModifiedBy>廖润莲</cp:lastModifiedBy>
  <dcterms:modified xsi:type="dcterms:W3CDTF">2024-03-28T06:47:17Z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185E31401547493D94042CEDADD273BD_12</vt:lpwstr>
  </property>
</Properties>
</file>