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微软雅黑" w:cs="宋体"/>
          <w:b/>
          <w:bCs/>
          <w:color w:val="0070C0"/>
          <w:kern w:val="0"/>
          <w:sz w:val="18"/>
          <w:szCs w:val="18"/>
        </w:rPr>
      </w:pPr>
    </w:p>
    <w:p>
      <w:pPr>
        <w:jc w:val="center"/>
        <w:rPr>
          <w:rFonts w:eastAsia="微软雅黑" w:cs="宋体"/>
          <w:b/>
          <w:bCs/>
          <w:color w:val="0070C0"/>
          <w:kern w:val="0"/>
          <w:sz w:val="48"/>
          <w:szCs w:val="48"/>
        </w:rPr>
      </w:pPr>
      <w:r>
        <w:rPr>
          <w:rFonts w:hint="eastAsia" w:eastAsia="微软雅黑" w:cs="宋体"/>
          <w:b/>
          <w:bCs/>
          <w:color w:val="0070C0"/>
          <w:kern w:val="0"/>
          <w:sz w:val="48"/>
          <w:szCs w:val="48"/>
        </w:rPr>
        <w:t>采购与供应链风险管理</w:t>
      </w:r>
      <w:r>
        <w:rPr>
          <w:rFonts w:eastAsia="微软雅黑" w:cs="宋体"/>
          <w:b/>
          <w:bCs/>
          <w:color w:val="0070C0"/>
          <w:kern w:val="0"/>
          <w:sz w:val="48"/>
          <w:szCs w:val="48"/>
        </w:rPr>
        <w:br w:type="textWrapping"/>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培训时间：</w:t>
      </w:r>
      <w:r>
        <w:rPr>
          <w:rFonts w:ascii="微软雅黑" w:hAnsi="微软雅黑" w:eastAsia="微软雅黑" w:cs="宋体"/>
          <w:bCs/>
          <w:kern w:val="0"/>
          <w:sz w:val="20"/>
          <w:szCs w:val="20"/>
        </w:rPr>
        <w:t xml:space="preserve"> 2024</w:t>
      </w:r>
      <w:r>
        <w:rPr>
          <w:rFonts w:hint="eastAsia" w:ascii="微软雅黑" w:hAnsi="微软雅黑" w:eastAsia="微软雅黑" w:cs="宋体"/>
          <w:bCs/>
          <w:kern w:val="0"/>
          <w:sz w:val="20"/>
          <w:szCs w:val="20"/>
        </w:rPr>
        <w:t>年</w:t>
      </w:r>
      <w:r>
        <w:rPr>
          <w:rFonts w:ascii="微软雅黑" w:hAnsi="微软雅黑" w:eastAsia="微软雅黑" w:cs="宋体"/>
          <w:bCs/>
          <w:kern w:val="0"/>
          <w:sz w:val="20"/>
          <w:szCs w:val="20"/>
        </w:rPr>
        <w:t>8</w:t>
      </w:r>
      <w:r>
        <w:rPr>
          <w:rFonts w:hint="eastAsia" w:ascii="微软雅黑" w:hAnsi="微软雅黑" w:eastAsia="微软雅黑" w:cs="宋体"/>
          <w:bCs/>
          <w:kern w:val="0"/>
          <w:sz w:val="20"/>
          <w:szCs w:val="20"/>
        </w:rPr>
        <w:t>月2</w:t>
      </w:r>
      <w:r>
        <w:rPr>
          <w:rFonts w:ascii="微软雅黑" w:hAnsi="微软雅黑" w:eastAsia="微软雅黑" w:cs="宋体"/>
          <w:bCs/>
          <w:kern w:val="0"/>
          <w:sz w:val="20"/>
          <w:szCs w:val="20"/>
        </w:rPr>
        <w:t xml:space="preserve">9-30 </w:t>
      </w:r>
      <w:r>
        <w:rPr>
          <w:rFonts w:hint="eastAsia" w:ascii="微软雅黑" w:hAnsi="微软雅黑" w:eastAsia="微软雅黑" w:cs="宋体"/>
          <w:bCs/>
          <w:kern w:val="0"/>
          <w:sz w:val="20"/>
          <w:szCs w:val="20"/>
        </w:rPr>
        <w:t>上海</w:t>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培训对象：采购与供应链管理从业人员，以及企业管理人员。</w:t>
      </w:r>
    </w:p>
    <w:p>
      <w:pPr>
        <w:spacing w:line="400" w:lineRule="exact"/>
        <w:rPr>
          <w:rFonts w:ascii="微软雅黑" w:hAnsi="微软雅黑" w:eastAsia="微软雅黑" w:cs="宋体"/>
          <w:bCs/>
          <w:kern w:val="0"/>
          <w:sz w:val="20"/>
          <w:szCs w:val="20"/>
        </w:rPr>
      </w:pPr>
      <w:r>
        <w:rPr>
          <w:rFonts w:hint="eastAsia" w:ascii="微软雅黑" w:hAnsi="微软雅黑" w:eastAsia="微软雅黑" w:cs="宋体"/>
          <w:bCs/>
          <w:kern w:val="0"/>
          <w:sz w:val="20"/>
          <w:szCs w:val="20"/>
        </w:rPr>
        <w:t>课程费用：</w:t>
      </w:r>
      <w:r>
        <w:rPr>
          <w:rFonts w:ascii="微软雅黑" w:hAnsi="微软雅黑" w:eastAsia="微软雅黑" w:cs="宋体"/>
          <w:bCs/>
          <w:kern w:val="0"/>
          <w:sz w:val="20"/>
          <w:szCs w:val="20"/>
        </w:rPr>
        <w:t>RMB 5200</w:t>
      </w:r>
      <w:r>
        <w:rPr>
          <w:rFonts w:hint="eastAsia" w:ascii="微软雅黑" w:hAnsi="微软雅黑" w:eastAsia="微软雅黑" w:cs="宋体"/>
          <w:bCs/>
          <w:kern w:val="0"/>
          <w:sz w:val="20"/>
          <w:szCs w:val="20"/>
        </w:rPr>
        <w:t>元</w:t>
      </w:r>
      <w:r>
        <w:rPr>
          <w:rFonts w:ascii="微软雅黑" w:hAnsi="微软雅黑" w:eastAsia="微软雅黑" w:cs="宋体"/>
          <w:bCs/>
          <w:kern w:val="0"/>
          <w:sz w:val="20"/>
          <w:szCs w:val="20"/>
        </w:rPr>
        <w:t>/</w:t>
      </w:r>
      <w:r>
        <w:rPr>
          <w:rFonts w:hint="eastAsia" w:ascii="微软雅黑" w:hAnsi="微软雅黑" w:eastAsia="微软雅黑" w:cs="宋体"/>
          <w:bCs/>
          <w:kern w:val="0"/>
          <w:sz w:val="20"/>
          <w:szCs w:val="20"/>
        </w:rPr>
        <w:t>人</w:t>
      </w:r>
      <w:r>
        <w:rPr>
          <w:rFonts w:ascii="微软雅黑" w:hAnsi="微软雅黑" w:eastAsia="微软雅黑" w:cs="宋体"/>
          <w:bCs/>
          <w:kern w:val="0"/>
          <w:sz w:val="20"/>
          <w:szCs w:val="20"/>
        </w:rPr>
        <w:t>/ 2</w:t>
      </w:r>
      <w:r>
        <w:rPr>
          <w:rFonts w:hint="eastAsia" w:ascii="微软雅黑" w:hAnsi="微软雅黑" w:eastAsia="微软雅黑" w:cs="宋体"/>
          <w:bCs/>
          <w:kern w:val="0"/>
          <w:sz w:val="20"/>
          <w:szCs w:val="20"/>
        </w:rPr>
        <w:t xml:space="preserve">天（含授课费、资料费、午餐费、茶点费、税费等） </w:t>
      </w:r>
      <w:r>
        <w:rPr>
          <w:rFonts w:ascii="微软雅黑" w:hAnsi="微软雅黑" w:eastAsia="微软雅黑" w:cs="宋体"/>
          <w:bCs/>
          <w:kern w:val="0"/>
          <w:sz w:val="20"/>
          <w:szCs w:val="20"/>
        </w:rPr>
        <w:br w:type="textWrapping"/>
      </w:r>
      <w:r>
        <w:rPr>
          <w:rFonts w:hint="eastAsia" w:ascii="微软雅黑" w:hAnsi="微软雅黑" w:eastAsia="微软雅黑" w:cs="宋体"/>
          <w:bCs/>
          <w:kern w:val="0"/>
          <w:sz w:val="20"/>
          <w:szCs w:val="20"/>
        </w:rPr>
        <w:t>企业内训：此课程可以邀请我们的培训师到企业开展内训服务，欢迎来电咨询</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课程背景：</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进入21世纪，供应链管理技术随着信息通讯技术的飞速成长，采购管理越来越追求低成本与更快的速度，这无疑能为企业提升市场竞争能力，创造更好的价值。采购管理团队为了应对这块压力，通常采用了一些新的举措和方法，但是新的方法在提升供应链效率的同时，也带来了无法预料的问题，增加了供应安全的脆弱性。为了既能应对脆弱性，又能提升效率而采取的措施，又因为认知不足与不灵活往往将管理能力僵化。可能一个外部政策变化，或者内部（如欺诈，系统崩溃）或外部的一个小事件，都能导致供应的崩溃，从一些公共事件就可以看出—当下，新冠肺炎爆发，不仅对中国制造形成了强烈冲击，而且随着疫情蔓延，对于全球供应链管理出形成了巨大的风险冲击，企业面临着局部的销售下降，供应中断和成本上升的考验。再往前看，中美贸易问题，中兴危机，华为面临美国制裁导致的大范围供应中断。在2017年9月，因为供应商环保不达标被勒令停产，将导致供应中断三个月，从而引发汽车制造业3000亿的产值损失，促成了舍弗勒致上海市政府的公开信，震动了整个中国制造业。2015年8月12日的天津港爆炸事件，导致了直接经济损失68.66人民亿元，保险损失15亿美元，灾难事件对于全球的电子，医疗等行业的供应链造成了供应中断，延迟交付，物流成本上升等巨大影响，这些巨大的间接缺失无法估计。这意味着复杂的供应安全需要谨慎地管理，最小的风险也影响着绩效。</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而风险管理，做为一个新兴的管理概念，正处于发展阶段，它将帮助采购管理者与团队定义风险并且负责管理。本课程将基于：</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国际成熟的风险管理体系与多年的实践经验</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Coronavirus带来的供应链管理风险与应对（2020年1月27日发表）</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疫情中的供应风险应对课程（2020年2月上旬至今，12000+采购与供应链管理人员已参加课程学习）</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疫情中的需求与供应管理课程（同上）</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华东制造业复工瓶颈问题调查（2020年2月22日发表）</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疫情下华东地区244家制造型企业供应链风险管理调查报告（2020年2月24日发表）</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国家关于重大公共卫生事件应急管理论文征集《适合中国制造业特点的供应危机应对管理系统研究》（与北京物资学院合作申报国家课题，进行中）</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国家应急物流与供应链管理网络研讨会（应武汉大学邀请，2020年3月8日-3月14日）</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帮助学员了解风险管理及其对供应的影响，理解这个主题的重要性，能有效识别供应管理的核心领域风险。然后，从供应风险管理的必要性出发，提出供应风险管理的原则与计划，并将其作为重要组成部分引入到企业管理中。并且针对当下全球疫情中与疫情后的供应风险管理落地的短期与中长期管理方案。</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参训对象：</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采购与供应链管理从业人员，以及企业管理人员。</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课程目标：</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通过培训，帮助学员达成以下培训收获。</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了解与定义风险。</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理解供应链管理与影响的趋势。</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理解风险管理的方法</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熟练掌握如何有效识别和分析风险。</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熟练掌握有效应对风险及一体化管理。</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了解如何创建弹性供应链。</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熟练掌握供应链管理的业务持续计划与灾难恢复计划</w:t>
      </w:r>
    </w:p>
    <w:p>
      <w:pPr>
        <w:numPr>
          <w:ilvl w:val="0"/>
          <w:numId w:val="1"/>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通过课程实战，拟订出针对当下供应链风险急剧升高的管理方案</w:t>
      </w:r>
    </w:p>
    <w:p>
      <w:pPr>
        <w:spacing w:before="156" w:beforeLines="50" w:line="400" w:lineRule="exact"/>
        <w:jc w:val="left"/>
        <w:rPr>
          <w:rFonts w:ascii="微软雅黑" w:hAnsi="微软雅黑" w:eastAsia="微软雅黑"/>
          <w:b/>
          <w:bCs/>
          <w:color w:val="0070C0"/>
          <w:sz w:val="20"/>
          <w:szCs w:val="20"/>
        </w:rPr>
      </w:pPr>
      <w:r>
        <w:rPr>
          <w:rFonts w:ascii="微软雅黑" w:hAnsi="微软雅黑" w:eastAsia="微软雅黑"/>
          <w:b/>
          <w:bCs/>
          <w:color w:val="0070C0"/>
          <w:sz w:val="20"/>
          <w:szCs w:val="20"/>
        </w:rPr>
        <w:t>授课形式：</w:t>
      </w:r>
    </w:p>
    <w:p>
      <w:pPr>
        <w:spacing w:line="400" w:lineRule="exact"/>
        <w:ind w:firstLine="400" w:firstLineChars="200"/>
        <w:rPr>
          <w:rFonts w:ascii="微软雅黑" w:hAnsi="微软雅黑" w:eastAsia="微软雅黑"/>
          <w:sz w:val="20"/>
          <w:szCs w:val="20"/>
        </w:rPr>
      </w:pPr>
      <w:r>
        <w:rPr>
          <w:rFonts w:ascii="微软雅黑" w:hAnsi="微软雅黑" w:eastAsia="微软雅黑"/>
          <w:color w:val="000000"/>
          <w:sz w:val="20"/>
          <w:szCs w:val="20"/>
        </w:rPr>
        <w:t>知识讲解、案例分析讨论、角色演练、小组讨论、互动交流、游戏感悟、头脑风暴、强调学员参与</w:t>
      </w:r>
      <w:r>
        <w:rPr>
          <w:rFonts w:hint="eastAsia" w:ascii="微软雅黑" w:hAnsi="微软雅黑" w:eastAsia="微软雅黑"/>
          <w:color w:val="000000"/>
          <w:sz w:val="20"/>
          <w:szCs w:val="20"/>
        </w:rPr>
        <w:t>。</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课程大纲</w:t>
      </w:r>
      <w:r>
        <w:rPr>
          <w:rFonts w:ascii="微软雅黑" w:hAnsi="微软雅黑" w:eastAsia="微软雅黑"/>
          <w:b/>
          <w:bCs/>
          <w:color w:val="0070C0"/>
          <w:sz w:val="20"/>
          <w:szCs w:val="20"/>
        </w:rPr>
        <w:t>：</w:t>
      </w:r>
    </w:p>
    <w:p>
      <w:pPr>
        <w:numPr>
          <w:ilvl w:val="0"/>
          <w:numId w:val="2"/>
        </w:numPr>
        <w:spacing w:line="400" w:lineRule="exact"/>
        <w:ind w:firstLine="0"/>
        <w:jc w:val="left"/>
        <w:rPr>
          <w:rFonts w:ascii="微软雅黑" w:hAnsi="微软雅黑" w:eastAsia="微软雅黑"/>
          <w:b/>
          <w:bCs/>
          <w:sz w:val="20"/>
          <w:szCs w:val="20"/>
        </w:rPr>
      </w:pPr>
      <w:r>
        <w:rPr>
          <w:rFonts w:hint="eastAsia" w:ascii="微软雅黑" w:hAnsi="微软雅黑" w:eastAsia="微软雅黑"/>
          <w:b/>
          <w:bCs/>
          <w:sz w:val="20"/>
          <w:szCs w:val="20"/>
        </w:rPr>
        <w:t>风险管理与影响供应链的风险的特性</w:t>
      </w:r>
    </w:p>
    <w:p>
      <w:pPr>
        <w:numPr>
          <w:ilvl w:val="0"/>
          <w:numId w:val="3"/>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了解风险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什么是风险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风险的管理</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供应链管理中的风险：外部风险，内部风险</w:t>
      </w:r>
    </w:p>
    <w:p>
      <w:pPr>
        <w:numPr>
          <w:ilvl w:val="0"/>
          <w:numId w:val="3"/>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定义风险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风险的特征</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如何做决策</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决策的各种模型: 确定性决策，不确定性决策，风险决策，无知决策</w:t>
      </w:r>
    </w:p>
    <w:p>
      <w:pPr>
        <w:numPr>
          <w:ilvl w:val="0"/>
          <w:numId w:val="3"/>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供应链管理</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供应链管理的定义与结构</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供应链管理的目标，活动与重要性</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供应链的风险：质量，配送，供应成本，交付周期，供应产能</w:t>
      </w:r>
    </w:p>
    <w:p>
      <w:pPr>
        <w:spacing w:line="400" w:lineRule="exact"/>
        <w:ind w:left="390" w:right="741" w:rightChars="353"/>
        <w:rPr>
          <w:rFonts w:ascii="微软雅黑" w:hAnsi="微软雅黑" w:eastAsia="微软雅黑"/>
          <w:bCs/>
          <w:sz w:val="20"/>
          <w:szCs w:val="20"/>
        </w:rPr>
      </w:pPr>
      <w:r>
        <w:rPr>
          <w:rFonts w:hint="eastAsia" w:ascii="微软雅黑" w:hAnsi="微软雅黑" w:eastAsia="微软雅黑"/>
          <w:bCs/>
          <w:sz w:val="20"/>
          <w:szCs w:val="20"/>
        </w:rPr>
        <w:t>案例复盘</w:t>
      </w:r>
      <w:r>
        <w:rPr>
          <w:rFonts w:ascii="微软雅黑" w:hAnsi="微软雅黑" w:eastAsia="微软雅黑"/>
          <w:bCs/>
          <w:sz w:val="20"/>
          <w:szCs w:val="20"/>
        </w:rPr>
        <w:t>:</w:t>
      </w:r>
      <w:r>
        <w:rPr>
          <w:rFonts w:hint="eastAsia" w:ascii="微软雅黑" w:hAnsi="微软雅黑" w:eastAsia="微软雅黑"/>
          <w:bCs/>
          <w:sz w:val="20"/>
          <w:szCs w:val="20"/>
        </w:rPr>
        <w:t>挑战者号的悲剧是如何酿成的？</w:t>
      </w:r>
    </w:p>
    <w:p>
      <w:pPr>
        <w:spacing w:line="400" w:lineRule="exact"/>
        <w:ind w:left="390" w:right="741" w:rightChars="353"/>
        <w:rPr>
          <w:rFonts w:ascii="微软雅黑" w:hAnsi="微软雅黑" w:eastAsia="微软雅黑"/>
          <w:bCs/>
          <w:sz w:val="20"/>
          <w:szCs w:val="20"/>
        </w:rPr>
      </w:pPr>
      <w:r>
        <w:rPr>
          <w:rFonts w:hint="eastAsia" w:ascii="微软雅黑" w:hAnsi="微软雅黑" w:eastAsia="微软雅黑"/>
          <w:bCs/>
          <w:sz w:val="20"/>
          <w:szCs w:val="20"/>
        </w:rPr>
        <w:t>课程练习</w:t>
      </w:r>
    </w:p>
    <w:p>
      <w:pPr>
        <w:numPr>
          <w:ilvl w:val="0"/>
          <w:numId w:val="2"/>
        </w:numPr>
        <w:spacing w:line="400" w:lineRule="exact"/>
        <w:ind w:firstLine="0"/>
        <w:jc w:val="left"/>
        <w:rPr>
          <w:rFonts w:ascii="微软雅黑" w:hAnsi="微软雅黑" w:eastAsia="微软雅黑"/>
          <w:b/>
          <w:bCs/>
          <w:sz w:val="20"/>
          <w:szCs w:val="20"/>
        </w:rPr>
      </w:pPr>
      <w:r>
        <w:rPr>
          <w:rFonts w:hint="eastAsia" w:ascii="微软雅黑" w:hAnsi="微软雅黑" w:eastAsia="微软雅黑"/>
          <w:b/>
          <w:bCs/>
          <w:sz w:val="20"/>
          <w:szCs w:val="20"/>
        </w:rPr>
        <w:t>如何通过管理缓解供应中的风险</w:t>
      </w:r>
    </w:p>
    <w:p>
      <w:pPr>
        <w:numPr>
          <w:ilvl w:val="0"/>
          <w:numId w:val="4"/>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影响供应链的趋势</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风险趋势（如何解读COVID19对于全球供应链的风险冲击）</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供应链管理趋势之2020（全球政经格局，商业模式，全球化与逆全球化，消费升级）</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导致供应链脆弱的七大因素（集成供应链，成本降低计划，敏捷物流，电子商务，全球化，外包，物流实践的改变）</w:t>
      </w:r>
    </w:p>
    <w:p>
      <w:pPr>
        <w:numPr>
          <w:ilvl w:val="0"/>
          <w:numId w:val="4"/>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 xml:space="preserve">风险管理的方法 </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风险管理的定义与发展</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供应链风险管理的目标与步骤</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供应链风险管理的原则</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案例复盘：长臂管辖导致的经营危机</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课程练习</w:t>
      </w:r>
    </w:p>
    <w:p>
      <w:pPr>
        <w:numPr>
          <w:ilvl w:val="0"/>
          <w:numId w:val="2"/>
        </w:numPr>
        <w:spacing w:line="400" w:lineRule="exact"/>
        <w:ind w:firstLine="0"/>
        <w:jc w:val="left"/>
        <w:rPr>
          <w:rFonts w:ascii="微软雅黑" w:hAnsi="微软雅黑" w:eastAsia="微软雅黑"/>
          <w:b/>
          <w:bCs/>
          <w:sz w:val="20"/>
          <w:szCs w:val="20"/>
        </w:rPr>
      </w:pPr>
      <w:r>
        <w:rPr>
          <w:rFonts w:hint="eastAsia" w:ascii="微软雅黑" w:hAnsi="微软雅黑" w:eastAsia="微软雅黑"/>
          <w:b/>
          <w:bCs/>
          <w:sz w:val="20"/>
          <w:szCs w:val="20"/>
        </w:rPr>
        <w:t xml:space="preserve">供应链风险管理的主要流程 </w:t>
      </w:r>
    </w:p>
    <w:p>
      <w:pPr>
        <w:numPr>
          <w:ilvl w:val="0"/>
          <w:numId w:val="5"/>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识别风险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种类与识别</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工具：分析历史事件的工具，收集意见的工具，分析运作的工具</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潜在的问题</w:t>
      </w:r>
    </w:p>
    <w:p>
      <w:pPr>
        <w:numPr>
          <w:ilvl w:val="0"/>
          <w:numId w:val="5"/>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分析风险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测量风险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风险发生的概率与后果</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后果评估</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风险分析工具</w:t>
      </w:r>
    </w:p>
    <w:p>
      <w:pPr>
        <w:numPr>
          <w:ilvl w:val="0"/>
          <w:numId w:val="5"/>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风险应对</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应对风险与备用选择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确定选择</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选择最佳应对</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实施和激活</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案例复盘：2</w:t>
      </w:r>
      <w:r>
        <w:rPr>
          <w:rFonts w:ascii="微软雅黑" w:hAnsi="微软雅黑" w:eastAsia="微软雅黑"/>
          <w:bCs/>
          <w:sz w:val="20"/>
          <w:szCs w:val="20"/>
        </w:rPr>
        <w:t>020</w:t>
      </w:r>
      <w:r>
        <w:rPr>
          <w:rFonts w:hint="eastAsia" w:ascii="微软雅黑" w:hAnsi="微软雅黑" w:eastAsia="微软雅黑"/>
          <w:bCs/>
          <w:sz w:val="20"/>
          <w:szCs w:val="20"/>
        </w:rPr>
        <w:t>年1月2</w:t>
      </w:r>
      <w:r>
        <w:rPr>
          <w:rFonts w:ascii="微软雅黑" w:hAnsi="微软雅黑" w:eastAsia="微软雅黑"/>
          <w:bCs/>
          <w:sz w:val="20"/>
          <w:szCs w:val="20"/>
        </w:rPr>
        <w:t>7</w:t>
      </w:r>
      <w:r>
        <w:rPr>
          <w:rFonts w:hint="eastAsia" w:ascii="微软雅黑" w:hAnsi="微软雅黑" w:eastAsia="微软雅黑"/>
          <w:bCs/>
          <w:sz w:val="20"/>
          <w:szCs w:val="20"/>
        </w:rPr>
        <w:t>日评估的新冠肺炎疫情中的供应链管理风险与应对</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案例复盘</w:t>
      </w:r>
      <w:r>
        <w:rPr>
          <w:rFonts w:ascii="微软雅黑" w:hAnsi="微软雅黑" w:eastAsia="微软雅黑"/>
          <w:bCs/>
          <w:sz w:val="20"/>
          <w:szCs w:val="20"/>
        </w:rPr>
        <w:t>:</w:t>
      </w:r>
      <w:r>
        <w:rPr>
          <w:rFonts w:hint="eastAsia" w:ascii="微软雅黑" w:hAnsi="微软雅黑" w:eastAsia="微软雅黑"/>
          <w:bCs/>
          <w:sz w:val="20"/>
          <w:szCs w:val="20"/>
        </w:rPr>
        <w:t>芯片危机之此消彼长</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课程练习</w:t>
      </w:r>
    </w:p>
    <w:p>
      <w:pPr>
        <w:numPr>
          <w:ilvl w:val="0"/>
          <w:numId w:val="2"/>
        </w:numPr>
        <w:spacing w:line="400" w:lineRule="exact"/>
        <w:ind w:firstLine="0"/>
        <w:jc w:val="left"/>
        <w:rPr>
          <w:rFonts w:ascii="微软雅黑" w:hAnsi="微软雅黑" w:eastAsia="微软雅黑"/>
          <w:b/>
          <w:bCs/>
          <w:sz w:val="20"/>
          <w:szCs w:val="20"/>
        </w:rPr>
      </w:pPr>
      <w:r>
        <w:rPr>
          <w:rFonts w:hint="eastAsia" w:ascii="微软雅黑" w:hAnsi="微软雅黑" w:eastAsia="微软雅黑"/>
          <w:b/>
          <w:bCs/>
          <w:sz w:val="20"/>
          <w:szCs w:val="20"/>
        </w:rPr>
        <w:t>缓解供应链风险的风险管理战略</w:t>
      </w:r>
    </w:p>
    <w:p>
      <w:pPr>
        <w:numPr>
          <w:ilvl w:val="0"/>
          <w:numId w:val="6"/>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风险一体化</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风险分担</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一体化的方法</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识别，分析和应对</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小批量认证阶段怎么做？</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供应风险管理一体化的问题与级别</w:t>
      </w:r>
    </w:p>
    <w:p>
      <w:pPr>
        <w:numPr>
          <w:ilvl w:val="0"/>
          <w:numId w:val="6"/>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供应链安全的可持续性</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设计高适应性的供应链</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高适应性供应链设计原则</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高适应性供应链的物理特点</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内在关系</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风险补偿</w:t>
      </w:r>
    </w:p>
    <w:p>
      <w:pPr>
        <w:numPr>
          <w:ilvl w:val="0"/>
          <w:numId w:val="6"/>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业务持续计划与灾难恢复计划</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应急和危机管理</w:t>
      </w:r>
    </w:p>
    <w:p>
      <w:pPr>
        <w:numPr>
          <w:ilvl w:val="0"/>
          <w:numId w:val="1"/>
        </w:numPr>
        <w:spacing w:line="400" w:lineRule="exact"/>
        <w:ind w:firstLine="0"/>
        <w:jc w:val="left"/>
        <w:rPr>
          <w:rFonts w:ascii="微软雅黑" w:hAnsi="微软雅黑" w:eastAsia="微软雅黑"/>
          <w:sz w:val="20"/>
          <w:szCs w:val="20"/>
        </w:rPr>
      </w:pPr>
      <w:r>
        <w:rPr>
          <w:rFonts w:hint="eastAsia" w:ascii="微软雅黑" w:hAnsi="微软雅黑" w:eastAsia="微软雅黑"/>
          <w:sz w:val="20"/>
          <w:szCs w:val="20"/>
        </w:rPr>
        <w:t>业务持续管理</w:t>
      </w:r>
    </w:p>
    <w:p>
      <w:pPr>
        <w:numPr>
          <w:ilvl w:val="0"/>
          <w:numId w:val="6"/>
        </w:numPr>
        <w:spacing w:line="400" w:lineRule="exact"/>
        <w:jc w:val="left"/>
        <w:rPr>
          <w:rFonts w:ascii="微软雅黑" w:hAnsi="微软雅黑" w:eastAsia="微软雅黑"/>
          <w:sz w:val="20"/>
          <w:szCs w:val="20"/>
        </w:rPr>
      </w:pPr>
      <w:r>
        <w:rPr>
          <w:rFonts w:hint="eastAsia" w:ascii="微软雅黑" w:hAnsi="微软雅黑" w:eastAsia="微软雅黑"/>
          <w:sz w:val="20"/>
          <w:szCs w:val="20"/>
        </w:rPr>
        <w:t>案例复盘:2020新冠肺炎疫情冲击下的供应风险应对方案</w:t>
      </w:r>
    </w:p>
    <w:p>
      <w:pPr>
        <w:spacing w:line="400" w:lineRule="exact"/>
        <w:ind w:left="420" w:leftChars="200" w:right="741" w:rightChars="353"/>
        <w:rPr>
          <w:rFonts w:ascii="微软雅黑" w:hAnsi="微软雅黑" w:eastAsia="微软雅黑"/>
          <w:bCs/>
          <w:sz w:val="20"/>
          <w:szCs w:val="20"/>
        </w:rPr>
      </w:pPr>
      <w:r>
        <w:rPr>
          <w:rFonts w:hint="eastAsia" w:ascii="微软雅黑" w:hAnsi="微软雅黑" w:eastAsia="微软雅黑"/>
          <w:bCs/>
          <w:sz w:val="20"/>
          <w:szCs w:val="20"/>
        </w:rPr>
        <w:t>课程练习</w:t>
      </w:r>
    </w:p>
    <w:p>
      <w:pPr>
        <w:spacing w:before="156" w:beforeLines="50" w:line="400" w:lineRule="exact"/>
        <w:jc w:val="left"/>
        <w:rPr>
          <w:rFonts w:ascii="微软雅黑" w:hAnsi="微软雅黑" w:eastAsia="微软雅黑"/>
          <w:b/>
          <w:bCs/>
          <w:color w:val="0070C0"/>
          <w:sz w:val="20"/>
          <w:szCs w:val="20"/>
        </w:rPr>
      </w:pPr>
      <w:r>
        <w:rPr>
          <w:rFonts w:ascii="微软雅黑" w:hAnsi="微软雅黑" w:eastAsia="微软雅黑"/>
          <w:b/>
          <w:bCs/>
          <w:color w:val="0070C0"/>
          <w:sz w:val="20"/>
          <w:szCs w:val="20"/>
        </w:rPr>
        <w:t>讲师介绍：</w:t>
      </w:r>
      <w:r>
        <w:rPr>
          <w:rFonts w:hint="eastAsia" w:ascii="微软雅黑" w:hAnsi="微软雅黑" w:eastAsia="微软雅黑"/>
          <w:b/>
          <w:bCs/>
          <w:color w:val="0070C0"/>
          <w:sz w:val="20"/>
          <w:szCs w:val="20"/>
        </w:rPr>
        <w:t>沙</w:t>
      </w:r>
      <w:r>
        <w:rPr>
          <w:rFonts w:ascii="微软雅黑" w:hAnsi="微软雅黑" w:eastAsia="微软雅黑"/>
          <w:b/>
          <w:bCs/>
          <w:color w:val="0070C0"/>
          <w:sz w:val="20"/>
          <w:szCs w:val="20"/>
        </w:rPr>
        <w:t>老师</w:t>
      </w:r>
    </w:p>
    <w:p>
      <w:pPr>
        <w:numPr>
          <w:ilvl w:val="0"/>
          <w:numId w:val="1"/>
        </w:numPr>
        <w:spacing w:line="400" w:lineRule="exact"/>
        <w:rPr>
          <w:rFonts w:ascii="微软雅黑" w:hAnsi="微软雅黑" w:eastAsia="微软雅黑"/>
          <w:sz w:val="20"/>
          <w:szCs w:val="20"/>
        </w:rPr>
      </w:pPr>
      <w:bookmarkStart w:id="43" w:name="_GoBack"/>
      <w:bookmarkEnd w:id="43"/>
      <w:r>
        <w:rPr>
          <w:rFonts w:hint="eastAsia" w:ascii="微软雅黑" w:hAnsi="微软雅黑" w:eastAsia="微软雅黑"/>
          <w:sz w:val="20"/>
          <w:szCs w:val="20"/>
        </w:rPr>
        <w:t>工商管理硕士</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供应价值管理推动者</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国际教练联合会（ICF）认证高管教练</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 xml:space="preserve">TOC瓶颈突破理论全系认证讲师 </w:t>
      </w:r>
    </w:p>
    <w:p>
      <w:pPr>
        <w:numPr>
          <w:ilvl w:val="0"/>
          <w:numId w:val="1"/>
        </w:numPr>
        <w:spacing w:line="400" w:lineRule="exact"/>
        <w:rPr>
          <w:rFonts w:ascii="微软雅黑" w:hAnsi="微软雅黑" w:eastAsia="微软雅黑"/>
          <w:sz w:val="20"/>
          <w:szCs w:val="20"/>
        </w:rPr>
      </w:pPr>
      <w:bookmarkStart w:id="0" w:name="OLE_LINK6"/>
      <w:bookmarkStart w:id="1" w:name="OLE_LINK5"/>
      <w:r>
        <w:rPr>
          <w:rFonts w:hint="eastAsia" w:ascii="微软雅黑" w:hAnsi="微软雅黑" w:eastAsia="微软雅黑"/>
          <w:sz w:val="20"/>
          <w:szCs w:val="20"/>
        </w:rPr>
        <w:t>国家认证二级心理咨询师</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 xml:space="preserve">国际EMBA供应链管理课程讲师 </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2019-2020年度中车集团采购年度辅导</w:t>
      </w:r>
    </w:p>
    <w:p>
      <w:pPr>
        <w:numPr>
          <w:ilvl w:val="0"/>
          <w:numId w:val="1"/>
        </w:numPr>
        <w:spacing w:line="400" w:lineRule="exact"/>
        <w:rPr>
          <w:rFonts w:ascii="微软雅黑" w:hAnsi="微软雅黑" w:eastAsia="微软雅黑"/>
          <w:sz w:val="20"/>
          <w:szCs w:val="20"/>
        </w:rPr>
      </w:pPr>
      <w:r>
        <w:rPr>
          <w:rFonts w:hint="eastAsia" w:ascii="微软雅黑" w:hAnsi="微软雅黑" w:eastAsia="微软雅黑"/>
          <w:sz w:val="20"/>
          <w:szCs w:val="20"/>
        </w:rPr>
        <w:t>2019年度微软高管教练项目满分教练</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经验概述：</w:t>
      </w:r>
    </w:p>
    <w:p>
      <w:pPr>
        <w:spacing w:line="400" w:lineRule="exact"/>
        <w:ind w:firstLine="400" w:firstLineChars="200"/>
        <w:rPr>
          <w:rFonts w:ascii="微软雅黑" w:hAnsi="微软雅黑" w:eastAsia="微软雅黑"/>
          <w:color w:val="000000"/>
          <w:sz w:val="20"/>
          <w:szCs w:val="20"/>
        </w:rPr>
      </w:pPr>
      <w:bookmarkStart w:id="2" w:name="OLE_LINK13"/>
      <w:bookmarkStart w:id="3" w:name="OLE_LINK15"/>
      <w:bookmarkStart w:id="4" w:name="OLE_LINK14"/>
      <w:r>
        <w:rPr>
          <w:rFonts w:hint="eastAsia" w:ascii="微软雅黑" w:hAnsi="微软雅黑" w:eastAsia="微软雅黑"/>
          <w:color w:val="000000"/>
          <w:sz w:val="20"/>
          <w:szCs w:val="20"/>
        </w:rPr>
        <w:t>20年500强欧美中国大型企业中国，亚洲，全球供应链管理（采购，物流，质量，销售）、运营管理、项目管理的丰富经验，专注于采购与供应商、供应链管理、成本管理，深悉销售、制造、研发、采购、物流及质量系统的团队工作；拥有大量基于供应商或者采购二维视角，以及运营管理视角的与全球化大企业合作（大众，奥迪，索尼，松下，东芝，LG，诺基亚，富士康，Dell，苹果， Intel等）的项目案例；丰富的多团队管理经验、成本改善策略及执行经验、优秀的理念和能力；曾经为外企在中国建立过5家工厂与公司，并负责过多个在业界富有盛名的标杆项目。</w:t>
      </w:r>
      <w:bookmarkEnd w:id="2"/>
      <w:bookmarkEnd w:id="3"/>
      <w:bookmarkEnd w:id="4"/>
    </w:p>
    <w:p>
      <w:pPr>
        <w:spacing w:line="400" w:lineRule="exact"/>
        <w:ind w:firstLine="400" w:firstLineChars="200"/>
        <w:rPr>
          <w:rFonts w:ascii="微软雅黑" w:hAnsi="微软雅黑" w:eastAsia="微软雅黑"/>
          <w:color w:val="000000"/>
          <w:sz w:val="20"/>
          <w:szCs w:val="20"/>
        </w:rPr>
      </w:pPr>
      <w:bookmarkStart w:id="5" w:name="OLE_LINK17"/>
      <w:bookmarkStart w:id="6" w:name="OLE_LINK16"/>
      <w:r>
        <w:rPr>
          <w:rFonts w:hint="eastAsia" w:ascii="微软雅黑" w:hAnsi="微软雅黑" w:eastAsia="微软雅黑"/>
          <w:color w:val="000000"/>
          <w:sz w:val="20"/>
          <w:szCs w:val="20"/>
        </w:rPr>
        <w:t>曾任职于</w:t>
      </w:r>
      <w:bookmarkEnd w:id="5"/>
      <w:bookmarkEnd w:id="6"/>
      <w:r>
        <w:rPr>
          <w:rFonts w:hint="eastAsia" w:ascii="微软雅黑" w:hAnsi="微软雅黑" w:eastAsia="微软雅黑"/>
          <w:color w:val="000000"/>
          <w:sz w:val="20"/>
          <w:szCs w:val="20"/>
        </w:rPr>
        <w:t>：</w:t>
      </w:r>
    </w:p>
    <w:p>
      <w:pPr>
        <w:spacing w:line="400" w:lineRule="exact"/>
        <w:ind w:firstLine="400" w:firstLineChars="200"/>
        <w:rPr>
          <w:rFonts w:ascii="微软雅黑" w:hAnsi="微软雅黑" w:eastAsia="微软雅黑"/>
          <w:color w:val="000000"/>
          <w:sz w:val="20"/>
          <w:szCs w:val="20"/>
        </w:rPr>
      </w:pPr>
      <w:bookmarkStart w:id="7" w:name="OLE_LINK18"/>
      <w:bookmarkStart w:id="8" w:name="OLE_LINK19"/>
      <w:r>
        <w:rPr>
          <w:rFonts w:hint="eastAsia" w:ascii="微软雅黑" w:hAnsi="微软雅黑" w:eastAsia="微软雅黑"/>
          <w:color w:val="000000"/>
          <w:sz w:val="20"/>
          <w:szCs w:val="20"/>
        </w:rPr>
        <w:t>空调与重工行业：美资/中资</w:t>
      </w:r>
      <w:bookmarkEnd w:id="7"/>
      <w:bookmarkEnd w:id="8"/>
      <w:r>
        <w:rPr>
          <w:rFonts w:hint="eastAsia" w:ascii="微软雅黑" w:hAnsi="微软雅黑" w:eastAsia="微软雅黑"/>
          <w:color w:val="000000"/>
          <w:sz w:val="20"/>
          <w:szCs w:val="20"/>
        </w:rPr>
        <w:tab/>
      </w:r>
    </w:p>
    <w:p>
      <w:pPr>
        <w:spacing w:line="400" w:lineRule="exact"/>
        <w:ind w:firstLine="400" w:firstLineChars="200"/>
        <w:rPr>
          <w:rFonts w:ascii="微软雅黑" w:hAnsi="微软雅黑" w:eastAsia="微软雅黑"/>
          <w:color w:val="000000"/>
          <w:sz w:val="20"/>
          <w:szCs w:val="20"/>
        </w:rPr>
      </w:pPr>
      <w:bookmarkStart w:id="9" w:name="OLE_LINK20"/>
      <w:r>
        <w:rPr>
          <w:rFonts w:hint="eastAsia" w:ascii="微软雅黑" w:hAnsi="微软雅黑" w:eastAsia="微软雅黑"/>
          <w:color w:val="000000"/>
          <w:sz w:val="20"/>
          <w:szCs w:val="20"/>
        </w:rPr>
        <w:t>汽车与工业品物流行业：德资</w:t>
      </w:r>
      <w:bookmarkEnd w:id="9"/>
      <w:r>
        <w:rPr>
          <w:rFonts w:hint="eastAsia" w:ascii="微软雅黑" w:hAnsi="微软雅黑" w:eastAsia="微软雅黑"/>
          <w:color w:val="000000"/>
          <w:sz w:val="20"/>
          <w:szCs w:val="20"/>
        </w:rPr>
        <w:t xml:space="preserve">  </w:t>
      </w:r>
    </w:p>
    <w:p>
      <w:pPr>
        <w:spacing w:line="400" w:lineRule="exact"/>
        <w:ind w:firstLine="400" w:firstLineChars="200"/>
        <w:rPr>
          <w:rFonts w:ascii="微软雅黑" w:hAnsi="微软雅黑" w:eastAsia="微软雅黑"/>
          <w:color w:val="000000"/>
          <w:sz w:val="20"/>
          <w:szCs w:val="20"/>
        </w:rPr>
      </w:pPr>
      <w:bookmarkStart w:id="10" w:name="OLE_LINK21"/>
      <w:bookmarkStart w:id="11" w:name="OLE_LINK22"/>
      <w:r>
        <w:rPr>
          <w:rFonts w:hint="eastAsia" w:ascii="微软雅黑" w:hAnsi="微软雅黑" w:eastAsia="微软雅黑"/>
          <w:color w:val="000000"/>
          <w:sz w:val="20"/>
          <w:szCs w:val="20"/>
        </w:rPr>
        <w:t>光电与通讯行业：美资</w:t>
      </w:r>
      <w:bookmarkEnd w:id="10"/>
      <w:bookmarkEnd w:id="11"/>
      <w:r>
        <w:rPr>
          <w:rFonts w:hint="eastAsia" w:ascii="微软雅黑" w:hAnsi="微软雅黑" w:eastAsia="微软雅黑"/>
          <w:color w:val="000000"/>
          <w:sz w:val="20"/>
          <w:szCs w:val="20"/>
        </w:rPr>
        <w:t xml:space="preserve">  </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 xml:space="preserve">IT与3C行业：英国/加拿大 </w:t>
      </w:r>
    </w:p>
    <w:p>
      <w:pPr>
        <w:spacing w:line="400" w:lineRule="exact"/>
        <w:ind w:firstLine="400" w:firstLineChars="200"/>
        <w:rPr>
          <w:rFonts w:ascii="微软雅黑" w:hAnsi="微软雅黑" w:eastAsia="微软雅黑"/>
          <w:color w:val="000000"/>
          <w:sz w:val="20"/>
          <w:szCs w:val="20"/>
        </w:rPr>
      </w:pPr>
      <w:bookmarkStart w:id="12" w:name="OLE_LINK23"/>
      <w:r>
        <w:rPr>
          <w:rFonts w:hint="eastAsia" w:ascii="微软雅黑" w:hAnsi="微软雅黑" w:eastAsia="微软雅黑"/>
          <w:color w:val="000000"/>
          <w:sz w:val="20"/>
          <w:szCs w:val="20"/>
        </w:rPr>
        <w:t>历任物料经理，亚太区采购经理，资深采购与质量经理，采购总监，亚洲运营经理，总裁助理，VP等高管职务</w:t>
      </w:r>
      <w:bookmarkEnd w:id="12"/>
      <w:r>
        <w:rPr>
          <w:rFonts w:hint="eastAsia" w:ascii="微软雅黑" w:hAnsi="微软雅黑" w:eastAsia="微软雅黑"/>
          <w:color w:val="000000"/>
          <w:sz w:val="20"/>
          <w:szCs w:val="20"/>
        </w:rPr>
        <w:t>。</w:t>
      </w:r>
    </w:p>
    <w:p>
      <w:pPr>
        <w:spacing w:line="400" w:lineRule="exact"/>
        <w:ind w:firstLine="400" w:firstLineChars="200"/>
        <w:rPr>
          <w:rFonts w:ascii="微软雅黑" w:hAnsi="微软雅黑" w:eastAsia="微软雅黑"/>
          <w:color w:val="000000"/>
          <w:sz w:val="20"/>
          <w:szCs w:val="20"/>
        </w:rPr>
      </w:pPr>
      <w:bookmarkStart w:id="13" w:name="OLE_LINK24"/>
      <w:bookmarkStart w:id="14" w:name="OLE_LINK25"/>
      <w:r>
        <w:rPr>
          <w:rFonts w:hint="eastAsia" w:ascii="微软雅黑" w:hAnsi="微软雅黑" w:eastAsia="微软雅黑"/>
          <w:color w:val="000000"/>
          <w:sz w:val="20"/>
          <w:szCs w:val="20"/>
        </w:rPr>
        <w:t>擅长于供应商开发，供应管理，供应商管理，成本管理，品类管理，物流与仓储管理，运营管理以及项目管理，拥有丰富的理论知识以及丰富的实践经验</w:t>
      </w:r>
      <w:bookmarkEnd w:id="13"/>
      <w:bookmarkEnd w:id="14"/>
      <w:r>
        <w:rPr>
          <w:rFonts w:hint="eastAsia" w:ascii="微软雅黑" w:hAnsi="微软雅黑" w:eastAsia="微软雅黑"/>
          <w:color w:val="000000"/>
          <w:sz w:val="20"/>
          <w:szCs w:val="20"/>
        </w:rPr>
        <w:t>。</w:t>
      </w:r>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授课风格：</w:t>
      </w:r>
    </w:p>
    <w:p>
      <w:pPr>
        <w:numPr>
          <w:ilvl w:val="0"/>
          <w:numId w:val="7"/>
        </w:numPr>
        <w:spacing w:line="400" w:lineRule="exact"/>
        <w:rPr>
          <w:rFonts w:ascii="微软雅黑" w:hAnsi="微软雅黑" w:eastAsia="微软雅黑"/>
          <w:color w:val="000000"/>
          <w:sz w:val="20"/>
          <w:szCs w:val="20"/>
        </w:rPr>
      </w:pPr>
      <w:bookmarkStart w:id="15" w:name="OLE_LINK26"/>
      <w:bookmarkStart w:id="16" w:name="OLE_LINK27"/>
      <w:r>
        <w:rPr>
          <w:rFonts w:hint="eastAsia" w:ascii="微软雅黑" w:hAnsi="微软雅黑" w:eastAsia="微软雅黑"/>
          <w:color w:val="000000"/>
          <w:sz w:val="20"/>
          <w:szCs w:val="20"/>
        </w:rPr>
        <w:t>幽默风趣|案例丰富|实战演练|严谨系统|谦逊亲和</w:t>
      </w:r>
      <w:bookmarkEnd w:id="15"/>
      <w:bookmarkEnd w:id="16"/>
    </w:p>
    <w:p>
      <w:pPr>
        <w:numPr>
          <w:ilvl w:val="0"/>
          <w:numId w:val="7"/>
        </w:numPr>
        <w:spacing w:line="400" w:lineRule="exact"/>
        <w:rPr>
          <w:rFonts w:ascii="微软雅黑" w:hAnsi="微软雅黑" w:eastAsia="微软雅黑"/>
          <w:color w:val="000000"/>
          <w:sz w:val="20"/>
          <w:szCs w:val="20"/>
        </w:rPr>
      </w:pPr>
      <w:bookmarkStart w:id="17" w:name="OLE_LINK28"/>
      <w:bookmarkStart w:id="18" w:name="OLE_LINK29"/>
      <w:r>
        <w:rPr>
          <w:rFonts w:hint="eastAsia" w:ascii="微软雅黑" w:hAnsi="微软雅黑" w:eastAsia="微软雅黑"/>
          <w:color w:val="000000"/>
          <w:sz w:val="20"/>
          <w:szCs w:val="20"/>
        </w:rPr>
        <w:t>20多年实践经验，自身积累的案例结合系统性的理论，让课程全程细致通透无难点无疑点</w:t>
      </w:r>
      <w:bookmarkEnd w:id="17"/>
      <w:bookmarkEnd w:id="18"/>
    </w:p>
    <w:p>
      <w:pPr>
        <w:numPr>
          <w:ilvl w:val="0"/>
          <w:numId w:val="7"/>
        </w:numPr>
        <w:spacing w:line="400" w:lineRule="exact"/>
        <w:rPr>
          <w:rFonts w:ascii="微软雅黑" w:hAnsi="微软雅黑" w:eastAsia="微软雅黑"/>
          <w:color w:val="000000"/>
          <w:sz w:val="20"/>
          <w:szCs w:val="20"/>
        </w:rPr>
      </w:pPr>
      <w:bookmarkStart w:id="19" w:name="OLE_LINK33"/>
      <w:bookmarkStart w:id="20" w:name="OLE_LINK32"/>
      <w:r>
        <w:rPr>
          <w:rFonts w:hint="eastAsia" w:ascii="微软雅黑" w:hAnsi="微软雅黑" w:eastAsia="微软雅黑"/>
          <w:color w:val="000000"/>
          <w:sz w:val="20"/>
          <w:szCs w:val="20"/>
        </w:rPr>
        <w:t>从“道”与“法”着手，穿透“术”与“器”，让学员能够即学即用，既懂原理，又懂实操</w:t>
      </w:r>
      <w:bookmarkEnd w:id="19"/>
      <w:bookmarkEnd w:id="20"/>
    </w:p>
    <w:p>
      <w:pPr>
        <w:spacing w:before="156" w:beforeLines="50" w:line="400" w:lineRule="exact"/>
        <w:jc w:val="left"/>
        <w:rPr>
          <w:rFonts w:ascii="微软雅黑" w:hAnsi="微软雅黑" w:eastAsia="微软雅黑"/>
          <w:b/>
          <w:bCs/>
          <w:color w:val="0070C0"/>
          <w:sz w:val="20"/>
          <w:szCs w:val="20"/>
        </w:rPr>
      </w:pPr>
      <w:r>
        <w:rPr>
          <w:rFonts w:hint="eastAsia" w:ascii="微软雅黑" w:hAnsi="微软雅黑" w:eastAsia="微软雅黑"/>
          <w:b/>
          <w:bCs/>
          <w:color w:val="0070C0"/>
          <w:sz w:val="20"/>
          <w:szCs w:val="20"/>
        </w:rPr>
        <w:t>服务过的部分客户公司：</w:t>
      </w:r>
    </w:p>
    <w:p>
      <w:pPr>
        <w:spacing w:line="400" w:lineRule="exact"/>
        <w:ind w:firstLine="400" w:firstLineChars="200"/>
        <w:rPr>
          <w:rFonts w:ascii="微软雅黑" w:hAnsi="微软雅黑" w:eastAsia="微软雅黑"/>
          <w:color w:val="000000"/>
          <w:sz w:val="20"/>
          <w:szCs w:val="20"/>
        </w:rPr>
      </w:pPr>
      <w:bookmarkStart w:id="21" w:name="OLE_LINK40"/>
      <w:bookmarkStart w:id="22" w:name="OLE_LINK41"/>
      <w:r>
        <w:rPr>
          <w:rFonts w:hint="eastAsia" w:ascii="微软雅黑" w:hAnsi="微软雅黑" w:eastAsia="微软雅黑"/>
          <w:color w:val="000000"/>
          <w:sz w:val="20"/>
          <w:szCs w:val="20"/>
        </w:rPr>
        <w:t>行业覆盖：高铁，汽车，航空，重工，新能源，光电，医疗，机械制造，手机通讯，半导体，化工，快消品，服装，设备制造，新材料，仪器仪表，检测，物流，供应链管理等行业</w:t>
      </w:r>
      <w:bookmarkEnd w:id="21"/>
      <w:bookmarkEnd w:id="22"/>
      <w:r>
        <w:rPr>
          <w:rFonts w:hint="eastAsia" w:ascii="微软雅黑" w:hAnsi="微软雅黑" w:eastAsia="微软雅黑"/>
          <w:color w:val="000000"/>
          <w:sz w:val="20"/>
          <w:szCs w:val="20"/>
        </w:rPr>
        <w:t>；</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服务客户：</w:t>
      </w:r>
      <w:bookmarkStart w:id="23" w:name="OLE_LINK43"/>
      <w:bookmarkStart w:id="24" w:name="OLE_LINK42"/>
      <w:bookmarkStart w:id="25" w:name="OLE_LINK44"/>
      <w:r>
        <w:rPr>
          <w:rFonts w:hint="eastAsia" w:ascii="微软雅黑" w:hAnsi="微软雅黑" w:eastAsia="微软雅黑"/>
          <w:color w:val="000000"/>
          <w:sz w:val="20"/>
          <w:szCs w:val="20"/>
        </w:rPr>
        <w:t>大型央企，国企，外企，上市公司和民营企业</w:t>
      </w:r>
    </w:p>
    <w:p>
      <w:pPr>
        <w:spacing w:line="400" w:lineRule="exact"/>
        <w:ind w:firstLine="400" w:firstLineChars="200"/>
        <w:rPr>
          <w:rFonts w:ascii="微软雅黑" w:hAnsi="微软雅黑" w:eastAsia="微软雅黑"/>
          <w:color w:val="000000"/>
          <w:sz w:val="20"/>
          <w:szCs w:val="20"/>
        </w:rPr>
      </w:pPr>
      <w:r>
        <w:rPr>
          <w:rFonts w:hint="eastAsia" w:ascii="微软雅黑" w:hAnsi="微软雅黑" w:eastAsia="微软雅黑"/>
          <w:color w:val="000000"/>
          <w:sz w:val="20"/>
          <w:szCs w:val="20"/>
        </w:rPr>
        <w:t>微软，大众一汽发动机，中车时代电器，中车时代电动汽车，威孚股份，</w:t>
      </w:r>
      <w:bookmarkStart w:id="26" w:name="OLE_LINK30"/>
      <w:bookmarkStart w:id="27" w:name="OLE_LINK34"/>
      <w:bookmarkStart w:id="28" w:name="OLE_LINK31"/>
      <w:r>
        <w:rPr>
          <w:rFonts w:hint="eastAsia" w:ascii="微软雅黑" w:hAnsi="微软雅黑" w:eastAsia="微软雅黑"/>
          <w:color w:val="000000"/>
          <w:sz w:val="20"/>
          <w:szCs w:val="20"/>
        </w:rPr>
        <w:t>烽火科技</w:t>
      </w:r>
      <w:bookmarkEnd w:id="26"/>
      <w:bookmarkEnd w:id="27"/>
      <w:bookmarkEnd w:id="28"/>
      <w:r>
        <w:rPr>
          <w:rFonts w:hint="eastAsia" w:ascii="微软雅黑" w:hAnsi="微软雅黑" w:eastAsia="微软雅黑"/>
          <w:color w:val="000000"/>
          <w:sz w:val="20"/>
          <w:szCs w:val="20"/>
        </w:rPr>
        <w:t>，先导股份，三星电子，艾默生流体控制，科达股份，蒲城化工，亨通光电，晶湛半导体，汇川科技，诚立电子，迈思德超</w:t>
      </w:r>
    </w:p>
    <w:p>
      <w:pPr>
        <w:spacing w:line="400" w:lineRule="exact"/>
        <w:rPr>
          <w:rFonts w:ascii="微软雅黑" w:hAnsi="微软雅黑" w:eastAsia="微软雅黑"/>
          <w:b/>
          <w:shadow/>
          <w:color w:val="C00000"/>
          <w:sz w:val="20"/>
          <w:szCs w:val="20"/>
        </w:rPr>
      </w:pPr>
      <w:r>
        <w:rPr>
          <w:rFonts w:hint="eastAsia" w:ascii="微软雅黑" w:hAnsi="微软雅黑" w:eastAsia="微软雅黑"/>
          <w:color w:val="000000"/>
          <w:sz w:val="20"/>
          <w:szCs w:val="20"/>
        </w:rPr>
        <w:t>净科技，</w:t>
      </w:r>
      <w:bookmarkStart w:id="29" w:name="OLE_LINK46"/>
      <w:bookmarkStart w:id="30" w:name="OLE_LINK45"/>
      <w:r>
        <w:rPr>
          <w:rFonts w:hint="eastAsia" w:ascii="微软雅黑" w:hAnsi="微软雅黑" w:eastAsia="微软雅黑"/>
          <w:color w:val="000000"/>
          <w:sz w:val="20"/>
          <w:szCs w:val="20"/>
        </w:rPr>
        <w:t>博能科技</w:t>
      </w:r>
      <w:bookmarkEnd w:id="29"/>
      <w:bookmarkEnd w:id="30"/>
      <w:r>
        <w:rPr>
          <w:rFonts w:hint="eastAsia" w:ascii="微软雅黑" w:hAnsi="微软雅黑" w:eastAsia="微软雅黑"/>
          <w:color w:val="000000"/>
          <w:sz w:val="20"/>
          <w:szCs w:val="20"/>
        </w:rPr>
        <w:t>，</w:t>
      </w:r>
      <w:bookmarkStart w:id="31" w:name="OLE_LINK47"/>
      <w:bookmarkStart w:id="32" w:name="OLE_LINK48"/>
      <w:r>
        <w:rPr>
          <w:rFonts w:hint="eastAsia" w:ascii="微软雅黑" w:hAnsi="微软雅黑" w:eastAsia="微软雅黑"/>
          <w:color w:val="000000"/>
          <w:sz w:val="20"/>
          <w:szCs w:val="20"/>
        </w:rPr>
        <w:t>中创亨奎电子</w:t>
      </w:r>
      <w:bookmarkEnd w:id="31"/>
      <w:bookmarkEnd w:id="32"/>
      <w:r>
        <w:rPr>
          <w:rFonts w:hint="eastAsia" w:ascii="微软雅黑" w:hAnsi="微软雅黑" w:eastAsia="微软雅黑"/>
          <w:color w:val="000000"/>
          <w:sz w:val="20"/>
          <w:szCs w:val="20"/>
        </w:rPr>
        <w:t>，</w:t>
      </w:r>
      <w:bookmarkStart w:id="33" w:name="OLE_LINK51"/>
      <w:bookmarkStart w:id="34" w:name="OLE_LINK49"/>
      <w:bookmarkStart w:id="35" w:name="OLE_LINK50"/>
      <w:r>
        <w:rPr>
          <w:rFonts w:hint="eastAsia" w:ascii="微软雅黑" w:hAnsi="微软雅黑" w:eastAsia="微软雅黑"/>
          <w:color w:val="000000"/>
          <w:sz w:val="20"/>
          <w:szCs w:val="20"/>
        </w:rPr>
        <w:t>安峰环保</w:t>
      </w:r>
      <w:bookmarkEnd w:id="33"/>
      <w:bookmarkEnd w:id="34"/>
      <w:bookmarkEnd w:id="35"/>
      <w:r>
        <w:rPr>
          <w:rFonts w:hint="eastAsia" w:ascii="微软雅黑" w:hAnsi="微软雅黑" w:eastAsia="微软雅黑"/>
          <w:color w:val="000000"/>
          <w:sz w:val="20"/>
          <w:szCs w:val="20"/>
        </w:rPr>
        <w:t>，</w:t>
      </w:r>
      <w:bookmarkStart w:id="36" w:name="OLE_LINK52"/>
      <w:bookmarkStart w:id="37" w:name="OLE_LINK53"/>
      <w:r>
        <w:rPr>
          <w:rFonts w:hint="eastAsia" w:ascii="微软雅黑" w:hAnsi="微软雅黑" w:eastAsia="微软雅黑"/>
          <w:color w:val="000000"/>
          <w:sz w:val="20"/>
          <w:szCs w:val="20"/>
        </w:rPr>
        <w:t>精电电子</w:t>
      </w:r>
      <w:bookmarkEnd w:id="36"/>
      <w:bookmarkEnd w:id="37"/>
      <w:r>
        <w:rPr>
          <w:rFonts w:hint="eastAsia" w:ascii="微软雅黑" w:hAnsi="微软雅黑" w:eastAsia="微软雅黑"/>
          <w:color w:val="000000"/>
          <w:sz w:val="20"/>
          <w:szCs w:val="20"/>
        </w:rPr>
        <w:t>，天天供应链，立讯精密，</w:t>
      </w:r>
      <w:bookmarkStart w:id="38" w:name="OLE_LINK54"/>
      <w:bookmarkStart w:id="39" w:name="OLE_LINK55"/>
      <w:r>
        <w:rPr>
          <w:rFonts w:hint="eastAsia" w:ascii="微软雅黑" w:hAnsi="微软雅黑" w:eastAsia="微软雅黑"/>
          <w:color w:val="000000"/>
          <w:sz w:val="20"/>
          <w:szCs w:val="20"/>
        </w:rPr>
        <w:t>麦酷博信息科技</w:t>
      </w:r>
      <w:bookmarkEnd w:id="38"/>
      <w:bookmarkEnd w:id="39"/>
      <w:r>
        <w:rPr>
          <w:rFonts w:hint="eastAsia" w:ascii="微软雅黑" w:hAnsi="微软雅黑" w:eastAsia="微软雅黑"/>
          <w:color w:val="000000"/>
          <w:sz w:val="20"/>
          <w:szCs w:val="20"/>
        </w:rPr>
        <w:t>，特灵空调，豪力士电线，</w:t>
      </w:r>
      <w:bookmarkStart w:id="40" w:name="OLE_LINK57"/>
      <w:bookmarkStart w:id="41" w:name="OLE_LINK56"/>
      <w:r>
        <w:rPr>
          <w:rFonts w:hint="eastAsia" w:ascii="微软雅黑" w:hAnsi="微软雅黑" w:eastAsia="微软雅黑"/>
          <w:color w:val="000000"/>
          <w:sz w:val="20"/>
          <w:szCs w:val="20"/>
        </w:rPr>
        <w:t>万宝至马达</w:t>
      </w:r>
      <w:bookmarkEnd w:id="40"/>
      <w:bookmarkEnd w:id="41"/>
      <w:r>
        <w:rPr>
          <w:rFonts w:hint="eastAsia" w:ascii="微软雅黑" w:hAnsi="微软雅黑" w:eastAsia="微软雅黑"/>
          <w:color w:val="000000"/>
          <w:sz w:val="20"/>
          <w:szCs w:val="20"/>
        </w:rPr>
        <w:t>，迪卡侬体育，</w:t>
      </w:r>
      <w:bookmarkStart w:id="42" w:name="OLE_LINK58"/>
      <w:r>
        <w:rPr>
          <w:rFonts w:hint="eastAsia" w:ascii="微软雅黑" w:hAnsi="微软雅黑" w:eastAsia="微软雅黑"/>
          <w:color w:val="000000"/>
          <w:sz w:val="20"/>
          <w:szCs w:val="20"/>
        </w:rPr>
        <w:t>珂纳医疗</w:t>
      </w:r>
      <w:bookmarkEnd w:id="42"/>
      <w:r>
        <w:rPr>
          <w:rFonts w:hint="eastAsia" w:ascii="微软雅黑" w:hAnsi="微软雅黑" w:eastAsia="微软雅黑"/>
          <w:color w:val="000000"/>
          <w:sz w:val="20"/>
          <w:szCs w:val="20"/>
        </w:rPr>
        <w:t>，福伊特造纸</w:t>
      </w:r>
      <w:bookmarkEnd w:id="0"/>
      <w:bookmarkEnd w:id="1"/>
      <w:bookmarkEnd w:id="23"/>
      <w:bookmarkEnd w:id="24"/>
      <w:bookmarkEnd w:id="25"/>
      <w:r>
        <w:rPr>
          <w:rFonts w:hint="eastAsia" w:ascii="微软雅黑" w:hAnsi="微软雅黑" w:eastAsia="微软雅黑"/>
          <w:color w:val="000000"/>
          <w:sz w:val="20"/>
          <w:szCs w:val="20"/>
        </w:rPr>
        <w:t>等</w:t>
      </w:r>
    </w:p>
    <w:p>
      <w:pPr>
        <w:tabs>
          <w:tab w:val="left" w:pos="720"/>
        </w:tabs>
        <w:spacing w:line="480" w:lineRule="exact"/>
        <w:rPr>
          <w:rFonts w:eastAsia="微软雅黑"/>
          <w:szCs w:val="21"/>
        </w:rPr>
      </w:pPr>
    </w:p>
    <w:sectPr>
      <w:headerReference r:id="rId3" w:type="default"/>
      <w:pgSz w:w="11906" w:h="16838"/>
      <w:pgMar w:top="1535" w:right="1134" w:bottom="1134" w:left="1134"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72437"/>
    <w:multiLevelType w:val="singleLevel"/>
    <w:tmpl w:val="81272437"/>
    <w:lvl w:ilvl="0" w:tentative="0">
      <w:start w:val="1"/>
      <w:numFmt w:val="chineseCounting"/>
      <w:suff w:val="nothing"/>
      <w:lvlText w:val="%1、"/>
      <w:lvlJc w:val="left"/>
      <w:pPr>
        <w:ind w:left="0" w:firstLine="420"/>
      </w:pPr>
      <w:rPr>
        <w:rFonts w:hint="eastAsia"/>
      </w:rPr>
    </w:lvl>
  </w:abstractNum>
  <w:abstractNum w:abstractNumId="1">
    <w:nsid w:val="9BBAF760"/>
    <w:multiLevelType w:val="singleLevel"/>
    <w:tmpl w:val="9BBAF760"/>
    <w:lvl w:ilvl="0" w:tentative="0">
      <w:start w:val="1"/>
      <w:numFmt w:val="decimal"/>
      <w:lvlText w:val="%1."/>
      <w:lvlJc w:val="left"/>
      <w:pPr>
        <w:ind w:left="425" w:hanging="425"/>
      </w:pPr>
      <w:rPr>
        <w:rFonts w:hint="default"/>
      </w:rPr>
    </w:lvl>
  </w:abstractNum>
  <w:abstractNum w:abstractNumId="2">
    <w:nsid w:val="20946973"/>
    <w:multiLevelType w:val="singleLevel"/>
    <w:tmpl w:val="20946973"/>
    <w:lvl w:ilvl="0" w:tentative="0">
      <w:start w:val="1"/>
      <w:numFmt w:val="bullet"/>
      <w:lvlText w:val=""/>
      <w:lvlJc w:val="left"/>
      <w:pPr>
        <w:ind w:left="420" w:hanging="420"/>
      </w:pPr>
      <w:rPr>
        <w:rFonts w:hint="default" w:ascii="Wingdings" w:hAnsi="Wingdings"/>
      </w:rPr>
    </w:lvl>
  </w:abstractNum>
  <w:abstractNum w:abstractNumId="3">
    <w:nsid w:val="4E409357"/>
    <w:multiLevelType w:val="singleLevel"/>
    <w:tmpl w:val="4E409357"/>
    <w:lvl w:ilvl="0" w:tentative="0">
      <w:start w:val="1"/>
      <w:numFmt w:val="decimal"/>
      <w:lvlText w:val="%1."/>
      <w:lvlJc w:val="left"/>
      <w:pPr>
        <w:ind w:left="425" w:hanging="425"/>
      </w:pPr>
      <w:rPr>
        <w:rFonts w:hint="default"/>
      </w:rPr>
    </w:lvl>
  </w:abstractNum>
  <w:abstractNum w:abstractNumId="4">
    <w:nsid w:val="553E2B37"/>
    <w:multiLevelType w:val="singleLevel"/>
    <w:tmpl w:val="553E2B37"/>
    <w:lvl w:ilvl="0" w:tentative="0">
      <w:start w:val="1"/>
      <w:numFmt w:val="decimal"/>
      <w:lvlText w:val="%1."/>
      <w:lvlJc w:val="left"/>
      <w:pPr>
        <w:ind w:left="425" w:hanging="425"/>
      </w:pPr>
      <w:rPr>
        <w:rFonts w:hint="default"/>
      </w:rPr>
    </w:lvl>
  </w:abstractNum>
  <w:abstractNum w:abstractNumId="5">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EA94A9E"/>
    <w:multiLevelType w:val="singleLevel"/>
    <w:tmpl w:val="5EA94A9E"/>
    <w:lvl w:ilvl="0" w:tentative="0">
      <w:start w:val="1"/>
      <w:numFmt w:val="decimal"/>
      <w:lvlText w:val="%1."/>
      <w:lvlJc w:val="left"/>
      <w:pPr>
        <w:ind w:left="425" w:hanging="425"/>
      </w:pPr>
      <w:rPr>
        <w:rFont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GFiZTQ3MjZhNzE3NzZmYmMwYzhmNzQzOWI0Njg2M2EifQ=="/>
  </w:docVars>
  <w:rsids>
    <w:rsidRoot w:val="00802D61"/>
    <w:rsid w:val="0000111F"/>
    <w:rsid w:val="00004E4E"/>
    <w:rsid w:val="00005996"/>
    <w:rsid w:val="00016A09"/>
    <w:rsid w:val="000204E0"/>
    <w:rsid w:val="00021707"/>
    <w:rsid w:val="00021AB7"/>
    <w:rsid w:val="00026B8B"/>
    <w:rsid w:val="00031958"/>
    <w:rsid w:val="00034273"/>
    <w:rsid w:val="00034F7A"/>
    <w:rsid w:val="00035864"/>
    <w:rsid w:val="00037246"/>
    <w:rsid w:val="0004232B"/>
    <w:rsid w:val="000452EC"/>
    <w:rsid w:val="00046DF5"/>
    <w:rsid w:val="000535A4"/>
    <w:rsid w:val="00054F8D"/>
    <w:rsid w:val="000609D6"/>
    <w:rsid w:val="00062CFD"/>
    <w:rsid w:val="00063DA2"/>
    <w:rsid w:val="000652E1"/>
    <w:rsid w:val="00066983"/>
    <w:rsid w:val="00066DB0"/>
    <w:rsid w:val="00072F0E"/>
    <w:rsid w:val="000741AD"/>
    <w:rsid w:val="00080280"/>
    <w:rsid w:val="00080B29"/>
    <w:rsid w:val="00080D33"/>
    <w:rsid w:val="0008184D"/>
    <w:rsid w:val="000820FB"/>
    <w:rsid w:val="00083D86"/>
    <w:rsid w:val="00087B30"/>
    <w:rsid w:val="0009169B"/>
    <w:rsid w:val="00094BCA"/>
    <w:rsid w:val="000974EE"/>
    <w:rsid w:val="00097ABF"/>
    <w:rsid w:val="000A3851"/>
    <w:rsid w:val="000A3876"/>
    <w:rsid w:val="000C1B5A"/>
    <w:rsid w:val="000C1CE5"/>
    <w:rsid w:val="000C23BF"/>
    <w:rsid w:val="000C7CE4"/>
    <w:rsid w:val="000D370F"/>
    <w:rsid w:val="000D3E5D"/>
    <w:rsid w:val="000D5FC2"/>
    <w:rsid w:val="000E3673"/>
    <w:rsid w:val="000E657A"/>
    <w:rsid w:val="000E7A31"/>
    <w:rsid w:val="000F3CE5"/>
    <w:rsid w:val="000F48EC"/>
    <w:rsid w:val="000F5DE7"/>
    <w:rsid w:val="00111126"/>
    <w:rsid w:val="001162B9"/>
    <w:rsid w:val="001209D6"/>
    <w:rsid w:val="00122302"/>
    <w:rsid w:val="00133AC6"/>
    <w:rsid w:val="00151B51"/>
    <w:rsid w:val="00156CB9"/>
    <w:rsid w:val="001601A4"/>
    <w:rsid w:val="00175E07"/>
    <w:rsid w:val="00182D0D"/>
    <w:rsid w:val="00183856"/>
    <w:rsid w:val="00187A0D"/>
    <w:rsid w:val="00191FC3"/>
    <w:rsid w:val="00197773"/>
    <w:rsid w:val="001B4CF3"/>
    <w:rsid w:val="001C35AB"/>
    <w:rsid w:val="001C71C3"/>
    <w:rsid w:val="001C7201"/>
    <w:rsid w:val="001C7C94"/>
    <w:rsid w:val="001D1614"/>
    <w:rsid w:val="001D73B9"/>
    <w:rsid w:val="001E0140"/>
    <w:rsid w:val="001E3F4C"/>
    <w:rsid w:val="001E492A"/>
    <w:rsid w:val="001E4B71"/>
    <w:rsid w:val="001E534B"/>
    <w:rsid w:val="001F022D"/>
    <w:rsid w:val="001F2995"/>
    <w:rsid w:val="001F5411"/>
    <w:rsid w:val="001F5D06"/>
    <w:rsid w:val="00203283"/>
    <w:rsid w:val="00203E0A"/>
    <w:rsid w:val="00214833"/>
    <w:rsid w:val="002158C2"/>
    <w:rsid w:val="00217D6B"/>
    <w:rsid w:val="002219A6"/>
    <w:rsid w:val="00224B8F"/>
    <w:rsid w:val="002271D1"/>
    <w:rsid w:val="00231487"/>
    <w:rsid w:val="002418EC"/>
    <w:rsid w:val="002440BA"/>
    <w:rsid w:val="00250A30"/>
    <w:rsid w:val="00251341"/>
    <w:rsid w:val="00252C74"/>
    <w:rsid w:val="00275A73"/>
    <w:rsid w:val="002802BE"/>
    <w:rsid w:val="00282E47"/>
    <w:rsid w:val="0028431E"/>
    <w:rsid w:val="002868D8"/>
    <w:rsid w:val="002907C0"/>
    <w:rsid w:val="00292D3A"/>
    <w:rsid w:val="00293780"/>
    <w:rsid w:val="00294F25"/>
    <w:rsid w:val="00297AB6"/>
    <w:rsid w:val="00297B4C"/>
    <w:rsid w:val="002A5DFC"/>
    <w:rsid w:val="002C2642"/>
    <w:rsid w:val="002C36AB"/>
    <w:rsid w:val="002D0891"/>
    <w:rsid w:val="002D693C"/>
    <w:rsid w:val="002E2A69"/>
    <w:rsid w:val="002E5F74"/>
    <w:rsid w:val="002E63D5"/>
    <w:rsid w:val="00311240"/>
    <w:rsid w:val="00316644"/>
    <w:rsid w:val="0032463D"/>
    <w:rsid w:val="00327362"/>
    <w:rsid w:val="00327DE4"/>
    <w:rsid w:val="00327F0A"/>
    <w:rsid w:val="003319FF"/>
    <w:rsid w:val="003328A5"/>
    <w:rsid w:val="00335810"/>
    <w:rsid w:val="0033606C"/>
    <w:rsid w:val="00337259"/>
    <w:rsid w:val="00341C11"/>
    <w:rsid w:val="0034227A"/>
    <w:rsid w:val="003425AB"/>
    <w:rsid w:val="003439BD"/>
    <w:rsid w:val="0034462D"/>
    <w:rsid w:val="00344E65"/>
    <w:rsid w:val="0034531B"/>
    <w:rsid w:val="0034577B"/>
    <w:rsid w:val="00345F51"/>
    <w:rsid w:val="00345F9A"/>
    <w:rsid w:val="0034638E"/>
    <w:rsid w:val="003522FC"/>
    <w:rsid w:val="00360FC4"/>
    <w:rsid w:val="003627E6"/>
    <w:rsid w:val="00365240"/>
    <w:rsid w:val="00375D87"/>
    <w:rsid w:val="003769DC"/>
    <w:rsid w:val="003773D7"/>
    <w:rsid w:val="00385BE9"/>
    <w:rsid w:val="00396395"/>
    <w:rsid w:val="003974EA"/>
    <w:rsid w:val="003A3DAC"/>
    <w:rsid w:val="003A547B"/>
    <w:rsid w:val="003B224E"/>
    <w:rsid w:val="003B52D5"/>
    <w:rsid w:val="003B6D66"/>
    <w:rsid w:val="003C2AD6"/>
    <w:rsid w:val="003C5087"/>
    <w:rsid w:val="003D1CE6"/>
    <w:rsid w:val="003D52B7"/>
    <w:rsid w:val="003D794E"/>
    <w:rsid w:val="003E0272"/>
    <w:rsid w:val="003F09FD"/>
    <w:rsid w:val="003F4F0B"/>
    <w:rsid w:val="0040379E"/>
    <w:rsid w:val="00404B57"/>
    <w:rsid w:val="00406400"/>
    <w:rsid w:val="00410FDA"/>
    <w:rsid w:val="00420711"/>
    <w:rsid w:val="004252D3"/>
    <w:rsid w:val="00425A4A"/>
    <w:rsid w:val="004310DA"/>
    <w:rsid w:val="004411E7"/>
    <w:rsid w:val="00445F43"/>
    <w:rsid w:val="00446567"/>
    <w:rsid w:val="00452DCE"/>
    <w:rsid w:val="00453BC5"/>
    <w:rsid w:val="00455623"/>
    <w:rsid w:val="00455AAD"/>
    <w:rsid w:val="0046743F"/>
    <w:rsid w:val="004706A4"/>
    <w:rsid w:val="00472F36"/>
    <w:rsid w:val="00480C07"/>
    <w:rsid w:val="00483359"/>
    <w:rsid w:val="0048342F"/>
    <w:rsid w:val="00484F15"/>
    <w:rsid w:val="004A3EDD"/>
    <w:rsid w:val="004A69AE"/>
    <w:rsid w:val="004A6CC2"/>
    <w:rsid w:val="004A71F7"/>
    <w:rsid w:val="004A7D28"/>
    <w:rsid w:val="004C4489"/>
    <w:rsid w:val="004C4C30"/>
    <w:rsid w:val="004C70FC"/>
    <w:rsid w:val="004C7CDA"/>
    <w:rsid w:val="004D245F"/>
    <w:rsid w:val="004D2D28"/>
    <w:rsid w:val="004D320C"/>
    <w:rsid w:val="004D5763"/>
    <w:rsid w:val="004D6D00"/>
    <w:rsid w:val="004E1669"/>
    <w:rsid w:val="004E1EE4"/>
    <w:rsid w:val="004E55DE"/>
    <w:rsid w:val="004F17B7"/>
    <w:rsid w:val="004F1D98"/>
    <w:rsid w:val="004F7076"/>
    <w:rsid w:val="00502541"/>
    <w:rsid w:val="0051116B"/>
    <w:rsid w:val="005117AC"/>
    <w:rsid w:val="00512587"/>
    <w:rsid w:val="005128B5"/>
    <w:rsid w:val="00517D1E"/>
    <w:rsid w:val="00520EFF"/>
    <w:rsid w:val="00524AF2"/>
    <w:rsid w:val="00525AC7"/>
    <w:rsid w:val="0052749B"/>
    <w:rsid w:val="005317FD"/>
    <w:rsid w:val="00534563"/>
    <w:rsid w:val="00537B56"/>
    <w:rsid w:val="00542888"/>
    <w:rsid w:val="00542CE2"/>
    <w:rsid w:val="00543318"/>
    <w:rsid w:val="0054431E"/>
    <w:rsid w:val="005539C5"/>
    <w:rsid w:val="00560909"/>
    <w:rsid w:val="00563599"/>
    <w:rsid w:val="00570767"/>
    <w:rsid w:val="00570890"/>
    <w:rsid w:val="00572CB0"/>
    <w:rsid w:val="00590085"/>
    <w:rsid w:val="0059427A"/>
    <w:rsid w:val="005A1B16"/>
    <w:rsid w:val="005A2019"/>
    <w:rsid w:val="005A3889"/>
    <w:rsid w:val="005A7C13"/>
    <w:rsid w:val="005B5456"/>
    <w:rsid w:val="005C3719"/>
    <w:rsid w:val="005C70E4"/>
    <w:rsid w:val="005E6A66"/>
    <w:rsid w:val="005F17DE"/>
    <w:rsid w:val="005F3814"/>
    <w:rsid w:val="005F5310"/>
    <w:rsid w:val="005F6783"/>
    <w:rsid w:val="00600DF5"/>
    <w:rsid w:val="006040BE"/>
    <w:rsid w:val="006043B5"/>
    <w:rsid w:val="00605BC3"/>
    <w:rsid w:val="00614378"/>
    <w:rsid w:val="00616DF2"/>
    <w:rsid w:val="00616E7C"/>
    <w:rsid w:val="006173D0"/>
    <w:rsid w:val="006249BB"/>
    <w:rsid w:val="00625427"/>
    <w:rsid w:val="006261CD"/>
    <w:rsid w:val="006264D5"/>
    <w:rsid w:val="00631960"/>
    <w:rsid w:val="00634D0F"/>
    <w:rsid w:val="006422A5"/>
    <w:rsid w:val="0064668C"/>
    <w:rsid w:val="0065140F"/>
    <w:rsid w:val="006723BD"/>
    <w:rsid w:val="00672D9D"/>
    <w:rsid w:val="006778B2"/>
    <w:rsid w:val="00680260"/>
    <w:rsid w:val="00685285"/>
    <w:rsid w:val="00691AF4"/>
    <w:rsid w:val="00696E85"/>
    <w:rsid w:val="006A3D8B"/>
    <w:rsid w:val="006B15B9"/>
    <w:rsid w:val="006B1CA9"/>
    <w:rsid w:val="006B3E23"/>
    <w:rsid w:val="006B5B26"/>
    <w:rsid w:val="006C397E"/>
    <w:rsid w:val="006D3445"/>
    <w:rsid w:val="006D479C"/>
    <w:rsid w:val="006E2184"/>
    <w:rsid w:val="006E6297"/>
    <w:rsid w:val="00700177"/>
    <w:rsid w:val="00701AA1"/>
    <w:rsid w:val="007027B5"/>
    <w:rsid w:val="0071662B"/>
    <w:rsid w:val="00716F98"/>
    <w:rsid w:val="00722C8E"/>
    <w:rsid w:val="0074102E"/>
    <w:rsid w:val="007431CD"/>
    <w:rsid w:val="00747F9E"/>
    <w:rsid w:val="0075016B"/>
    <w:rsid w:val="007501B4"/>
    <w:rsid w:val="0075244C"/>
    <w:rsid w:val="007538A8"/>
    <w:rsid w:val="00753BA1"/>
    <w:rsid w:val="007548BD"/>
    <w:rsid w:val="00756669"/>
    <w:rsid w:val="0075764B"/>
    <w:rsid w:val="0076046D"/>
    <w:rsid w:val="00764111"/>
    <w:rsid w:val="00772B69"/>
    <w:rsid w:val="0078066C"/>
    <w:rsid w:val="00791A32"/>
    <w:rsid w:val="00795086"/>
    <w:rsid w:val="007A15FB"/>
    <w:rsid w:val="007A41AF"/>
    <w:rsid w:val="007B0483"/>
    <w:rsid w:val="007B0F87"/>
    <w:rsid w:val="007B1D97"/>
    <w:rsid w:val="007B23EE"/>
    <w:rsid w:val="007B4644"/>
    <w:rsid w:val="007B472F"/>
    <w:rsid w:val="007B67A6"/>
    <w:rsid w:val="007C529F"/>
    <w:rsid w:val="007C625B"/>
    <w:rsid w:val="007E1186"/>
    <w:rsid w:val="007E3581"/>
    <w:rsid w:val="007E4729"/>
    <w:rsid w:val="007F119B"/>
    <w:rsid w:val="007F31D0"/>
    <w:rsid w:val="007F68AF"/>
    <w:rsid w:val="00801785"/>
    <w:rsid w:val="00802D61"/>
    <w:rsid w:val="0081132D"/>
    <w:rsid w:val="008135A0"/>
    <w:rsid w:val="00813F04"/>
    <w:rsid w:val="00817A70"/>
    <w:rsid w:val="00822B36"/>
    <w:rsid w:val="008257B2"/>
    <w:rsid w:val="00826BD5"/>
    <w:rsid w:val="00837CF8"/>
    <w:rsid w:val="00842AE1"/>
    <w:rsid w:val="008443D0"/>
    <w:rsid w:val="00854083"/>
    <w:rsid w:val="00857A16"/>
    <w:rsid w:val="00857DC5"/>
    <w:rsid w:val="00861743"/>
    <w:rsid w:val="00873F59"/>
    <w:rsid w:val="00876486"/>
    <w:rsid w:val="00877BFE"/>
    <w:rsid w:val="00882E23"/>
    <w:rsid w:val="00884731"/>
    <w:rsid w:val="008853B5"/>
    <w:rsid w:val="00886110"/>
    <w:rsid w:val="008865F3"/>
    <w:rsid w:val="00887A73"/>
    <w:rsid w:val="008972A7"/>
    <w:rsid w:val="008A3440"/>
    <w:rsid w:val="008A5780"/>
    <w:rsid w:val="008A615F"/>
    <w:rsid w:val="008C0B19"/>
    <w:rsid w:val="008C12A4"/>
    <w:rsid w:val="008C1C4F"/>
    <w:rsid w:val="008C56D8"/>
    <w:rsid w:val="008D0D9E"/>
    <w:rsid w:val="008D45A4"/>
    <w:rsid w:val="008D5481"/>
    <w:rsid w:val="008D6EE9"/>
    <w:rsid w:val="008E04B5"/>
    <w:rsid w:val="008E0BD9"/>
    <w:rsid w:val="008E4E74"/>
    <w:rsid w:val="008E5B5B"/>
    <w:rsid w:val="008E5DCF"/>
    <w:rsid w:val="008E6833"/>
    <w:rsid w:val="008E6FE7"/>
    <w:rsid w:val="008F23C9"/>
    <w:rsid w:val="008F55A4"/>
    <w:rsid w:val="008F76BA"/>
    <w:rsid w:val="00902598"/>
    <w:rsid w:val="00903600"/>
    <w:rsid w:val="009050C9"/>
    <w:rsid w:val="00906E1F"/>
    <w:rsid w:val="00916408"/>
    <w:rsid w:val="00925951"/>
    <w:rsid w:val="009325E9"/>
    <w:rsid w:val="00937F96"/>
    <w:rsid w:val="009422E6"/>
    <w:rsid w:val="0094755E"/>
    <w:rsid w:val="00950771"/>
    <w:rsid w:val="00951C3E"/>
    <w:rsid w:val="00953666"/>
    <w:rsid w:val="009536AB"/>
    <w:rsid w:val="009650A2"/>
    <w:rsid w:val="0098199F"/>
    <w:rsid w:val="0098499F"/>
    <w:rsid w:val="00986126"/>
    <w:rsid w:val="00987765"/>
    <w:rsid w:val="00993678"/>
    <w:rsid w:val="00996E09"/>
    <w:rsid w:val="009A448D"/>
    <w:rsid w:val="009B0514"/>
    <w:rsid w:val="009B0B15"/>
    <w:rsid w:val="009B6001"/>
    <w:rsid w:val="009B620F"/>
    <w:rsid w:val="009B6828"/>
    <w:rsid w:val="009C0047"/>
    <w:rsid w:val="009C24C4"/>
    <w:rsid w:val="009C407D"/>
    <w:rsid w:val="009C436A"/>
    <w:rsid w:val="009C56E3"/>
    <w:rsid w:val="009D1885"/>
    <w:rsid w:val="009D27F5"/>
    <w:rsid w:val="009D2F9D"/>
    <w:rsid w:val="009E28ED"/>
    <w:rsid w:val="009F134D"/>
    <w:rsid w:val="009F2E38"/>
    <w:rsid w:val="009F4C1D"/>
    <w:rsid w:val="009F605A"/>
    <w:rsid w:val="009F64C6"/>
    <w:rsid w:val="00A06778"/>
    <w:rsid w:val="00A13833"/>
    <w:rsid w:val="00A15B09"/>
    <w:rsid w:val="00A20216"/>
    <w:rsid w:val="00A24E89"/>
    <w:rsid w:val="00A27268"/>
    <w:rsid w:val="00A3467C"/>
    <w:rsid w:val="00A35005"/>
    <w:rsid w:val="00A40D8C"/>
    <w:rsid w:val="00A43B7A"/>
    <w:rsid w:val="00A45408"/>
    <w:rsid w:val="00A50493"/>
    <w:rsid w:val="00A50C7C"/>
    <w:rsid w:val="00A50ED1"/>
    <w:rsid w:val="00A549B2"/>
    <w:rsid w:val="00A62E6C"/>
    <w:rsid w:val="00A70781"/>
    <w:rsid w:val="00A70A85"/>
    <w:rsid w:val="00A810B5"/>
    <w:rsid w:val="00A85269"/>
    <w:rsid w:val="00A92BED"/>
    <w:rsid w:val="00A936BA"/>
    <w:rsid w:val="00AA04E5"/>
    <w:rsid w:val="00AA3E9D"/>
    <w:rsid w:val="00AA5E67"/>
    <w:rsid w:val="00AB01F1"/>
    <w:rsid w:val="00AB6410"/>
    <w:rsid w:val="00AB6E5F"/>
    <w:rsid w:val="00AC531B"/>
    <w:rsid w:val="00AC5FA9"/>
    <w:rsid w:val="00AD0FE0"/>
    <w:rsid w:val="00AD66FE"/>
    <w:rsid w:val="00AD7D21"/>
    <w:rsid w:val="00AE000D"/>
    <w:rsid w:val="00AE26B9"/>
    <w:rsid w:val="00AE7D2F"/>
    <w:rsid w:val="00AF6FBA"/>
    <w:rsid w:val="00B00CFD"/>
    <w:rsid w:val="00B035B0"/>
    <w:rsid w:val="00B15326"/>
    <w:rsid w:val="00B31066"/>
    <w:rsid w:val="00B36B4E"/>
    <w:rsid w:val="00B37064"/>
    <w:rsid w:val="00B37CB2"/>
    <w:rsid w:val="00B43566"/>
    <w:rsid w:val="00B44A18"/>
    <w:rsid w:val="00B50007"/>
    <w:rsid w:val="00B539C5"/>
    <w:rsid w:val="00B666F3"/>
    <w:rsid w:val="00B671B6"/>
    <w:rsid w:val="00B72F2C"/>
    <w:rsid w:val="00B730B1"/>
    <w:rsid w:val="00B73391"/>
    <w:rsid w:val="00B75423"/>
    <w:rsid w:val="00B762BD"/>
    <w:rsid w:val="00B77FEE"/>
    <w:rsid w:val="00B83B9B"/>
    <w:rsid w:val="00BA008F"/>
    <w:rsid w:val="00BD07A0"/>
    <w:rsid w:val="00BD1B31"/>
    <w:rsid w:val="00BD1D12"/>
    <w:rsid w:val="00BD23A0"/>
    <w:rsid w:val="00BD790B"/>
    <w:rsid w:val="00BE4AB5"/>
    <w:rsid w:val="00BE574C"/>
    <w:rsid w:val="00C01D03"/>
    <w:rsid w:val="00C03537"/>
    <w:rsid w:val="00C05256"/>
    <w:rsid w:val="00C07C74"/>
    <w:rsid w:val="00C107FB"/>
    <w:rsid w:val="00C10A94"/>
    <w:rsid w:val="00C1361D"/>
    <w:rsid w:val="00C15B5E"/>
    <w:rsid w:val="00C16C3B"/>
    <w:rsid w:val="00C24AEB"/>
    <w:rsid w:val="00C26D73"/>
    <w:rsid w:val="00C472F9"/>
    <w:rsid w:val="00C47354"/>
    <w:rsid w:val="00C5178B"/>
    <w:rsid w:val="00C544C9"/>
    <w:rsid w:val="00C604E4"/>
    <w:rsid w:val="00C644F4"/>
    <w:rsid w:val="00C72BDD"/>
    <w:rsid w:val="00C73D8A"/>
    <w:rsid w:val="00C80627"/>
    <w:rsid w:val="00C81C23"/>
    <w:rsid w:val="00C92854"/>
    <w:rsid w:val="00C92862"/>
    <w:rsid w:val="00C931FD"/>
    <w:rsid w:val="00C943A3"/>
    <w:rsid w:val="00C95525"/>
    <w:rsid w:val="00C9580D"/>
    <w:rsid w:val="00C95D49"/>
    <w:rsid w:val="00C967C0"/>
    <w:rsid w:val="00C96801"/>
    <w:rsid w:val="00CA03BE"/>
    <w:rsid w:val="00CA0AA8"/>
    <w:rsid w:val="00CA0F26"/>
    <w:rsid w:val="00CA1895"/>
    <w:rsid w:val="00CB07D7"/>
    <w:rsid w:val="00CB1EC5"/>
    <w:rsid w:val="00CB686E"/>
    <w:rsid w:val="00CB7E7B"/>
    <w:rsid w:val="00CD64BF"/>
    <w:rsid w:val="00CD7A73"/>
    <w:rsid w:val="00CE08A1"/>
    <w:rsid w:val="00CE282D"/>
    <w:rsid w:val="00CF2A1F"/>
    <w:rsid w:val="00D04A8D"/>
    <w:rsid w:val="00D06018"/>
    <w:rsid w:val="00D1309D"/>
    <w:rsid w:val="00D16C91"/>
    <w:rsid w:val="00D21207"/>
    <w:rsid w:val="00D21CD9"/>
    <w:rsid w:val="00D2491C"/>
    <w:rsid w:val="00D27506"/>
    <w:rsid w:val="00D31A44"/>
    <w:rsid w:val="00D32001"/>
    <w:rsid w:val="00D3214F"/>
    <w:rsid w:val="00D32D99"/>
    <w:rsid w:val="00D41556"/>
    <w:rsid w:val="00D4329A"/>
    <w:rsid w:val="00D50B38"/>
    <w:rsid w:val="00D532D2"/>
    <w:rsid w:val="00D554E9"/>
    <w:rsid w:val="00D55CA7"/>
    <w:rsid w:val="00D60ED6"/>
    <w:rsid w:val="00D61C0A"/>
    <w:rsid w:val="00D623E7"/>
    <w:rsid w:val="00D6629B"/>
    <w:rsid w:val="00D73B65"/>
    <w:rsid w:val="00D75728"/>
    <w:rsid w:val="00D77426"/>
    <w:rsid w:val="00D834D4"/>
    <w:rsid w:val="00D84981"/>
    <w:rsid w:val="00D84E53"/>
    <w:rsid w:val="00D906E7"/>
    <w:rsid w:val="00D960FA"/>
    <w:rsid w:val="00DA171A"/>
    <w:rsid w:val="00DA39A2"/>
    <w:rsid w:val="00DA5405"/>
    <w:rsid w:val="00DA7144"/>
    <w:rsid w:val="00DA74B5"/>
    <w:rsid w:val="00DA7C84"/>
    <w:rsid w:val="00DB70CC"/>
    <w:rsid w:val="00DC02E0"/>
    <w:rsid w:val="00DC2F82"/>
    <w:rsid w:val="00DC6511"/>
    <w:rsid w:val="00DD65A3"/>
    <w:rsid w:val="00DD65D7"/>
    <w:rsid w:val="00DE2CC0"/>
    <w:rsid w:val="00DE7AEA"/>
    <w:rsid w:val="00DF0BCF"/>
    <w:rsid w:val="00DF2209"/>
    <w:rsid w:val="00E020C6"/>
    <w:rsid w:val="00E05F78"/>
    <w:rsid w:val="00E075F2"/>
    <w:rsid w:val="00E07F60"/>
    <w:rsid w:val="00E11155"/>
    <w:rsid w:val="00E12AA2"/>
    <w:rsid w:val="00E12E96"/>
    <w:rsid w:val="00E203EA"/>
    <w:rsid w:val="00E219A8"/>
    <w:rsid w:val="00E22415"/>
    <w:rsid w:val="00E264C8"/>
    <w:rsid w:val="00E33185"/>
    <w:rsid w:val="00E34BF2"/>
    <w:rsid w:val="00E41F23"/>
    <w:rsid w:val="00E54196"/>
    <w:rsid w:val="00E64ECD"/>
    <w:rsid w:val="00E807EB"/>
    <w:rsid w:val="00E95799"/>
    <w:rsid w:val="00E97605"/>
    <w:rsid w:val="00EA18AE"/>
    <w:rsid w:val="00EA4556"/>
    <w:rsid w:val="00EB096D"/>
    <w:rsid w:val="00EB0A67"/>
    <w:rsid w:val="00EB6CF5"/>
    <w:rsid w:val="00EB6E63"/>
    <w:rsid w:val="00EB7618"/>
    <w:rsid w:val="00EC5BA1"/>
    <w:rsid w:val="00ED78B1"/>
    <w:rsid w:val="00EE58CA"/>
    <w:rsid w:val="00EE6000"/>
    <w:rsid w:val="00EF008F"/>
    <w:rsid w:val="00EF0789"/>
    <w:rsid w:val="00EF6BA8"/>
    <w:rsid w:val="00F0719C"/>
    <w:rsid w:val="00F11FDD"/>
    <w:rsid w:val="00F13344"/>
    <w:rsid w:val="00F2195C"/>
    <w:rsid w:val="00F21B3C"/>
    <w:rsid w:val="00F252FA"/>
    <w:rsid w:val="00F26153"/>
    <w:rsid w:val="00F2708C"/>
    <w:rsid w:val="00F3273D"/>
    <w:rsid w:val="00F34026"/>
    <w:rsid w:val="00F4096B"/>
    <w:rsid w:val="00F427FB"/>
    <w:rsid w:val="00F42D88"/>
    <w:rsid w:val="00F5001D"/>
    <w:rsid w:val="00F53D80"/>
    <w:rsid w:val="00F6102B"/>
    <w:rsid w:val="00F65790"/>
    <w:rsid w:val="00F65F11"/>
    <w:rsid w:val="00F75508"/>
    <w:rsid w:val="00F872AF"/>
    <w:rsid w:val="00F903E6"/>
    <w:rsid w:val="00F9161D"/>
    <w:rsid w:val="00F926A2"/>
    <w:rsid w:val="00F961AC"/>
    <w:rsid w:val="00FA06BA"/>
    <w:rsid w:val="00FA50EC"/>
    <w:rsid w:val="00FB6C11"/>
    <w:rsid w:val="00FC15B5"/>
    <w:rsid w:val="00FC6011"/>
    <w:rsid w:val="00FC6D55"/>
    <w:rsid w:val="00FC6E5A"/>
    <w:rsid w:val="00FC6F94"/>
    <w:rsid w:val="00FD16FF"/>
    <w:rsid w:val="00FD4527"/>
    <w:rsid w:val="00FD5B95"/>
    <w:rsid w:val="00FE0E21"/>
    <w:rsid w:val="00FE5111"/>
    <w:rsid w:val="00FE7EE5"/>
    <w:rsid w:val="00FF2B64"/>
    <w:rsid w:val="00FF62D6"/>
    <w:rsid w:val="00FF6FC0"/>
    <w:rsid w:val="04AF5102"/>
    <w:rsid w:val="0A2D47F1"/>
    <w:rsid w:val="0FB93077"/>
    <w:rsid w:val="101502F2"/>
    <w:rsid w:val="1258481B"/>
    <w:rsid w:val="1436794C"/>
    <w:rsid w:val="1A350D59"/>
    <w:rsid w:val="1D970044"/>
    <w:rsid w:val="22897C33"/>
    <w:rsid w:val="23334B58"/>
    <w:rsid w:val="268F363A"/>
    <w:rsid w:val="2B182287"/>
    <w:rsid w:val="2B4313BC"/>
    <w:rsid w:val="2C231D8B"/>
    <w:rsid w:val="2D516505"/>
    <w:rsid w:val="2EB40C93"/>
    <w:rsid w:val="33560775"/>
    <w:rsid w:val="34C734AB"/>
    <w:rsid w:val="36AD4316"/>
    <w:rsid w:val="4A605381"/>
    <w:rsid w:val="4C7E282B"/>
    <w:rsid w:val="53233374"/>
    <w:rsid w:val="53CF6E4F"/>
    <w:rsid w:val="56EE0800"/>
    <w:rsid w:val="59BD14CB"/>
    <w:rsid w:val="5B926A19"/>
    <w:rsid w:val="60F65872"/>
    <w:rsid w:val="613F06E5"/>
    <w:rsid w:val="6425739B"/>
    <w:rsid w:val="6F345B63"/>
    <w:rsid w:val="7AD572D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99" w:semiHidden="0" w:name="Light Shading Accent 5"/>
    <w:lsdException w:unhideWhenUsed="0" w:uiPriority="61" w:semiHidden="0" w:name="Light List Accent 5"/>
    <w:lsdException w:qFormat="1" w:unhideWhenUsed="0" w:uiPriority="99"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99"/>
    <w:pPr>
      <w:keepNext/>
      <w:keepLines/>
      <w:spacing w:line="415" w:lineRule="auto"/>
      <w:jc w:val="center"/>
      <w:outlineLvl w:val="1"/>
    </w:pPr>
    <w:rPr>
      <w:rFonts w:ascii="微软雅黑" w:hAnsi="微软雅黑" w:eastAsia="微软雅黑"/>
      <w:b/>
      <w:bCs/>
      <w:color w:val="0070C0"/>
      <w:sz w:val="28"/>
      <w:szCs w:val="32"/>
    </w:rPr>
  </w:style>
  <w:style w:type="paragraph" w:styleId="3">
    <w:name w:val="heading 3"/>
    <w:basedOn w:val="1"/>
    <w:next w:val="1"/>
    <w:link w:val="17"/>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qFormat/>
    <w:uiPriority w:val="99"/>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Times New Roman" w:hAnsi="Times New Roman"/>
      <w:sz w:val="24"/>
      <w:szCs w:val="24"/>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0">
    <w:name w:val="Light Shading Accent 5"/>
    <w:basedOn w:val="8"/>
    <w:qFormat/>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1">
    <w:name w:val="Light Grid Accent 5"/>
    <w:basedOn w:val="8"/>
    <w:qFormat/>
    <w:uiPriority w:val="99"/>
    <w:tblPr>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blStylePr w:type="firstRow">
      <w:pPr>
        <w:spacing w:before="0" w:after="0"/>
      </w:pPr>
      <w:rPr>
        <w:rFonts w:ascii="Times New Roman" w:hAnsi="Times New Roman" w:eastAsia="宋体" w:cs="Times New Roman"/>
        <w:b/>
        <w:bCs/>
      </w:rPr>
      <w:tbl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pPr>
      <w:rPr>
        <w:rFonts w:ascii="Times New Roman" w:hAnsi="Times New Roman" w:eastAsia="宋体" w:cs="Times New Roman"/>
        <w:b/>
        <w:bCs/>
      </w:rPr>
      <w:tbl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Times New Roman" w:hAnsi="Times New Roman" w:eastAsia="宋体" w:cs="Times New Roman"/>
        <w:b/>
        <w:bCs/>
      </w:rPr>
    </w:tblStylePr>
    <w:tblStylePr w:type="lastCol">
      <w:rPr>
        <w:rFonts w:ascii="Times New Roman" w:hAnsi="Times New Roman" w:eastAsia="宋体" w:cs="Times New Roman"/>
        <w:b/>
        <w:bCs/>
      </w:rPr>
      <w:tblPr/>
      <w:tcPr>
        <w:tcBorders>
          <w:top w:val="single" w:color="4BACC6" w:sz="8" w:space="0"/>
          <w:left w:val="single" w:color="4BACC6" w:sz="8" w:space="0"/>
          <w:bottom w:val="single" w:color="4BACC6" w:sz="8" w:space="0"/>
          <w:right w:val="single" w:color="4BACC6" w:sz="8" w:space="0"/>
        </w:tcBorders>
      </w:tcPr>
    </w:tblStylePr>
    <w:tblStylePr w:type="band1Vert">
      <w:rPr>
        <w:rFonts w:cs="Times New Roman"/>
      </w:rPr>
      <w:tblPr/>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rPr>
        <w:rFonts w:cs="Times New Roman"/>
      </w:rPr>
      <w:tblPr/>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styleId="13">
    <w:name w:val="page number"/>
    <w:basedOn w:val="12"/>
    <w:qFormat/>
    <w:locked/>
    <w:uiPriority w:val="0"/>
  </w:style>
  <w:style w:type="character" w:styleId="14">
    <w:name w:val="FollowedHyperlink"/>
    <w:basedOn w:val="12"/>
    <w:semiHidden/>
    <w:unhideWhenUsed/>
    <w:qFormat/>
    <w:locked/>
    <w:uiPriority w:val="99"/>
    <w:rPr>
      <w:color w:val="800080"/>
      <w:u w:val="single"/>
    </w:rPr>
  </w:style>
  <w:style w:type="character" w:styleId="15">
    <w:name w:val="Hyperlink"/>
    <w:basedOn w:val="12"/>
    <w:qFormat/>
    <w:uiPriority w:val="99"/>
    <w:rPr>
      <w:rFonts w:cs="Times New Roman"/>
      <w:color w:val="0000FF"/>
      <w:u w:val="single"/>
    </w:rPr>
  </w:style>
  <w:style w:type="character" w:customStyle="1" w:styleId="16">
    <w:name w:val="标题 2 字符"/>
    <w:link w:val="2"/>
    <w:qFormat/>
    <w:locked/>
    <w:uiPriority w:val="99"/>
    <w:rPr>
      <w:rFonts w:ascii="微软雅黑" w:hAnsi="微软雅黑" w:eastAsia="微软雅黑" w:cs="Times New Roman"/>
      <w:b/>
      <w:bCs/>
      <w:color w:val="0070C0"/>
      <w:sz w:val="32"/>
      <w:szCs w:val="32"/>
    </w:rPr>
  </w:style>
  <w:style w:type="character" w:customStyle="1" w:styleId="17">
    <w:name w:val="标题 3 字符"/>
    <w:link w:val="3"/>
    <w:qFormat/>
    <w:locked/>
    <w:uiPriority w:val="99"/>
    <w:rPr>
      <w:rFonts w:ascii="宋体" w:hAnsi="宋体" w:eastAsia="宋体" w:cs="宋体"/>
      <w:b/>
      <w:bCs/>
      <w:kern w:val="0"/>
      <w:sz w:val="27"/>
      <w:szCs w:val="27"/>
    </w:rPr>
  </w:style>
  <w:style w:type="character" w:customStyle="1" w:styleId="18">
    <w:name w:val="批注框文本 字符"/>
    <w:link w:val="4"/>
    <w:semiHidden/>
    <w:qFormat/>
    <w:locked/>
    <w:uiPriority w:val="99"/>
    <w:rPr>
      <w:rFonts w:cs="Times New Roman"/>
      <w:sz w:val="18"/>
      <w:szCs w:val="18"/>
    </w:rPr>
  </w:style>
  <w:style w:type="character" w:customStyle="1" w:styleId="19">
    <w:name w:val="页脚 字符"/>
    <w:link w:val="5"/>
    <w:qFormat/>
    <w:locked/>
    <w:uiPriority w:val="0"/>
    <w:rPr>
      <w:rFonts w:cs="Times New Roman"/>
      <w:sz w:val="18"/>
      <w:szCs w:val="18"/>
    </w:rPr>
  </w:style>
  <w:style w:type="character" w:customStyle="1" w:styleId="20">
    <w:name w:val="页眉 字符"/>
    <w:link w:val="6"/>
    <w:qFormat/>
    <w:locked/>
    <w:uiPriority w:val="99"/>
    <w:rPr>
      <w:rFonts w:cs="Times New Roman"/>
      <w:sz w:val="18"/>
      <w:szCs w:val="18"/>
    </w:rPr>
  </w:style>
  <w:style w:type="character" w:customStyle="1" w:styleId="21">
    <w:name w:val="en_title"/>
    <w:qFormat/>
    <w:uiPriority w:val="99"/>
    <w:rPr>
      <w:rFonts w:cs="Times New Roman"/>
    </w:rPr>
  </w:style>
  <w:style w:type="character" w:customStyle="1" w:styleId="22">
    <w:name w:val="apple-converted-space"/>
    <w:qFormat/>
    <w:uiPriority w:val="99"/>
    <w:rPr>
      <w:rFonts w:cs="Times New Roman"/>
    </w:rPr>
  </w:style>
  <w:style w:type="paragraph" w:customStyle="1" w:styleId="23">
    <w:name w:val="List Paragraph1"/>
    <w:basedOn w:val="1"/>
    <w:qFormat/>
    <w:uiPriority w:val="99"/>
    <w:pPr>
      <w:ind w:firstLine="420" w:firstLineChars="200"/>
    </w:pPr>
  </w:style>
  <w:style w:type="table" w:customStyle="1" w:styleId="24">
    <w:name w:val="中等深浅列表 1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table" w:customStyle="1" w:styleId="25">
    <w:name w:val="浅色底纹1"/>
    <w:qFormat/>
    <w:uiPriority w:val="99"/>
    <w:rPr>
      <w:color w:val="000000"/>
    </w:rPr>
    <w:tblPr>
      <w:tblBorders>
        <w:top w:val="single" w:color="000000" w:sz="8" w:space="0"/>
        <w:bottom w:val="single" w:color="000000" w:sz="8" w:space="0"/>
      </w:tblBorders>
      <w:tblCellMar>
        <w:top w:w="0" w:type="dxa"/>
        <w:left w:w="108" w:type="dxa"/>
        <w:bottom w:w="0" w:type="dxa"/>
        <w:right w:w="108" w:type="dxa"/>
      </w:tblCellMar>
    </w:tblPr>
  </w:style>
  <w:style w:type="paragraph" w:customStyle="1" w:styleId="26">
    <w:name w:val="样式1"/>
    <w:basedOn w:val="6"/>
    <w:qFormat/>
    <w:uiPriority w:val="99"/>
    <w:pPr>
      <w:pBdr>
        <w:bottom w:val="none" w:color="auto" w:sz="0" w:space="0"/>
      </w:pBdr>
      <w:jc w:val="both"/>
    </w:pPr>
  </w:style>
  <w:style w:type="paragraph" w:customStyle="1" w:styleId="27">
    <w:name w:val="first_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8">
    <w:name w:val="p0"/>
    <w:basedOn w:val="1"/>
    <w:qFormat/>
    <w:uiPriority w:val="99"/>
    <w:pPr>
      <w:widowControl/>
    </w:pPr>
    <w:rPr>
      <w:rFonts w:ascii="Times New Roman" w:hAnsi="Times New Roman"/>
      <w:kern w:val="0"/>
      <w:szCs w:val="21"/>
    </w:rPr>
  </w:style>
  <w:style w:type="character" w:customStyle="1" w:styleId="29">
    <w:name w:val="cn_title"/>
    <w:qFormat/>
    <w:uiPriority w:val="99"/>
    <w:rPr>
      <w:rFonts w:cs="Times New Roman"/>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2995</Words>
  <Characters>3110</Characters>
  <Lines>23</Lines>
  <Paragraphs>6</Paragraphs>
  <TotalTime>160</TotalTime>
  <ScaleCrop>false</ScaleCrop>
  <LinksUpToDate>false</LinksUpToDate>
  <CharactersWithSpaces>3127</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2016-04-18T01:48:00Z</dcterms:created>
  <dc:creator>cpoway</dc:creator>
  <cp:lastModifiedBy>诺达名师-叶老师</cp:lastModifiedBy>
  <cp:lastPrinted>2022-02-23T07:48:00Z</cp:lastPrinted>
  <dcterms:modified xsi:type="dcterms:W3CDTF">2024-04-26T09:23:32Z</dcterms:modified>
  <cp:revision>277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9EBB1BF5506248BAA76EEF193734A1AF</vt:lpwstr>
  </property>
</Properties>
</file>