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微软雅黑" w:cs="宋体"/>
          <w:b/>
          <w:bCs/>
          <w:color w:val="0070C0"/>
          <w:kern w:val="0"/>
          <w:sz w:val="18"/>
          <w:szCs w:val="18"/>
        </w:rPr>
      </w:pPr>
    </w:p>
    <w:p>
      <w:pPr>
        <w:jc w:val="center"/>
        <w:rPr>
          <w:rFonts w:eastAsia="微软雅黑" w:cs="宋体"/>
          <w:b/>
          <w:bCs/>
          <w:color w:val="0070C0"/>
          <w:kern w:val="0"/>
          <w:sz w:val="48"/>
          <w:szCs w:val="48"/>
        </w:rPr>
      </w:pPr>
      <w:r>
        <w:rPr>
          <w:rFonts w:hint="eastAsia" w:eastAsia="微软雅黑" w:cs="宋体"/>
          <w:b/>
          <w:bCs/>
          <w:color w:val="0070C0"/>
          <w:kern w:val="0"/>
          <w:sz w:val="48"/>
          <w:szCs w:val="48"/>
        </w:rPr>
        <w:t>供应商成本分析与财务分析</w:t>
      </w:r>
      <w:r>
        <w:rPr>
          <w:rFonts w:eastAsia="微软雅黑" w:cs="宋体"/>
          <w:b/>
          <w:bCs/>
          <w:color w:val="0070C0"/>
          <w:kern w:val="0"/>
          <w:sz w:val="48"/>
          <w:szCs w:val="48"/>
        </w:rPr>
        <w:br w:type="textWrapping"/>
      </w:r>
    </w:p>
    <w:p>
      <w:pPr>
        <w:spacing w:line="400" w:lineRule="exac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培训时间：</w:t>
      </w:r>
      <w:r>
        <w:rPr>
          <w:rFonts w:ascii="微软雅黑" w:hAnsi="微软雅黑" w:eastAsia="微软雅黑" w:cs="宋体"/>
          <w:bCs/>
          <w:kern w:val="0"/>
          <w:sz w:val="20"/>
          <w:szCs w:val="20"/>
        </w:rPr>
        <w:t xml:space="preserve"> </w:t>
      </w:r>
      <w:bookmarkStart w:id="0" w:name="_GoBack"/>
      <w:bookmarkEnd w:id="0"/>
      <w:r>
        <w:rPr>
          <w:rFonts w:ascii="微软雅黑" w:hAnsi="微软雅黑" w:eastAsia="微软雅黑" w:cs="宋体"/>
          <w:bCs/>
          <w:kern w:val="0"/>
          <w:sz w:val="20"/>
          <w:szCs w:val="20"/>
        </w:rPr>
        <w:t>8</w:t>
      </w:r>
      <w:r>
        <w:rPr>
          <w:rFonts w:hint="eastAsia" w:ascii="微软雅黑" w:hAnsi="微软雅黑" w:eastAsia="微软雅黑" w:cs="宋体"/>
          <w:bCs/>
          <w:kern w:val="0"/>
          <w:sz w:val="20"/>
          <w:szCs w:val="20"/>
        </w:rPr>
        <w:t>月</w:t>
      </w:r>
      <w:r>
        <w:rPr>
          <w:rFonts w:ascii="微软雅黑" w:hAnsi="微软雅黑" w:eastAsia="微软雅黑" w:cs="宋体"/>
          <w:bCs/>
          <w:kern w:val="0"/>
          <w:sz w:val="20"/>
          <w:szCs w:val="20"/>
        </w:rPr>
        <w:t>20-21</w:t>
      </w:r>
      <w:r>
        <w:rPr>
          <w:rFonts w:hint="eastAsia" w:ascii="微软雅黑" w:hAnsi="微软雅黑" w:eastAsia="微软雅黑" w:cs="宋体"/>
          <w:bCs/>
          <w:kern w:val="0"/>
          <w:sz w:val="20"/>
          <w:szCs w:val="20"/>
        </w:rPr>
        <w:t>上海</w:t>
      </w:r>
    </w:p>
    <w:p>
      <w:pPr>
        <w:spacing w:line="400" w:lineRule="exac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培训对象：采购经理、供应商管理、采购计划员、采购人员、物流管理人员、库存管理人员、项目经理、供应链经理</w:t>
      </w:r>
      <w:r>
        <w:rPr>
          <w:rFonts w:ascii="微软雅黑" w:hAnsi="微软雅黑" w:eastAsia="微软雅黑" w:cs="宋体"/>
          <w:bCs/>
          <w:kern w:val="0"/>
          <w:sz w:val="20"/>
          <w:szCs w:val="20"/>
        </w:rPr>
        <w:t>等</w:t>
      </w:r>
    </w:p>
    <w:p>
      <w:pPr>
        <w:spacing w:line="400" w:lineRule="exac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课程费用：</w:t>
      </w:r>
      <w:r>
        <w:rPr>
          <w:rFonts w:ascii="微软雅黑" w:hAnsi="微软雅黑" w:eastAsia="微软雅黑" w:cs="宋体"/>
          <w:bCs/>
          <w:kern w:val="0"/>
          <w:sz w:val="20"/>
          <w:szCs w:val="20"/>
        </w:rPr>
        <w:t xml:space="preserve">RMB </w:t>
      </w:r>
      <w:r>
        <w:rPr>
          <w:rFonts w:hint="eastAsia" w:ascii="微软雅黑" w:hAnsi="微软雅黑" w:eastAsia="微软雅黑" w:cs="宋体"/>
          <w:bCs/>
          <w:kern w:val="0"/>
          <w:sz w:val="20"/>
          <w:szCs w:val="20"/>
        </w:rPr>
        <w:t>4</w:t>
      </w:r>
      <w:r>
        <w:rPr>
          <w:rFonts w:ascii="微软雅黑" w:hAnsi="微软雅黑" w:eastAsia="微软雅黑" w:cs="宋体"/>
          <w:bCs/>
          <w:kern w:val="0"/>
          <w:sz w:val="20"/>
          <w:szCs w:val="20"/>
        </w:rPr>
        <w:t>6</w:t>
      </w:r>
      <w:r>
        <w:rPr>
          <w:rFonts w:hint="eastAsia" w:ascii="微软雅黑" w:hAnsi="微软雅黑" w:eastAsia="微软雅黑" w:cs="宋体"/>
          <w:bCs/>
          <w:kern w:val="0"/>
          <w:sz w:val="20"/>
          <w:szCs w:val="20"/>
        </w:rPr>
        <w:t>00元</w:t>
      </w:r>
      <w:r>
        <w:rPr>
          <w:rFonts w:ascii="微软雅黑" w:hAnsi="微软雅黑" w:eastAsia="微软雅黑" w:cs="宋体"/>
          <w:bCs/>
          <w:kern w:val="0"/>
          <w:sz w:val="20"/>
          <w:szCs w:val="20"/>
        </w:rPr>
        <w:t>/</w:t>
      </w:r>
      <w:r>
        <w:rPr>
          <w:rFonts w:hint="eastAsia" w:ascii="微软雅黑" w:hAnsi="微软雅黑" w:eastAsia="微软雅黑" w:cs="宋体"/>
          <w:bCs/>
          <w:kern w:val="0"/>
          <w:sz w:val="20"/>
          <w:szCs w:val="20"/>
        </w:rPr>
        <w:t>人</w:t>
      </w:r>
      <w:r>
        <w:rPr>
          <w:rFonts w:ascii="微软雅黑" w:hAnsi="微软雅黑" w:eastAsia="微软雅黑" w:cs="宋体"/>
          <w:bCs/>
          <w:kern w:val="0"/>
          <w:sz w:val="20"/>
          <w:szCs w:val="20"/>
        </w:rPr>
        <w:t>/ 2</w:t>
      </w:r>
      <w:r>
        <w:rPr>
          <w:rFonts w:hint="eastAsia" w:ascii="微软雅黑" w:hAnsi="微软雅黑" w:eastAsia="微软雅黑" w:cs="宋体"/>
          <w:bCs/>
          <w:kern w:val="0"/>
          <w:sz w:val="20"/>
          <w:szCs w:val="20"/>
        </w:rPr>
        <w:t xml:space="preserve">天（含授课费、资料费、午餐费、茶点费、税费等） </w:t>
      </w:r>
      <w:r>
        <w:rPr>
          <w:rFonts w:ascii="微软雅黑" w:hAnsi="微软雅黑" w:eastAsia="微软雅黑" w:cs="宋体"/>
          <w:bCs/>
          <w:kern w:val="0"/>
          <w:sz w:val="20"/>
          <w:szCs w:val="20"/>
        </w:rPr>
        <w:br w:type="textWrapping"/>
      </w:r>
      <w:r>
        <w:rPr>
          <w:rFonts w:hint="eastAsia" w:ascii="微软雅黑" w:hAnsi="微软雅黑" w:eastAsia="微软雅黑" w:cs="宋体"/>
          <w:bCs/>
          <w:kern w:val="0"/>
          <w:sz w:val="20"/>
          <w:szCs w:val="20"/>
        </w:rPr>
        <w:t>企业内训：此课程可以邀请我们的老师到企业定制内训服务，欢迎来电咨询</w:t>
      </w:r>
    </w:p>
    <w:p>
      <w:pPr>
        <w:spacing w:before="156" w:beforeLines="50" w:line="400" w:lineRule="exact"/>
        <w:rPr>
          <w:rFonts w:ascii="微软雅黑" w:hAnsi="微软雅黑" w:eastAsia="微软雅黑"/>
          <w:b/>
          <w:color w:val="0070C0"/>
          <w:sz w:val="20"/>
          <w:szCs w:val="20"/>
        </w:rPr>
      </w:pPr>
      <w:r>
        <w:rPr>
          <w:rFonts w:hint="eastAsia" w:ascii="微软雅黑" w:hAnsi="微软雅黑" w:eastAsia="微软雅黑"/>
          <w:b/>
          <w:color w:val="0070C0"/>
          <w:sz w:val="20"/>
          <w:szCs w:val="20"/>
        </w:rPr>
        <w:t>课程内容及目标：</w:t>
      </w:r>
    </w:p>
    <w:p>
      <w:pPr>
        <w:spacing w:line="400" w:lineRule="exact"/>
        <w:ind w:firstLine="420"/>
        <w:rPr>
          <w:rFonts w:ascii="微软雅黑" w:hAnsi="微软雅黑" w:eastAsia="微软雅黑"/>
          <w:sz w:val="20"/>
          <w:szCs w:val="20"/>
        </w:rPr>
      </w:pPr>
      <w:r>
        <w:rPr>
          <w:rFonts w:hint="eastAsia" w:ascii="微软雅黑" w:hAnsi="微软雅黑" w:eastAsia="微软雅黑"/>
          <w:sz w:val="20"/>
          <w:szCs w:val="20"/>
        </w:rPr>
        <w:t>针对供应管理专业人士业务需要，以大量易懂的实例，讲解供应管理中常见的财务及成本概念和管理实践，使学员学会从财务视角考察供应商企业的运营状况以更加前瞻性地在供应商审核和后续合同执行过程中管理供应链风险；同时更准确地了解供应商的成本构成，帮助供应商识别精益降低成本的机会，推动精益文化在供应链上的传递；学会用财务视角看供应管理，会增强供应管理专业人士与供应商和采购组织高层管理者的沟通效率和效果，更利于建立长期的战略伙伴关系，也会在组织内部提升供应管理部门的地位与形象。授课老师根据自己多年在世界500强担任供应管理高级经理和工厂高级运营经理所经历的预算和供应链风险管理方面的经验，向学员分享财务分析和成本分析、成本控制和风险控制的相关知识。</w:t>
      </w:r>
    </w:p>
    <w:p>
      <w:pPr>
        <w:spacing w:before="156" w:beforeLines="50" w:line="400" w:lineRule="exact"/>
        <w:rPr>
          <w:rFonts w:ascii="微软雅黑" w:hAnsi="微软雅黑" w:eastAsia="微软雅黑"/>
          <w:b/>
          <w:color w:val="0070C0"/>
          <w:sz w:val="20"/>
          <w:szCs w:val="20"/>
        </w:rPr>
      </w:pPr>
      <w:r>
        <w:rPr>
          <w:rFonts w:hint="eastAsia" w:ascii="微软雅黑" w:hAnsi="微软雅黑" w:eastAsia="微软雅黑"/>
          <w:b/>
          <w:color w:val="0070C0"/>
          <w:sz w:val="20"/>
          <w:szCs w:val="20"/>
        </w:rPr>
        <w:t>课程大纲：</w:t>
      </w:r>
    </w:p>
    <w:p>
      <w:pPr>
        <w:spacing w:before="156" w:beforeLines="50" w:line="400" w:lineRule="exact"/>
        <w:rPr>
          <w:rFonts w:ascii="微软雅黑" w:hAnsi="微软雅黑" w:eastAsia="微软雅黑"/>
          <w:b/>
          <w:bCs/>
          <w:sz w:val="20"/>
          <w:szCs w:val="20"/>
        </w:rPr>
      </w:pPr>
      <w:r>
        <w:rPr>
          <w:rFonts w:hint="eastAsia" w:ascii="微软雅黑" w:hAnsi="微软雅黑" w:eastAsia="微软雅黑"/>
          <w:b/>
          <w:bCs/>
          <w:sz w:val="20"/>
          <w:szCs w:val="20"/>
        </w:rPr>
        <w:t>健康企业</w:t>
      </w:r>
    </w:p>
    <w:p>
      <w:pPr>
        <w:numPr>
          <w:ilvl w:val="0"/>
          <w:numId w:val="1"/>
        </w:numPr>
        <w:spacing w:line="400" w:lineRule="exact"/>
        <w:rPr>
          <w:rFonts w:ascii="微软雅黑" w:hAnsi="微软雅黑" w:eastAsia="微软雅黑"/>
          <w:sz w:val="20"/>
          <w:szCs w:val="20"/>
        </w:rPr>
      </w:pPr>
      <w:r>
        <w:rPr>
          <w:rFonts w:hint="eastAsia" w:ascii="微软雅黑" w:hAnsi="微软雅黑" w:eastAsia="微软雅黑"/>
          <w:sz w:val="20"/>
          <w:szCs w:val="20"/>
        </w:rPr>
        <w:t>企业有利润就健康吗？</w:t>
      </w:r>
    </w:p>
    <w:p>
      <w:pPr>
        <w:numPr>
          <w:ilvl w:val="0"/>
          <w:numId w:val="1"/>
        </w:numPr>
        <w:spacing w:line="400" w:lineRule="exact"/>
        <w:rPr>
          <w:rFonts w:ascii="微软雅黑" w:hAnsi="微软雅黑" w:eastAsia="微软雅黑"/>
          <w:sz w:val="20"/>
          <w:szCs w:val="20"/>
        </w:rPr>
      </w:pPr>
      <w:r>
        <w:rPr>
          <w:rFonts w:hint="eastAsia" w:ascii="微软雅黑" w:hAnsi="微软雅黑" w:eastAsia="微软雅黑"/>
          <w:sz w:val="20"/>
          <w:szCs w:val="20"/>
        </w:rPr>
        <w:t>企业的骨骼、肌肉和血液</w:t>
      </w:r>
    </w:p>
    <w:p>
      <w:pPr>
        <w:numPr>
          <w:ilvl w:val="0"/>
          <w:numId w:val="1"/>
        </w:numPr>
        <w:spacing w:line="400" w:lineRule="exact"/>
        <w:rPr>
          <w:rFonts w:ascii="微软雅黑" w:hAnsi="微软雅黑" w:eastAsia="微软雅黑"/>
          <w:sz w:val="20"/>
          <w:szCs w:val="20"/>
        </w:rPr>
      </w:pPr>
      <w:r>
        <w:rPr>
          <w:rFonts w:hint="eastAsia" w:ascii="微软雅黑" w:hAnsi="微软雅黑" w:eastAsia="微软雅黑"/>
          <w:sz w:val="20"/>
          <w:szCs w:val="20"/>
        </w:rPr>
        <w:t>杜邦财务分析</w:t>
      </w:r>
    </w:p>
    <w:p>
      <w:pPr>
        <w:numPr>
          <w:ilvl w:val="0"/>
          <w:numId w:val="1"/>
        </w:numPr>
        <w:spacing w:line="400" w:lineRule="exact"/>
        <w:rPr>
          <w:rFonts w:ascii="微软雅黑" w:hAnsi="微软雅黑" w:eastAsia="微软雅黑"/>
          <w:sz w:val="20"/>
          <w:szCs w:val="20"/>
        </w:rPr>
      </w:pPr>
      <w:r>
        <w:rPr>
          <w:rFonts w:hint="eastAsia" w:ascii="微软雅黑" w:hAnsi="微软雅黑" w:eastAsia="微软雅黑"/>
          <w:sz w:val="20"/>
          <w:szCs w:val="20"/>
        </w:rPr>
        <w:t>对标约翰迪尔和TOYOTA的关键财务指标</w:t>
      </w:r>
    </w:p>
    <w:p>
      <w:pPr>
        <w:numPr>
          <w:ilvl w:val="0"/>
          <w:numId w:val="1"/>
        </w:numPr>
        <w:spacing w:line="400" w:lineRule="exact"/>
        <w:rPr>
          <w:rFonts w:ascii="微软雅黑" w:hAnsi="微软雅黑" w:eastAsia="微软雅黑"/>
          <w:sz w:val="20"/>
          <w:szCs w:val="20"/>
        </w:rPr>
      </w:pPr>
      <w:r>
        <w:rPr>
          <w:rFonts w:hint="eastAsia" w:ascii="微软雅黑" w:hAnsi="微软雅黑" w:eastAsia="微软雅黑"/>
          <w:sz w:val="20"/>
          <w:szCs w:val="20"/>
        </w:rPr>
        <w:t>组织竞争战略与供应管理战略</w:t>
      </w:r>
    </w:p>
    <w:p>
      <w:pPr>
        <w:numPr>
          <w:ilvl w:val="0"/>
          <w:numId w:val="1"/>
        </w:numPr>
        <w:spacing w:line="400" w:lineRule="exact"/>
        <w:rPr>
          <w:rFonts w:ascii="微软雅黑" w:hAnsi="微软雅黑" w:eastAsia="微软雅黑"/>
          <w:sz w:val="20"/>
          <w:szCs w:val="20"/>
        </w:rPr>
      </w:pPr>
      <w:r>
        <w:rPr>
          <w:rFonts w:hint="eastAsia" w:ascii="微软雅黑" w:hAnsi="微软雅黑" w:eastAsia="微软雅黑"/>
          <w:sz w:val="20"/>
          <w:szCs w:val="20"/>
        </w:rPr>
        <w:t>对标约翰迪尔的精益生产和全价值流改善</w:t>
      </w:r>
    </w:p>
    <w:p>
      <w:pPr>
        <w:numPr>
          <w:ilvl w:val="0"/>
          <w:numId w:val="1"/>
        </w:numPr>
        <w:spacing w:line="400" w:lineRule="exact"/>
        <w:rPr>
          <w:rFonts w:ascii="微软雅黑" w:hAnsi="微软雅黑" w:eastAsia="微软雅黑"/>
          <w:sz w:val="20"/>
          <w:szCs w:val="20"/>
        </w:rPr>
      </w:pPr>
      <w:r>
        <w:rPr>
          <w:rFonts w:hint="eastAsia" w:ascii="微软雅黑" w:hAnsi="微软雅黑" w:eastAsia="微软雅黑"/>
          <w:sz w:val="20"/>
          <w:szCs w:val="20"/>
        </w:rPr>
        <w:t>案例分享：我是如何领导约翰迪尔中国区5家主机厂实施VI成本改善的？</w:t>
      </w:r>
    </w:p>
    <w:p>
      <w:pPr>
        <w:numPr>
          <w:ilvl w:val="0"/>
          <w:numId w:val="1"/>
        </w:numPr>
        <w:spacing w:line="400" w:lineRule="exact"/>
        <w:rPr>
          <w:rFonts w:ascii="微软雅黑" w:hAnsi="微软雅黑" w:eastAsia="微软雅黑"/>
          <w:sz w:val="20"/>
          <w:szCs w:val="20"/>
        </w:rPr>
      </w:pPr>
      <w:r>
        <w:rPr>
          <w:rFonts w:hint="eastAsia" w:ascii="微软雅黑" w:hAnsi="微软雅黑" w:eastAsia="微软雅黑"/>
          <w:sz w:val="20"/>
          <w:szCs w:val="20"/>
        </w:rPr>
        <w:t>学员讨论：追赶优秀的世界级企业，采购能做些什么？</w:t>
      </w:r>
    </w:p>
    <w:p>
      <w:pPr>
        <w:spacing w:before="156" w:beforeLines="50" w:line="400" w:lineRule="exact"/>
        <w:rPr>
          <w:rFonts w:ascii="微软雅黑" w:hAnsi="微软雅黑" w:eastAsia="微软雅黑"/>
          <w:b/>
          <w:bCs/>
          <w:sz w:val="20"/>
          <w:szCs w:val="20"/>
        </w:rPr>
      </w:pPr>
      <w:r>
        <w:rPr>
          <w:rFonts w:hint="eastAsia" w:ascii="微软雅黑" w:hAnsi="微软雅黑" w:eastAsia="微软雅黑"/>
          <w:b/>
          <w:bCs/>
          <w:sz w:val="20"/>
          <w:szCs w:val="20"/>
        </w:rPr>
        <w:t>二、成本的基本知识</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销售价格构成（采购组织的采购价格）</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主营业务成本COGS的构成</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直接物料成本</w:t>
      </w:r>
      <w:r>
        <w:rPr>
          <w:rFonts w:ascii="微软雅黑" w:hAnsi="微软雅黑" w:eastAsia="微软雅黑"/>
          <w:sz w:val="20"/>
          <w:szCs w:val="20"/>
        </w:rPr>
        <w:t>DM</w:t>
      </w:r>
      <w:r>
        <w:rPr>
          <w:rFonts w:hint="eastAsia" w:ascii="微软雅黑" w:hAnsi="微软雅黑" w:eastAsia="微软雅黑"/>
          <w:sz w:val="20"/>
          <w:szCs w:val="20"/>
        </w:rPr>
        <w:t>、直接人工成本</w:t>
      </w:r>
      <w:r>
        <w:rPr>
          <w:rFonts w:ascii="微软雅黑" w:hAnsi="微软雅黑" w:eastAsia="微软雅黑"/>
          <w:sz w:val="20"/>
          <w:szCs w:val="20"/>
        </w:rPr>
        <w:t>DL</w:t>
      </w:r>
      <w:r>
        <w:rPr>
          <w:rFonts w:hint="eastAsia" w:ascii="微软雅黑" w:hAnsi="微软雅黑" w:eastAsia="微软雅黑"/>
          <w:sz w:val="20"/>
          <w:szCs w:val="20"/>
        </w:rPr>
        <w:t>、制造费用OH</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学员讨论：供应商库存盘点偏差，怎么影响供应商利润？</w:t>
      </w:r>
    </w:p>
    <w:p>
      <w:pPr>
        <w:spacing w:before="156" w:beforeLines="50" w:line="400" w:lineRule="exact"/>
        <w:rPr>
          <w:rFonts w:ascii="微软雅黑" w:hAnsi="微软雅黑" w:eastAsia="微软雅黑"/>
          <w:b/>
          <w:bCs/>
          <w:sz w:val="20"/>
          <w:szCs w:val="20"/>
        </w:rPr>
      </w:pPr>
      <w:r>
        <w:rPr>
          <w:rFonts w:hint="eastAsia" w:ascii="微软雅黑" w:hAnsi="微软雅黑" w:eastAsia="微软雅黑"/>
          <w:b/>
          <w:bCs/>
          <w:sz w:val="20"/>
          <w:szCs w:val="20"/>
        </w:rPr>
        <w:t>三、成本要素分析与机会识别</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直接物料成本DM</w:t>
      </w:r>
    </w:p>
    <w:p>
      <w:pPr>
        <w:numPr>
          <w:ilvl w:val="1"/>
          <w:numId w:val="2"/>
        </w:numPr>
        <w:tabs>
          <w:tab w:val="left" w:pos="842"/>
        </w:tabs>
        <w:spacing w:line="400" w:lineRule="exact"/>
        <w:rPr>
          <w:rFonts w:ascii="微软雅黑" w:hAnsi="微软雅黑" w:eastAsia="微软雅黑"/>
          <w:sz w:val="20"/>
          <w:szCs w:val="20"/>
        </w:rPr>
      </w:pPr>
      <w:r>
        <w:rPr>
          <w:rFonts w:hint="eastAsia" w:ascii="微软雅黑" w:hAnsi="微软雅黑" w:eastAsia="微软雅黑"/>
          <w:sz w:val="20"/>
          <w:szCs w:val="20"/>
        </w:rPr>
        <w:t>供应商采购成本控制系统</w:t>
      </w:r>
    </w:p>
    <w:p>
      <w:pPr>
        <w:numPr>
          <w:ilvl w:val="1"/>
          <w:numId w:val="2"/>
        </w:numPr>
        <w:tabs>
          <w:tab w:val="left" w:pos="842"/>
        </w:tabs>
        <w:spacing w:line="400" w:lineRule="exact"/>
        <w:rPr>
          <w:rFonts w:ascii="微软雅黑" w:hAnsi="微软雅黑" w:eastAsia="微软雅黑"/>
          <w:sz w:val="20"/>
          <w:szCs w:val="20"/>
        </w:rPr>
      </w:pPr>
      <w:r>
        <w:rPr>
          <w:rFonts w:hint="eastAsia" w:ascii="微软雅黑" w:hAnsi="微软雅黑" w:eastAsia="微软雅黑"/>
          <w:sz w:val="20"/>
          <w:szCs w:val="20"/>
        </w:rPr>
        <w:t>直接物料五大物料成本改善点</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直接人工成本DL</w:t>
      </w:r>
    </w:p>
    <w:p>
      <w:pPr>
        <w:numPr>
          <w:ilvl w:val="1"/>
          <w:numId w:val="2"/>
        </w:numPr>
        <w:tabs>
          <w:tab w:val="left" w:pos="842"/>
        </w:tabs>
        <w:spacing w:line="400" w:lineRule="exact"/>
        <w:rPr>
          <w:rFonts w:ascii="微软雅黑" w:hAnsi="微软雅黑" w:eastAsia="微软雅黑"/>
          <w:sz w:val="20"/>
          <w:szCs w:val="20"/>
        </w:rPr>
      </w:pPr>
      <w:r>
        <w:rPr>
          <w:rFonts w:hint="eastAsia" w:ascii="微软雅黑" w:hAnsi="微软雅黑" w:eastAsia="微软雅黑"/>
          <w:sz w:val="20"/>
          <w:szCs w:val="20"/>
        </w:rPr>
        <w:t>供应商零件标准工时和效率目标</w:t>
      </w:r>
    </w:p>
    <w:p>
      <w:pPr>
        <w:numPr>
          <w:ilvl w:val="1"/>
          <w:numId w:val="2"/>
        </w:numPr>
        <w:tabs>
          <w:tab w:val="left" w:pos="842"/>
        </w:tabs>
        <w:spacing w:line="400" w:lineRule="exact"/>
        <w:rPr>
          <w:rFonts w:ascii="微软雅黑" w:hAnsi="微软雅黑" w:eastAsia="微软雅黑"/>
          <w:sz w:val="20"/>
          <w:szCs w:val="20"/>
        </w:rPr>
      </w:pPr>
      <w:r>
        <w:rPr>
          <w:rFonts w:hint="eastAsia" w:ascii="微软雅黑" w:hAnsi="微软雅黑" w:eastAsia="微软雅黑"/>
          <w:sz w:val="20"/>
          <w:szCs w:val="20"/>
        </w:rPr>
        <w:t>如何确定报价单中的工时是可靠的？</w:t>
      </w:r>
    </w:p>
    <w:p>
      <w:pPr>
        <w:numPr>
          <w:ilvl w:val="1"/>
          <w:numId w:val="2"/>
        </w:numPr>
        <w:tabs>
          <w:tab w:val="left" w:pos="842"/>
        </w:tabs>
        <w:spacing w:line="400" w:lineRule="exact"/>
        <w:rPr>
          <w:rFonts w:ascii="微软雅黑" w:hAnsi="微软雅黑" w:eastAsia="微软雅黑"/>
          <w:sz w:val="20"/>
          <w:szCs w:val="20"/>
        </w:rPr>
      </w:pPr>
      <w:r>
        <w:rPr>
          <w:rFonts w:hint="eastAsia" w:ascii="微软雅黑" w:hAnsi="微软雅黑" w:eastAsia="微软雅黑"/>
          <w:sz w:val="20"/>
          <w:szCs w:val="20"/>
        </w:rPr>
        <w:t>供应商费率的构成</w:t>
      </w:r>
    </w:p>
    <w:p>
      <w:pPr>
        <w:numPr>
          <w:ilvl w:val="0"/>
          <w:numId w:val="2"/>
        </w:numPr>
        <w:tabs>
          <w:tab w:val="left" w:pos="1262"/>
        </w:tabs>
        <w:spacing w:line="400" w:lineRule="exact"/>
        <w:rPr>
          <w:rFonts w:ascii="微软雅黑" w:hAnsi="微软雅黑" w:eastAsia="微软雅黑"/>
          <w:sz w:val="20"/>
          <w:szCs w:val="20"/>
        </w:rPr>
      </w:pPr>
      <w:r>
        <w:rPr>
          <w:rFonts w:hint="eastAsia" w:ascii="微软雅黑" w:hAnsi="微软雅黑" w:eastAsia="微软雅黑"/>
          <w:sz w:val="20"/>
          <w:szCs w:val="20"/>
        </w:rPr>
        <w:t>制造费用OH</w:t>
      </w:r>
    </w:p>
    <w:p>
      <w:pPr>
        <w:numPr>
          <w:ilvl w:val="1"/>
          <w:numId w:val="2"/>
        </w:numPr>
        <w:tabs>
          <w:tab w:val="left" w:pos="842"/>
        </w:tabs>
        <w:spacing w:line="400" w:lineRule="exact"/>
        <w:rPr>
          <w:rFonts w:ascii="微软雅黑" w:hAnsi="微软雅黑" w:eastAsia="微软雅黑"/>
          <w:sz w:val="20"/>
          <w:szCs w:val="20"/>
        </w:rPr>
      </w:pPr>
      <w:r>
        <w:rPr>
          <w:rFonts w:hint="eastAsia" w:ascii="微软雅黑" w:hAnsi="微软雅黑" w:eastAsia="微软雅黑"/>
          <w:sz w:val="20"/>
          <w:szCs w:val="20"/>
        </w:rPr>
        <w:t>制造费用的构成</w:t>
      </w:r>
    </w:p>
    <w:p>
      <w:pPr>
        <w:numPr>
          <w:ilvl w:val="1"/>
          <w:numId w:val="2"/>
        </w:numPr>
        <w:tabs>
          <w:tab w:val="left" w:pos="842"/>
        </w:tabs>
        <w:spacing w:line="400" w:lineRule="exact"/>
        <w:rPr>
          <w:rFonts w:ascii="微软雅黑" w:hAnsi="微软雅黑" w:eastAsia="微软雅黑"/>
          <w:sz w:val="20"/>
          <w:szCs w:val="20"/>
        </w:rPr>
      </w:pPr>
      <w:r>
        <w:rPr>
          <w:rFonts w:hint="eastAsia" w:ascii="微软雅黑" w:hAnsi="微软雅黑" w:eastAsia="微软雅黑"/>
          <w:sz w:val="20"/>
          <w:szCs w:val="20"/>
        </w:rPr>
        <w:t>ABC成本分析</w:t>
      </w:r>
    </w:p>
    <w:p>
      <w:pPr>
        <w:numPr>
          <w:ilvl w:val="1"/>
          <w:numId w:val="2"/>
        </w:numPr>
        <w:tabs>
          <w:tab w:val="left" w:pos="842"/>
        </w:tabs>
        <w:spacing w:line="400" w:lineRule="exact"/>
        <w:rPr>
          <w:rFonts w:ascii="微软雅黑" w:hAnsi="微软雅黑" w:eastAsia="微软雅黑"/>
          <w:sz w:val="20"/>
          <w:szCs w:val="20"/>
        </w:rPr>
      </w:pPr>
      <w:r>
        <w:rPr>
          <w:rFonts w:hint="eastAsia" w:ascii="微软雅黑" w:hAnsi="微软雅黑" w:eastAsia="微软雅黑"/>
          <w:sz w:val="20"/>
          <w:szCs w:val="20"/>
        </w:rPr>
        <w:t>设备折旧成本分摊计算方法</w:t>
      </w:r>
    </w:p>
    <w:p>
      <w:pPr>
        <w:numPr>
          <w:ilvl w:val="1"/>
          <w:numId w:val="2"/>
        </w:numPr>
        <w:tabs>
          <w:tab w:val="left" w:pos="842"/>
        </w:tabs>
        <w:spacing w:line="400" w:lineRule="exact"/>
        <w:rPr>
          <w:rFonts w:ascii="微软雅黑" w:hAnsi="微软雅黑" w:eastAsia="微软雅黑"/>
          <w:sz w:val="20"/>
          <w:szCs w:val="20"/>
        </w:rPr>
      </w:pPr>
      <w:r>
        <w:rPr>
          <w:rFonts w:hint="eastAsia" w:ascii="微软雅黑" w:hAnsi="微软雅黑" w:eastAsia="微软雅黑"/>
          <w:sz w:val="20"/>
          <w:szCs w:val="20"/>
        </w:rPr>
        <w:t>供应商是否开展U</w:t>
      </w:r>
      <w:r>
        <w:rPr>
          <w:rFonts w:ascii="微软雅黑" w:hAnsi="微软雅黑" w:eastAsia="微软雅黑"/>
          <w:sz w:val="20"/>
          <w:szCs w:val="20"/>
        </w:rPr>
        <w:t>tility</w:t>
      </w:r>
      <w:r>
        <w:rPr>
          <w:rFonts w:hint="eastAsia" w:ascii="微软雅黑" w:hAnsi="微软雅黑" w:eastAsia="微软雅黑"/>
          <w:sz w:val="20"/>
          <w:szCs w:val="20"/>
        </w:rPr>
        <w:t>降低项目</w:t>
      </w:r>
    </w:p>
    <w:p>
      <w:pPr>
        <w:numPr>
          <w:ilvl w:val="1"/>
          <w:numId w:val="2"/>
        </w:numPr>
        <w:tabs>
          <w:tab w:val="left" w:pos="842"/>
        </w:tabs>
        <w:spacing w:line="400" w:lineRule="exact"/>
        <w:rPr>
          <w:rFonts w:ascii="微软雅黑" w:hAnsi="微软雅黑" w:eastAsia="微软雅黑"/>
          <w:sz w:val="20"/>
          <w:szCs w:val="20"/>
        </w:rPr>
      </w:pPr>
      <w:r>
        <w:rPr>
          <w:rFonts w:hint="eastAsia" w:ascii="微软雅黑" w:hAnsi="微软雅黑" w:eastAsia="微软雅黑"/>
          <w:sz w:val="20"/>
          <w:szCs w:val="20"/>
        </w:rPr>
        <w:t>其它优化项目</w:t>
      </w:r>
    </w:p>
    <w:p>
      <w:pPr>
        <w:numPr>
          <w:ilvl w:val="0"/>
          <w:numId w:val="2"/>
        </w:numPr>
        <w:tabs>
          <w:tab w:val="left" w:pos="1262"/>
        </w:tabs>
        <w:spacing w:line="400" w:lineRule="exact"/>
        <w:rPr>
          <w:rFonts w:ascii="微软雅黑" w:hAnsi="微软雅黑" w:eastAsia="微软雅黑"/>
          <w:sz w:val="20"/>
          <w:szCs w:val="20"/>
        </w:rPr>
      </w:pPr>
      <w:r>
        <w:rPr>
          <w:rFonts w:hint="eastAsia" w:ascii="微软雅黑" w:hAnsi="微软雅黑" w:eastAsia="微软雅黑"/>
          <w:sz w:val="20"/>
          <w:szCs w:val="20"/>
        </w:rPr>
        <w:t>SG&amp;A</w:t>
      </w:r>
    </w:p>
    <w:p>
      <w:pPr>
        <w:numPr>
          <w:ilvl w:val="1"/>
          <w:numId w:val="2"/>
        </w:numPr>
        <w:tabs>
          <w:tab w:val="left" w:pos="842"/>
        </w:tabs>
        <w:spacing w:line="400" w:lineRule="exact"/>
        <w:rPr>
          <w:rFonts w:ascii="微软雅黑" w:hAnsi="微软雅黑" w:eastAsia="微软雅黑"/>
          <w:sz w:val="20"/>
          <w:szCs w:val="20"/>
        </w:rPr>
      </w:pPr>
      <w:r>
        <w:rPr>
          <w:rFonts w:hint="eastAsia" w:ascii="微软雅黑" w:hAnsi="微软雅黑" w:eastAsia="微软雅黑"/>
          <w:sz w:val="20"/>
          <w:szCs w:val="20"/>
        </w:rPr>
        <w:t>SG&amp;A包括什么？</w:t>
      </w:r>
    </w:p>
    <w:p>
      <w:pPr>
        <w:numPr>
          <w:ilvl w:val="1"/>
          <w:numId w:val="2"/>
        </w:numPr>
        <w:tabs>
          <w:tab w:val="left" w:pos="842"/>
        </w:tabs>
        <w:spacing w:line="400" w:lineRule="exact"/>
        <w:rPr>
          <w:rFonts w:ascii="微软雅黑" w:hAnsi="微软雅黑" w:eastAsia="微软雅黑"/>
          <w:sz w:val="20"/>
          <w:szCs w:val="20"/>
        </w:rPr>
      </w:pPr>
      <w:r>
        <w:rPr>
          <w:rFonts w:hint="eastAsia" w:ascii="微软雅黑" w:hAnsi="微软雅黑" w:eastAsia="微软雅黑"/>
          <w:sz w:val="20"/>
          <w:szCs w:val="20"/>
        </w:rPr>
        <w:t>成本对标</w:t>
      </w:r>
    </w:p>
    <w:p>
      <w:pPr>
        <w:numPr>
          <w:ilvl w:val="1"/>
          <w:numId w:val="2"/>
        </w:numPr>
        <w:tabs>
          <w:tab w:val="left" w:pos="842"/>
        </w:tabs>
        <w:spacing w:line="400" w:lineRule="exact"/>
        <w:rPr>
          <w:rFonts w:ascii="微软雅黑" w:hAnsi="微软雅黑" w:eastAsia="微软雅黑"/>
          <w:sz w:val="20"/>
          <w:szCs w:val="20"/>
        </w:rPr>
      </w:pPr>
      <w:r>
        <w:rPr>
          <w:rFonts w:hint="eastAsia" w:ascii="微软雅黑" w:hAnsi="微软雅黑" w:eastAsia="微软雅黑"/>
          <w:sz w:val="20"/>
          <w:szCs w:val="20"/>
        </w:rPr>
        <w:t>ABC成本分摊</w:t>
      </w:r>
    </w:p>
    <w:p>
      <w:pPr>
        <w:numPr>
          <w:ilvl w:val="1"/>
          <w:numId w:val="2"/>
        </w:numPr>
        <w:tabs>
          <w:tab w:val="left" w:pos="842"/>
        </w:tabs>
        <w:spacing w:line="400" w:lineRule="exact"/>
        <w:rPr>
          <w:rFonts w:ascii="微软雅黑" w:hAnsi="微软雅黑" w:eastAsia="微软雅黑"/>
          <w:sz w:val="20"/>
          <w:szCs w:val="20"/>
        </w:rPr>
      </w:pPr>
      <w:r>
        <w:rPr>
          <w:rFonts w:hint="eastAsia" w:ascii="微软雅黑" w:hAnsi="微软雅黑" w:eastAsia="微软雅黑"/>
          <w:sz w:val="20"/>
          <w:szCs w:val="20"/>
        </w:rPr>
        <w:t>供应商精益项目</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供应商定价策略</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付款条件对成本的影响</w:t>
      </w:r>
    </w:p>
    <w:p>
      <w:pPr>
        <w:spacing w:before="156" w:beforeLines="50" w:line="400" w:lineRule="exact"/>
        <w:rPr>
          <w:rFonts w:ascii="微软雅黑" w:hAnsi="微软雅黑" w:eastAsia="微软雅黑"/>
          <w:b/>
          <w:bCs/>
          <w:sz w:val="20"/>
          <w:szCs w:val="20"/>
        </w:rPr>
      </w:pPr>
      <w:r>
        <w:rPr>
          <w:rFonts w:hint="eastAsia" w:ascii="微软雅黑" w:hAnsi="微软雅黑" w:eastAsia="微软雅黑"/>
          <w:b/>
          <w:bCs/>
          <w:sz w:val="20"/>
          <w:szCs w:val="20"/>
        </w:rPr>
        <w:t>四、其它成本分析工具</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成本分析和价格分析</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总拥有成本(TAC与TCO)</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学习曲线（Learning Curve）</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损益平衡点（BEP）</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产品生命期成本（Lifecycle Costing）</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目标成本与应该成本 （T</w:t>
      </w:r>
      <w:r>
        <w:rPr>
          <w:rFonts w:ascii="微软雅黑" w:hAnsi="微软雅黑" w:eastAsia="微软雅黑"/>
          <w:sz w:val="20"/>
          <w:szCs w:val="20"/>
        </w:rPr>
        <w:t>arget Cost Vs</w:t>
      </w:r>
      <w:r>
        <w:rPr>
          <w:rFonts w:hint="eastAsia" w:ascii="微软雅黑" w:hAnsi="微软雅黑" w:eastAsia="微软雅黑"/>
          <w:sz w:val="20"/>
          <w:szCs w:val="20"/>
        </w:rPr>
        <w:t xml:space="preserve"> </w:t>
      </w:r>
      <w:r>
        <w:rPr>
          <w:rFonts w:ascii="微软雅黑" w:hAnsi="微软雅黑" w:eastAsia="微软雅黑"/>
          <w:sz w:val="20"/>
          <w:szCs w:val="20"/>
        </w:rPr>
        <w:t>S</w:t>
      </w:r>
      <w:r>
        <w:rPr>
          <w:rFonts w:hint="eastAsia" w:ascii="微软雅黑" w:hAnsi="微软雅黑" w:eastAsia="微软雅黑"/>
          <w:sz w:val="20"/>
          <w:szCs w:val="20"/>
        </w:rPr>
        <w:t xml:space="preserve">hould </w:t>
      </w:r>
      <w:r>
        <w:rPr>
          <w:rFonts w:ascii="微软雅黑" w:hAnsi="微软雅黑" w:eastAsia="微软雅黑"/>
          <w:sz w:val="20"/>
          <w:szCs w:val="20"/>
        </w:rPr>
        <w:t>C</w:t>
      </w:r>
      <w:r>
        <w:rPr>
          <w:rFonts w:hint="eastAsia" w:ascii="微软雅黑" w:hAnsi="微软雅黑" w:eastAsia="微软雅黑"/>
          <w:sz w:val="20"/>
          <w:szCs w:val="20"/>
        </w:rPr>
        <w:t>ost）</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回归分析</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价格折让分析</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对标约翰迪尔精益使用TCO在采购供应商、制造Vs外包决策上的应用</w:t>
      </w:r>
    </w:p>
    <w:p>
      <w:pPr>
        <w:spacing w:before="156" w:beforeLines="50" w:line="400" w:lineRule="exact"/>
        <w:rPr>
          <w:rFonts w:ascii="微软雅黑" w:hAnsi="微软雅黑" w:eastAsia="微软雅黑"/>
          <w:b/>
          <w:bCs/>
          <w:sz w:val="20"/>
          <w:szCs w:val="20"/>
        </w:rPr>
      </w:pPr>
      <w:r>
        <w:rPr>
          <w:rFonts w:hint="eastAsia" w:ascii="微软雅黑" w:hAnsi="微软雅黑" w:eastAsia="微软雅黑"/>
          <w:b/>
          <w:bCs/>
          <w:sz w:val="20"/>
          <w:szCs w:val="20"/>
        </w:rPr>
        <w:t>五、工厂预算</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预算是最好的精益抓手</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两种预算类型</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预算流程</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预算中的TOP</w:t>
      </w:r>
      <w:r>
        <w:rPr>
          <w:rFonts w:ascii="微软雅黑" w:hAnsi="微软雅黑" w:eastAsia="微软雅黑"/>
          <w:sz w:val="20"/>
          <w:szCs w:val="20"/>
        </w:rPr>
        <w:t xml:space="preserve"> Line</w:t>
      </w:r>
      <w:r>
        <w:rPr>
          <w:rFonts w:hint="eastAsia" w:ascii="微软雅黑" w:hAnsi="微软雅黑" w:eastAsia="微软雅黑"/>
          <w:sz w:val="20"/>
          <w:szCs w:val="20"/>
        </w:rPr>
        <w:t>和Bottom</w:t>
      </w:r>
      <w:r>
        <w:rPr>
          <w:rFonts w:ascii="微软雅黑" w:hAnsi="微软雅黑" w:eastAsia="微软雅黑"/>
          <w:sz w:val="20"/>
          <w:szCs w:val="20"/>
        </w:rPr>
        <w:t xml:space="preserve"> </w:t>
      </w:r>
      <w:r>
        <w:rPr>
          <w:rFonts w:hint="eastAsia" w:ascii="微软雅黑" w:hAnsi="微软雅黑" w:eastAsia="微软雅黑"/>
          <w:sz w:val="20"/>
          <w:szCs w:val="20"/>
        </w:rPr>
        <w:t>Line</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案例分析：我亲自领导了3年的工厂预算面临的挑战</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采购在预算中承诺的几个指标是什么？</w:t>
      </w:r>
    </w:p>
    <w:p>
      <w:pPr>
        <w:numPr>
          <w:ilvl w:val="0"/>
          <w:numId w:val="2"/>
        </w:numPr>
        <w:spacing w:line="400" w:lineRule="exact"/>
        <w:rPr>
          <w:rFonts w:ascii="微软雅黑" w:hAnsi="微软雅黑" w:eastAsia="微软雅黑"/>
          <w:sz w:val="20"/>
          <w:szCs w:val="20"/>
        </w:rPr>
      </w:pPr>
      <w:r>
        <w:rPr>
          <w:rFonts w:hint="eastAsia" w:ascii="微软雅黑" w:hAnsi="微软雅黑" w:eastAsia="微软雅黑"/>
          <w:sz w:val="20"/>
          <w:szCs w:val="20"/>
        </w:rPr>
        <w:t>采购在NPI项目固定资产投资管理</w:t>
      </w:r>
    </w:p>
    <w:p>
      <w:pPr>
        <w:numPr>
          <w:ilvl w:val="1"/>
          <w:numId w:val="2"/>
        </w:numPr>
        <w:tabs>
          <w:tab w:val="left" w:pos="842"/>
        </w:tabs>
        <w:spacing w:line="400" w:lineRule="exact"/>
        <w:rPr>
          <w:rFonts w:ascii="微软雅黑" w:hAnsi="微软雅黑" w:eastAsia="微软雅黑"/>
          <w:sz w:val="20"/>
          <w:szCs w:val="20"/>
        </w:rPr>
      </w:pPr>
      <w:r>
        <w:rPr>
          <w:rFonts w:hint="eastAsia" w:ascii="微软雅黑" w:hAnsi="微软雅黑" w:eastAsia="微软雅黑"/>
          <w:sz w:val="20"/>
          <w:szCs w:val="20"/>
        </w:rPr>
        <w:t>IRR、NPV、ROI分析</w:t>
      </w:r>
    </w:p>
    <w:p>
      <w:pPr>
        <w:spacing w:before="156" w:beforeLines="50" w:line="400" w:lineRule="exact"/>
        <w:rPr>
          <w:rFonts w:ascii="微软雅黑" w:hAnsi="微软雅黑" w:eastAsia="微软雅黑"/>
          <w:b/>
          <w:bCs/>
          <w:sz w:val="20"/>
          <w:szCs w:val="20"/>
        </w:rPr>
      </w:pPr>
      <w:r>
        <w:rPr>
          <w:rFonts w:hint="eastAsia" w:ascii="微软雅黑" w:hAnsi="微软雅黑" w:eastAsia="微软雅黑"/>
          <w:b/>
          <w:bCs/>
          <w:sz w:val="20"/>
          <w:szCs w:val="20"/>
        </w:rPr>
        <w:t>六、供应商评估财务分析</w:t>
      </w:r>
    </w:p>
    <w:p>
      <w:pPr>
        <w:numPr>
          <w:ilvl w:val="0"/>
          <w:numId w:val="3"/>
        </w:numPr>
        <w:spacing w:line="400" w:lineRule="exact"/>
        <w:rPr>
          <w:rFonts w:ascii="微软雅黑" w:hAnsi="微软雅黑" w:eastAsia="微软雅黑"/>
          <w:sz w:val="20"/>
          <w:szCs w:val="20"/>
        </w:rPr>
      </w:pPr>
      <w:r>
        <w:rPr>
          <w:rFonts w:hint="eastAsia" w:ascii="微软雅黑" w:hAnsi="微软雅黑" w:eastAsia="微软雅黑"/>
          <w:sz w:val="20"/>
          <w:szCs w:val="20"/>
        </w:rPr>
        <w:t>供应商财务部门配置</w:t>
      </w:r>
    </w:p>
    <w:p>
      <w:pPr>
        <w:numPr>
          <w:ilvl w:val="0"/>
          <w:numId w:val="3"/>
        </w:numPr>
        <w:spacing w:line="400" w:lineRule="exact"/>
        <w:rPr>
          <w:rFonts w:ascii="微软雅黑" w:hAnsi="微软雅黑" w:eastAsia="微软雅黑"/>
          <w:sz w:val="20"/>
          <w:szCs w:val="20"/>
        </w:rPr>
      </w:pPr>
      <w:r>
        <w:rPr>
          <w:rFonts w:hint="eastAsia" w:ascii="微软雅黑" w:hAnsi="微软雅黑" w:eastAsia="微软雅黑"/>
          <w:sz w:val="20"/>
          <w:szCs w:val="20"/>
        </w:rPr>
        <w:t>供应商预算管理</w:t>
      </w:r>
    </w:p>
    <w:p>
      <w:pPr>
        <w:numPr>
          <w:ilvl w:val="0"/>
          <w:numId w:val="3"/>
        </w:numPr>
        <w:spacing w:line="400" w:lineRule="exact"/>
        <w:rPr>
          <w:rFonts w:ascii="微软雅黑" w:hAnsi="微软雅黑" w:eastAsia="微软雅黑"/>
          <w:sz w:val="20"/>
          <w:szCs w:val="20"/>
        </w:rPr>
      </w:pPr>
      <w:r>
        <w:rPr>
          <w:rFonts w:hint="eastAsia" w:ascii="微软雅黑" w:hAnsi="微软雅黑" w:eastAsia="微软雅黑"/>
          <w:sz w:val="20"/>
          <w:szCs w:val="20"/>
        </w:rPr>
        <w:t>财务是否参与到精益改善中</w:t>
      </w:r>
    </w:p>
    <w:p>
      <w:pPr>
        <w:numPr>
          <w:ilvl w:val="0"/>
          <w:numId w:val="3"/>
        </w:numPr>
        <w:spacing w:line="400" w:lineRule="exact"/>
        <w:rPr>
          <w:rFonts w:ascii="微软雅黑" w:hAnsi="微软雅黑" w:eastAsia="微软雅黑"/>
          <w:sz w:val="20"/>
          <w:szCs w:val="20"/>
        </w:rPr>
      </w:pPr>
      <w:r>
        <w:rPr>
          <w:rFonts w:hint="eastAsia" w:ascii="微软雅黑" w:hAnsi="微软雅黑" w:eastAsia="微软雅黑"/>
          <w:sz w:val="20"/>
          <w:szCs w:val="20"/>
        </w:rPr>
        <w:t>三个财务报表的构成</w:t>
      </w:r>
    </w:p>
    <w:p>
      <w:pPr>
        <w:numPr>
          <w:ilvl w:val="0"/>
          <w:numId w:val="3"/>
        </w:numPr>
        <w:spacing w:line="400" w:lineRule="exact"/>
        <w:rPr>
          <w:rFonts w:ascii="微软雅黑" w:hAnsi="微软雅黑" w:eastAsia="微软雅黑"/>
          <w:sz w:val="20"/>
          <w:szCs w:val="20"/>
        </w:rPr>
      </w:pPr>
      <w:r>
        <w:rPr>
          <w:rFonts w:hint="eastAsia" w:ascii="微软雅黑" w:hAnsi="微软雅黑" w:eastAsia="微软雅黑"/>
          <w:sz w:val="20"/>
          <w:szCs w:val="20"/>
        </w:rPr>
        <w:t>财务报表分析指标</w:t>
      </w:r>
    </w:p>
    <w:p>
      <w:pPr>
        <w:numPr>
          <w:ilvl w:val="1"/>
          <w:numId w:val="4"/>
        </w:numPr>
        <w:spacing w:line="400" w:lineRule="exact"/>
        <w:rPr>
          <w:rFonts w:ascii="微软雅黑" w:hAnsi="微软雅黑" w:eastAsia="微软雅黑"/>
          <w:sz w:val="20"/>
          <w:szCs w:val="20"/>
        </w:rPr>
      </w:pPr>
      <w:r>
        <w:rPr>
          <w:rFonts w:hint="eastAsia" w:ascii="微软雅黑" w:hAnsi="微软雅黑" w:eastAsia="微软雅黑"/>
          <w:sz w:val="20"/>
          <w:szCs w:val="20"/>
        </w:rPr>
        <w:t>盈利能力分析</w:t>
      </w:r>
    </w:p>
    <w:p>
      <w:pPr>
        <w:numPr>
          <w:ilvl w:val="1"/>
          <w:numId w:val="4"/>
        </w:numPr>
        <w:spacing w:line="400" w:lineRule="exact"/>
        <w:rPr>
          <w:rFonts w:ascii="微软雅黑" w:hAnsi="微软雅黑" w:eastAsia="微软雅黑"/>
          <w:sz w:val="20"/>
          <w:szCs w:val="20"/>
        </w:rPr>
      </w:pPr>
      <w:r>
        <w:rPr>
          <w:rFonts w:hint="eastAsia" w:ascii="微软雅黑" w:hAnsi="微软雅黑" w:eastAsia="微软雅黑"/>
          <w:sz w:val="20"/>
          <w:szCs w:val="20"/>
        </w:rPr>
        <w:t>ROE分析</w:t>
      </w:r>
    </w:p>
    <w:p>
      <w:pPr>
        <w:numPr>
          <w:ilvl w:val="1"/>
          <w:numId w:val="4"/>
        </w:numPr>
        <w:spacing w:line="400" w:lineRule="exact"/>
        <w:rPr>
          <w:rFonts w:ascii="微软雅黑" w:hAnsi="微软雅黑" w:eastAsia="微软雅黑"/>
          <w:sz w:val="20"/>
          <w:szCs w:val="20"/>
        </w:rPr>
      </w:pPr>
      <w:r>
        <w:rPr>
          <w:rFonts w:hint="eastAsia" w:ascii="微软雅黑" w:hAnsi="微软雅黑" w:eastAsia="微软雅黑"/>
          <w:sz w:val="20"/>
          <w:szCs w:val="20"/>
        </w:rPr>
        <w:t>资产负债分析</w:t>
      </w:r>
    </w:p>
    <w:p>
      <w:pPr>
        <w:numPr>
          <w:ilvl w:val="1"/>
          <w:numId w:val="4"/>
        </w:numPr>
        <w:spacing w:line="400" w:lineRule="exact"/>
        <w:rPr>
          <w:rFonts w:ascii="微软雅黑" w:hAnsi="微软雅黑" w:eastAsia="微软雅黑"/>
          <w:sz w:val="20"/>
          <w:szCs w:val="20"/>
        </w:rPr>
      </w:pPr>
      <w:r>
        <w:rPr>
          <w:rFonts w:hint="eastAsia" w:ascii="微软雅黑" w:hAnsi="微软雅黑" w:eastAsia="微软雅黑"/>
          <w:sz w:val="20"/>
          <w:szCs w:val="20"/>
        </w:rPr>
        <w:t>流动性分析</w:t>
      </w:r>
    </w:p>
    <w:p>
      <w:pPr>
        <w:numPr>
          <w:ilvl w:val="1"/>
          <w:numId w:val="4"/>
        </w:numPr>
        <w:spacing w:line="400" w:lineRule="exact"/>
        <w:rPr>
          <w:rFonts w:ascii="微软雅黑" w:hAnsi="微软雅黑" w:eastAsia="微软雅黑"/>
          <w:sz w:val="20"/>
          <w:szCs w:val="20"/>
        </w:rPr>
      </w:pPr>
      <w:r>
        <w:rPr>
          <w:rFonts w:hint="eastAsia" w:ascii="微软雅黑" w:hAnsi="微软雅黑" w:eastAsia="微软雅黑"/>
          <w:sz w:val="20"/>
          <w:szCs w:val="20"/>
        </w:rPr>
        <w:t>投资回报分析</w:t>
      </w:r>
    </w:p>
    <w:p>
      <w:pPr>
        <w:numPr>
          <w:ilvl w:val="1"/>
          <w:numId w:val="4"/>
        </w:numPr>
        <w:spacing w:line="400" w:lineRule="exact"/>
        <w:rPr>
          <w:rFonts w:ascii="微软雅黑" w:hAnsi="微软雅黑" w:eastAsia="微软雅黑"/>
          <w:sz w:val="20"/>
          <w:szCs w:val="20"/>
        </w:rPr>
      </w:pPr>
      <w:r>
        <w:rPr>
          <w:rFonts w:hint="eastAsia" w:ascii="微软雅黑" w:hAnsi="微软雅黑" w:eastAsia="微软雅黑"/>
          <w:sz w:val="20"/>
          <w:szCs w:val="20"/>
        </w:rPr>
        <w:t>业务构成分析</w:t>
      </w:r>
    </w:p>
    <w:p>
      <w:pPr>
        <w:numPr>
          <w:ilvl w:val="0"/>
          <w:numId w:val="4"/>
        </w:numPr>
        <w:tabs>
          <w:tab w:val="left" w:pos="1262"/>
        </w:tabs>
        <w:spacing w:line="400" w:lineRule="exact"/>
        <w:rPr>
          <w:rFonts w:ascii="微软雅黑" w:hAnsi="微软雅黑" w:eastAsia="微软雅黑"/>
          <w:sz w:val="20"/>
          <w:szCs w:val="20"/>
        </w:rPr>
      </w:pPr>
      <w:r>
        <w:rPr>
          <w:rFonts w:hint="eastAsia" w:ascii="微软雅黑" w:hAnsi="微软雅黑" w:eastAsia="微软雅黑"/>
          <w:sz w:val="20"/>
          <w:szCs w:val="20"/>
        </w:rPr>
        <w:t>供应商风险管理</w:t>
      </w:r>
    </w:p>
    <w:p>
      <w:pPr>
        <w:numPr>
          <w:ilvl w:val="1"/>
          <w:numId w:val="4"/>
        </w:numPr>
        <w:spacing w:line="400" w:lineRule="exact"/>
        <w:rPr>
          <w:rFonts w:ascii="微软雅黑" w:hAnsi="微软雅黑" w:eastAsia="微软雅黑"/>
          <w:sz w:val="20"/>
          <w:szCs w:val="20"/>
        </w:rPr>
      </w:pPr>
      <w:r>
        <w:rPr>
          <w:rFonts w:hint="eastAsia" w:ascii="微软雅黑" w:hAnsi="微软雅黑" w:eastAsia="微软雅黑"/>
          <w:sz w:val="20"/>
          <w:szCs w:val="20"/>
        </w:rPr>
        <w:t>供应商风险管理维度</w:t>
      </w:r>
    </w:p>
    <w:p>
      <w:pPr>
        <w:numPr>
          <w:ilvl w:val="1"/>
          <w:numId w:val="4"/>
        </w:numPr>
        <w:spacing w:line="400" w:lineRule="exact"/>
        <w:rPr>
          <w:rFonts w:ascii="微软雅黑" w:hAnsi="微软雅黑" w:eastAsia="微软雅黑"/>
          <w:sz w:val="20"/>
          <w:szCs w:val="20"/>
        </w:rPr>
      </w:pPr>
      <w:r>
        <w:rPr>
          <w:rFonts w:hint="eastAsia" w:ascii="微软雅黑" w:hAnsi="微软雅黑" w:eastAsia="微软雅黑"/>
          <w:sz w:val="20"/>
          <w:szCs w:val="20"/>
        </w:rPr>
        <w:t>对标约翰迪尔的供应商财务风险分析</w:t>
      </w:r>
    </w:p>
    <w:p>
      <w:pPr>
        <w:numPr>
          <w:ilvl w:val="1"/>
          <w:numId w:val="4"/>
        </w:numPr>
        <w:spacing w:line="400" w:lineRule="exact"/>
        <w:rPr>
          <w:rFonts w:ascii="微软雅黑" w:hAnsi="微软雅黑" w:eastAsia="微软雅黑"/>
          <w:sz w:val="20"/>
          <w:szCs w:val="20"/>
        </w:rPr>
      </w:pPr>
      <w:r>
        <w:rPr>
          <w:rFonts w:hint="eastAsia" w:ascii="微软雅黑" w:hAnsi="微软雅黑" w:eastAsia="微软雅黑"/>
          <w:sz w:val="20"/>
          <w:szCs w:val="20"/>
        </w:rPr>
        <w:t>BCP</w:t>
      </w:r>
    </w:p>
    <w:p>
      <w:pPr>
        <w:spacing w:before="156" w:beforeLines="50" w:line="400" w:lineRule="exact"/>
        <w:rPr>
          <w:rFonts w:ascii="微软雅黑" w:hAnsi="微软雅黑" w:eastAsia="微软雅黑"/>
          <w:b/>
          <w:bCs/>
          <w:sz w:val="20"/>
          <w:szCs w:val="20"/>
        </w:rPr>
      </w:pPr>
      <w:r>
        <w:rPr>
          <w:rFonts w:hint="eastAsia" w:ascii="微软雅黑" w:hAnsi="微软雅黑" w:eastAsia="微软雅黑"/>
          <w:b/>
          <w:bCs/>
          <w:sz w:val="20"/>
          <w:szCs w:val="20"/>
        </w:rPr>
        <w:t>七、运用财务杠杆策略</w:t>
      </w:r>
    </w:p>
    <w:p>
      <w:pPr>
        <w:numPr>
          <w:ilvl w:val="0"/>
          <w:numId w:val="5"/>
        </w:numPr>
        <w:spacing w:line="400" w:lineRule="exact"/>
        <w:rPr>
          <w:rFonts w:ascii="微软雅黑" w:hAnsi="微软雅黑" w:eastAsia="微软雅黑"/>
          <w:sz w:val="20"/>
          <w:szCs w:val="20"/>
        </w:rPr>
      </w:pPr>
      <w:r>
        <w:rPr>
          <w:rFonts w:hint="eastAsia" w:ascii="微软雅黑" w:hAnsi="微软雅黑" w:eastAsia="微软雅黑"/>
          <w:sz w:val="20"/>
          <w:szCs w:val="20"/>
        </w:rPr>
        <w:t>集中采购的类型</w:t>
      </w:r>
    </w:p>
    <w:p>
      <w:pPr>
        <w:numPr>
          <w:ilvl w:val="0"/>
          <w:numId w:val="5"/>
        </w:numPr>
        <w:spacing w:line="400" w:lineRule="exact"/>
        <w:rPr>
          <w:rFonts w:ascii="微软雅黑" w:hAnsi="微软雅黑" w:eastAsia="微软雅黑"/>
          <w:sz w:val="20"/>
          <w:szCs w:val="20"/>
        </w:rPr>
      </w:pPr>
      <w:r>
        <w:rPr>
          <w:rFonts w:hint="eastAsia" w:ascii="微软雅黑" w:hAnsi="微软雅黑" w:eastAsia="微软雅黑"/>
          <w:sz w:val="20"/>
          <w:szCs w:val="20"/>
        </w:rPr>
        <w:t>构建集中采购流程</w:t>
      </w:r>
    </w:p>
    <w:p>
      <w:pPr>
        <w:numPr>
          <w:ilvl w:val="0"/>
          <w:numId w:val="5"/>
        </w:numPr>
        <w:spacing w:line="400" w:lineRule="exact"/>
        <w:rPr>
          <w:rFonts w:ascii="微软雅黑" w:hAnsi="微软雅黑" w:eastAsia="微软雅黑"/>
          <w:sz w:val="20"/>
          <w:szCs w:val="20"/>
        </w:rPr>
      </w:pPr>
      <w:r>
        <w:rPr>
          <w:rFonts w:hint="eastAsia" w:ascii="微软雅黑" w:hAnsi="微软雅黑" w:eastAsia="微软雅黑"/>
          <w:sz w:val="20"/>
          <w:szCs w:val="20"/>
        </w:rPr>
        <w:t>租赁与购买决策的要素</w:t>
      </w:r>
    </w:p>
    <w:p>
      <w:pPr>
        <w:spacing w:before="156" w:beforeLines="50" w:line="400" w:lineRule="exact"/>
        <w:rPr>
          <w:rFonts w:ascii="微软雅黑" w:hAnsi="微软雅黑" w:eastAsia="微软雅黑"/>
          <w:b/>
          <w:color w:val="0070C0"/>
          <w:sz w:val="20"/>
          <w:szCs w:val="20"/>
        </w:rPr>
      </w:pPr>
      <w:r>
        <w:rPr>
          <w:rFonts w:ascii="微软雅黑" w:hAnsi="微软雅黑" w:eastAsia="微软雅黑"/>
          <w:b/>
          <w:color w:val="0070C0"/>
          <w:sz w:val="20"/>
          <w:szCs w:val="20"/>
        </w:rPr>
        <w:t>讲师介绍：</w:t>
      </w:r>
    </w:p>
    <w:p>
      <w:pPr>
        <w:pStyle w:val="7"/>
        <w:shd w:val="clear" w:color="auto" w:fill="FFFFFF"/>
        <w:spacing w:line="400" w:lineRule="exact"/>
        <w:jc w:val="left"/>
        <w:rPr>
          <w:rFonts w:ascii="微软雅黑" w:hAnsi="微软雅黑" w:eastAsia="微软雅黑"/>
          <w:b/>
          <w:bCs/>
          <w:sz w:val="20"/>
          <w:szCs w:val="20"/>
        </w:rPr>
      </w:pPr>
      <w:r>
        <w:rPr>
          <w:rFonts w:hint="eastAsia" w:ascii="微软雅黑" w:hAnsi="微软雅黑" w:eastAsia="微软雅黑"/>
          <w:b/>
          <w:bCs/>
          <w:sz w:val="20"/>
          <w:szCs w:val="20"/>
        </w:rPr>
        <w:t>王老师</w:t>
      </w:r>
    </w:p>
    <w:p>
      <w:pPr>
        <w:pStyle w:val="7"/>
        <w:shd w:val="clear" w:color="auto" w:fill="FFFFFF"/>
        <w:spacing w:line="420" w:lineRule="exact"/>
        <w:jc w:val="lef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中国物流采购联合会专家委员会委员</w:t>
      </w:r>
    </w:p>
    <w:p>
      <w:pPr>
        <w:pStyle w:val="7"/>
        <w:shd w:val="clear" w:color="auto" w:fill="FFFFFF"/>
        <w:spacing w:line="420" w:lineRule="exact"/>
        <w:jc w:val="lef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中国供应链SCMP教材《供应链计划》编写组长和作者</w:t>
      </w:r>
    </w:p>
    <w:p>
      <w:pPr>
        <w:pStyle w:val="7"/>
        <w:shd w:val="clear" w:color="auto" w:fill="FFFFFF"/>
        <w:spacing w:line="420" w:lineRule="exact"/>
        <w:jc w:val="lef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荣获约翰迪尔集团全球“精益审核金牌”</w:t>
      </w:r>
    </w:p>
    <w:p>
      <w:pPr>
        <w:pStyle w:val="7"/>
        <w:shd w:val="clear" w:color="auto" w:fill="FFFFFF"/>
        <w:spacing w:line="420" w:lineRule="exact"/>
        <w:jc w:val="lef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荣获DDI领导力导师认证、美国供应管理CPSM认证、美国供应链CPIM认证</w:t>
      </w:r>
    </w:p>
    <w:p>
      <w:pPr>
        <w:pStyle w:val="7"/>
        <w:shd w:val="clear" w:color="auto" w:fill="FFFFFF"/>
        <w:spacing w:line="420" w:lineRule="exact"/>
        <w:jc w:val="left"/>
        <w:rPr>
          <w:rFonts w:ascii="微软雅黑" w:hAnsi="微软雅黑" w:eastAsia="微软雅黑" w:cs="宋体"/>
          <w:b/>
          <w:kern w:val="0"/>
          <w:sz w:val="20"/>
          <w:szCs w:val="20"/>
        </w:rPr>
      </w:pPr>
      <w:r>
        <w:rPr>
          <w:rFonts w:hint="eastAsia" w:ascii="微软雅黑" w:hAnsi="微软雅黑" w:eastAsia="微软雅黑" w:cs="宋体"/>
          <w:b/>
          <w:kern w:val="0"/>
          <w:sz w:val="20"/>
          <w:szCs w:val="20"/>
        </w:rPr>
        <w:t>工作背景</w:t>
      </w:r>
    </w:p>
    <w:p>
      <w:pPr>
        <w:pStyle w:val="7"/>
        <w:shd w:val="clear" w:color="auto" w:fill="FFFFFF"/>
        <w:spacing w:line="420" w:lineRule="exact"/>
        <w:jc w:val="lef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曾任约翰迪尔与天津拖拉机合资公司副总经理，主管供应链管理，包括生产计划和供应管理、进站及内部和出站的物流管理。管理100名下属，年采购额15亿人民币，拖拉机生产1.5万台。曾荣获公司供应链管理领域全球精益审核金牌。</w:t>
      </w:r>
    </w:p>
    <w:p>
      <w:pPr>
        <w:pStyle w:val="7"/>
        <w:shd w:val="clear" w:color="auto" w:fill="FFFFFF"/>
        <w:spacing w:line="420" w:lineRule="exact"/>
        <w:jc w:val="lef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曾任约翰迪尔中国区供应管理高级经理，领导并成功整合约翰迪尔在中国区6家主机厂的采购、物流和供应链工作。管理300名下属，年采购额60亿人民币。</w:t>
      </w:r>
    </w:p>
    <w:p>
      <w:pPr>
        <w:pStyle w:val="7"/>
        <w:shd w:val="clear" w:color="auto" w:fill="FFFFFF"/>
        <w:spacing w:line="420" w:lineRule="exact"/>
        <w:jc w:val="lef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曾任爱科农业工厂高级运营经理，负责工厂预算编制、精益运营等全面管理。</w:t>
      </w:r>
    </w:p>
    <w:p>
      <w:pPr>
        <w:pStyle w:val="7"/>
        <w:shd w:val="clear" w:color="auto" w:fill="FFFFFF"/>
        <w:spacing w:line="420" w:lineRule="exact"/>
        <w:jc w:val="lef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荣获全球DDI领导力教练认证，担任约翰迪尔中国区、爱科农业中国区内部领导力教练</w:t>
      </w:r>
    </w:p>
    <w:p>
      <w:pPr>
        <w:pStyle w:val="7"/>
        <w:shd w:val="clear" w:color="auto" w:fill="FFFFFF"/>
        <w:spacing w:line="420" w:lineRule="exact"/>
        <w:jc w:val="left"/>
        <w:rPr>
          <w:rFonts w:ascii="微软雅黑" w:hAnsi="微软雅黑" w:eastAsia="微软雅黑" w:cs="宋体"/>
          <w:b/>
          <w:kern w:val="0"/>
          <w:sz w:val="20"/>
          <w:szCs w:val="20"/>
        </w:rPr>
      </w:pPr>
      <w:r>
        <w:rPr>
          <w:rFonts w:hint="eastAsia" w:ascii="微软雅黑" w:hAnsi="微软雅黑" w:eastAsia="微软雅黑" w:cs="宋体"/>
          <w:b/>
          <w:kern w:val="0"/>
          <w:sz w:val="20"/>
          <w:szCs w:val="20"/>
        </w:rPr>
        <w:t>工作绩效</w:t>
      </w:r>
    </w:p>
    <w:p>
      <w:pPr>
        <w:pStyle w:val="7"/>
        <w:shd w:val="clear" w:color="auto" w:fill="FFFFFF"/>
        <w:spacing w:line="420" w:lineRule="exact"/>
        <w:jc w:val="lef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约翰迪尔天津拖拉机公司全球精益生产审核获得金牌</w:t>
      </w:r>
    </w:p>
    <w:p>
      <w:pPr>
        <w:pStyle w:val="7"/>
        <w:shd w:val="clear" w:color="auto" w:fill="FFFFFF"/>
        <w:spacing w:line="420" w:lineRule="exact"/>
        <w:jc w:val="lef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作为工厂副总经理，分管顾客订单管理、供应管理、生产计划、物流和工厂设备预防维护模块的迎审，获总部精益生产评审金牌，是工厂精益生产的重要领导者之一</w:t>
      </w:r>
    </w:p>
    <w:p>
      <w:pPr>
        <w:pStyle w:val="7"/>
        <w:shd w:val="clear" w:color="auto" w:fill="FFFFFF"/>
        <w:spacing w:line="420" w:lineRule="exact"/>
        <w:jc w:val="lef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约翰迪尔中国供应组织整合、标准流程和系统建设作为中国区供应管理团队整合的主要策划和领导者，兼顾工厂和供应团队的意见和期望，成功整合了6家主机厂供应管理机构、建立了中国区供应管理流程、指标系统、批准系统；整合后的6家主机厂供应集中向我本人汇报；代表中国区工厂参加迪尔全球战略规划、代表工厂供应管理参加各工厂的年度战略规划，做到供应支持工厂战略的实现、中国供应管理支持全球供应战略、负责各工厂供应管理预算；是中国区推广价值工程全方位结构化降低成本的启动者，多年年连续兼任约翰迪尔中国区成本优化负责人；在生产和制造、内存还是第三方仓储开展了多个有大有收益的项目，积累了丰富的经验；领导中国区供应商精益和持续改善做了大量系统化的尝试</w:t>
      </w:r>
    </w:p>
    <w:p>
      <w:pPr>
        <w:pStyle w:val="7"/>
        <w:shd w:val="clear" w:color="auto" w:fill="FFFFFF"/>
        <w:spacing w:line="420" w:lineRule="exact"/>
        <w:jc w:val="left"/>
        <w:rPr>
          <w:rFonts w:ascii="微软雅黑" w:hAnsi="微软雅黑" w:eastAsia="微软雅黑" w:cs="宋体"/>
          <w:bCs/>
          <w:kern w:val="0"/>
          <w:sz w:val="20"/>
          <w:szCs w:val="20"/>
        </w:rPr>
      </w:pPr>
    </w:p>
    <w:p>
      <w:pPr>
        <w:pStyle w:val="7"/>
        <w:shd w:val="clear" w:color="auto" w:fill="FFFFFF"/>
        <w:spacing w:line="420" w:lineRule="exact"/>
        <w:jc w:val="lef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爱科农业的5年间的转变5年内和整个团队把一个民营企业融入到爱科全球预算和月度指标跟踪系统；作为工厂运营第一负责人，实实在在通过把物料流、信息流、标准化、目视化、质量管理、设备管理、策略一致性、精益办公等要术的深度实施，把工厂提升到和爱科全球最先进的法国拖拉机工厂同等的精益管理水平</w:t>
      </w:r>
    </w:p>
    <w:p>
      <w:pPr>
        <w:tabs>
          <w:tab w:val="left" w:pos="720"/>
        </w:tabs>
        <w:spacing w:line="480" w:lineRule="exact"/>
        <w:rPr>
          <w:rFonts w:eastAsia="微软雅黑"/>
          <w:szCs w:val="21"/>
        </w:rPr>
      </w:pPr>
    </w:p>
    <w:sectPr>
      <w:headerReference r:id="rId3" w:type="default"/>
      <w:pgSz w:w="11906" w:h="16838"/>
      <w:pgMar w:top="1535" w:right="1134" w:bottom="1134" w:left="1134"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D7443"/>
    <w:multiLevelType w:val="multilevel"/>
    <w:tmpl w:val="06ED7443"/>
    <w:lvl w:ilvl="0" w:tentative="0">
      <w:start w:val="1"/>
      <w:numFmt w:val="bullet"/>
      <w:lvlText w:val=""/>
      <w:lvlJc w:val="left"/>
      <w:pPr>
        <w:tabs>
          <w:tab w:val="left" w:pos="842"/>
        </w:tabs>
        <w:ind w:left="842" w:hanging="420"/>
      </w:pPr>
      <w:rPr>
        <w:rFonts w:hint="default" w:ascii="Wingdings" w:hAnsi="Wingdings"/>
      </w:rPr>
    </w:lvl>
    <w:lvl w:ilvl="1" w:tentative="0">
      <w:start w:val="1"/>
      <w:numFmt w:val="lowerLetter"/>
      <w:lvlText w:val="%2)"/>
      <w:lvlJc w:val="left"/>
      <w:pPr>
        <w:tabs>
          <w:tab w:val="left" w:pos="1262"/>
        </w:tabs>
        <w:ind w:left="1262" w:hanging="420"/>
      </w:pPr>
      <w:rPr>
        <w:rFonts w:hint="default"/>
      </w:rPr>
    </w:lvl>
    <w:lvl w:ilvl="2" w:tentative="0">
      <w:start w:val="1"/>
      <w:numFmt w:val="bullet"/>
      <w:lvlText w:val=""/>
      <w:lvlJc w:val="left"/>
      <w:pPr>
        <w:tabs>
          <w:tab w:val="left" w:pos="1682"/>
        </w:tabs>
        <w:ind w:left="1682" w:hanging="420"/>
      </w:pPr>
      <w:rPr>
        <w:rFonts w:hint="default" w:ascii="Wingdings" w:hAnsi="Wingdings"/>
      </w:rPr>
    </w:lvl>
    <w:lvl w:ilvl="3" w:tentative="0">
      <w:start w:val="1"/>
      <w:numFmt w:val="bullet"/>
      <w:lvlText w:val=""/>
      <w:lvlJc w:val="left"/>
      <w:pPr>
        <w:tabs>
          <w:tab w:val="left" w:pos="2102"/>
        </w:tabs>
        <w:ind w:left="2102" w:hanging="420"/>
      </w:pPr>
      <w:rPr>
        <w:rFonts w:hint="default" w:ascii="Wingdings" w:hAnsi="Wingdings"/>
      </w:rPr>
    </w:lvl>
    <w:lvl w:ilvl="4" w:tentative="0">
      <w:start w:val="1"/>
      <w:numFmt w:val="bullet"/>
      <w:lvlText w:val=""/>
      <w:lvlJc w:val="left"/>
      <w:pPr>
        <w:tabs>
          <w:tab w:val="left" w:pos="2522"/>
        </w:tabs>
        <w:ind w:left="2522" w:hanging="420"/>
      </w:pPr>
      <w:rPr>
        <w:rFonts w:hint="default" w:ascii="Wingdings" w:hAnsi="Wingdings"/>
      </w:rPr>
    </w:lvl>
    <w:lvl w:ilvl="5" w:tentative="0">
      <w:start w:val="1"/>
      <w:numFmt w:val="bullet"/>
      <w:lvlText w:val=""/>
      <w:lvlJc w:val="left"/>
      <w:pPr>
        <w:tabs>
          <w:tab w:val="left" w:pos="2942"/>
        </w:tabs>
        <w:ind w:left="2942" w:hanging="420"/>
      </w:pPr>
      <w:rPr>
        <w:rFonts w:hint="default" w:ascii="Wingdings" w:hAnsi="Wingdings"/>
      </w:rPr>
    </w:lvl>
    <w:lvl w:ilvl="6" w:tentative="0">
      <w:start w:val="1"/>
      <w:numFmt w:val="bullet"/>
      <w:lvlText w:val=""/>
      <w:lvlJc w:val="left"/>
      <w:pPr>
        <w:tabs>
          <w:tab w:val="left" w:pos="3362"/>
        </w:tabs>
        <w:ind w:left="3362" w:hanging="420"/>
      </w:pPr>
      <w:rPr>
        <w:rFonts w:hint="default" w:ascii="Wingdings" w:hAnsi="Wingdings"/>
      </w:rPr>
    </w:lvl>
    <w:lvl w:ilvl="7" w:tentative="0">
      <w:start w:val="1"/>
      <w:numFmt w:val="bullet"/>
      <w:lvlText w:val=""/>
      <w:lvlJc w:val="left"/>
      <w:pPr>
        <w:tabs>
          <w:tab w:val="left" w:pos="3782"/>
        </w:tabs>
        <w:ind w:left="3782" w:hanging="420"/>
      </w:pPr>
      <w:rPr>
        <w:rFonts w:hint="default" w:ascii="Wingdings" w:hAnsi="Wingdings"/>
      </w:rPr>
    </w:lvl>
    <w:lvl w:ilvl="8" w:tentative="0">
      <w:start w:val="1"/>
      <w:numFmt w:val="bullet"/>
      <w:lvlText w:val=""/>
      <w:lvlJc w:val="left"/>
      <w:pPr>
        <w:tabs>
          <w:tab w:val="left" w:pos="4202"/>
        </w:tabs>
        <w:ind w:left="4202" w:hanging="420"/>
      </w:pPr>
      <w:rPr>
        <w:rFonts w:hint="default" w:ascii="Wingdings" w:hAnsi="Wingdings"/>
      </w:rPr>
    </w:lvl>
  </w:abstractNum>
  <w:abstractNum w:abstractNumId="1">
    <w:nsid w:val="39953B0C"/>
    <w:multiLevelType w:val="multilevel"/>
    <w:tmpl w:val="39953B0C"/>
    <w:lvl w:ilvl="0" w:tentative="0">
      <w:start w:val="1"/>
      <w:numFmt w:val="bullet"/>
      <w:lvlText w:val=""/>
      <w:lvlJc w:val="left"/>
      <w:pPr>
        <w:tabs>
          <w:tab w:val="left" w:pos="842"/>
        </w:tabs>
        <w:ind w:left="842" w:hanging="420"/>
      </w:pPr>
      <w:rPr>
        <w:rFonts w:hint="default" w:ascii="Wingdings" w:hAnsi="Wingdings"/>
      </w:rPr>
    </w:lvl>
    <w:lvl w:ilvl="1" w:tentative="0">
      <w:start w:val="1"/>
      <w:numFmt w:val="lowerLetter"/>
      <w:lvlText w:val="%2)"/>
      <w:lvlJc w:val="left"/>
      <w:pPr>
        <w:tabs>
          <w:tab w:val="left" w:pos="1262"/>
        </w:tabs>
        <w:ind w:left="1262" w:hanging="420"/>
      </w:pPr>
      <w:rPr>
        <w:rFonts w:hint="default"/>
      </w:rPr>
    </w:lvl>
    <w:lvl w:ilvl="2" w:tentative="0">
      <w:start w:val="1"/>
      <w:numFmt w:val="bullet"/>
      <w:lvlText w:val=""/>
      <w:lvlJc w:val="left"/>
      <w:pPr>
        <w:tabs>
          <w:tab w:val="left" w:pos="1682"/>
        </w:tabs>
        <w:ind w:left="1682" w:hanging="420"/>
      </w:pPr>
      <w:rPr>
        <w:rFonts w:hint="default" w:ascii="Wingdings" w:hAnsi="Wingdings"/>
      </w:rPr>
    </w:lvl>
    <w:lvl w:ilvl="3" w:tentative="0">
      <w:start w:val="1"/>
      <w:numFmt w:val="bullet"/>
      <w:lvlText w:val=""/>
      <w:lvlJc w:val="left"/>
      <w:pPr>
        <w:tabs>
          <w:tab w:val="left" w:pos="2102"/>
        </w:tabs>
        <w:ind w:left="2102" w:hanging="420"/>
      </w:pPr>
      <w:rPr>
        <w:rFonts w:hint="default" w:ascii="Wingdings" w:hAnsi="Wingdings"/>
      </w:rPr>
    </w:lvl>
    <w:lvl w:ilvl="4" w:tentative="0">
      <w:start w:val="1"/>
      <w:numFmt w:val="bullet"/>
      <w:lvlText w:val=""/>
      <w:lvlJc w:val="left"/>
      <w:pPr>
        <w:tabs>
          <w:tab w:val="left" w:pos="2522"/>
        </w:tabs>
        <w:ind w:left="2522" w:hanging="420"/>
      </w:pPr>
      <w:rPr>
        <w:rFonts w:hint="default" w:ascii="Wingdings" w:hAnsi="Wingdings"/>
      </w:rPr>
    </w:lvl>
    <w:lvl w:ilvl="5" w:tentative="0">
      <w:start w:val="1"/>
      <w:numFmt w:val="bullet"/>
      <w:lvlText w:val=""/>
      <w:lvlJc w:val="left"/>
      <w:pPr>
        <w:tabs>
          <w:tab w:val="left" w:pos="2942"/>
        </w:tabs>
        <w:ind w:left="2942" w:hanging="420"/>
      </w:pPr>
      <w:rPr>
        <w:rFonts w:hint="default" w:ascii="Wingdings" w:hAnsi="Wingdings"/>
      </w:rPr>
    </w:lvl>
    <w:lvl w:ilvl="6" w:tentative="0">
      <w:start w:val="1"/>
      <w:numFmt w:val="bullet"/>
      <w:lvlText w:val=""/>
      <w:lvlJc w:val="left"/>
      <w:pPr>
        <w:tabs>
          <w:tab w:val="left" w:pos="3362"/>
        </w:tabs>
        <w:ind w:left="3362" w:hanging="420"/>
      </w:pPr>
      <w:rPr>
        <w:rFonts w:hint="default" w:ascii="Wingdings" w:hAnsi="Wingdings"/>
      </w:rPr>
    </w:lvl>
    <w:lvl w:ilvl="7" w:tentative="0">
      <w:start w:val="1"/>
      <w:numFmt w:val="bullet"/>
      <w:lvlText w:val=""/>
      <w:lvlJc w:val="left"/>
      <w:pPr>
        <w:tabs>
          <w:tab w:val="left" w:pos="3782"/>
        </w:tabs>
        <w:ind w:left="3782" w:hanging="420"/>
      </w:pPr>
      <w:rPr>
        <w:rFonts w:hint="default" w:ascii="Wingdings" w:hAnsi="Wingdings"/>
      </w:rPr>
    </w:lvl>
    <w:lvl w:ilvl="8" w:tentative="0">
      <w:start w:val="1"/>
      <w:numFmt w:val="bullet"/>
      <w:lvlText w:val=""/>
      <w:lvlJc w:val="left"/>
      <w:pPr>
        <w:tabs>
          <w:tab w:val="left" w:pos="4202"/>
        </w:tabs>
        <w:ind w:left="4202" w:hanging="420"/>
      </w:pPr>
      <w:rPr>
        <w:rFonts w:hint="default" w:ascii="Wingdings" w:hAnsi="Wingdings"/>
      </w:rPr>
    </w:lvl>
  </w:abstractNum>
  <w:abstractNum w:abstractNumId="2">
    <w:nsid w:val="56FE243B"/>
    <w:multiLevelType w:val="multilevel"/>
    <w:tmpl w:val="56FE243B"/>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5B7A2FCD"/>
    <w:multiLevelType w:val="multilevel"/>
    <w:tmpl w:val="5B7A2FCD"/>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644A3F2C"/>
    <w:multiLevelType w:val="multilevel"/>
    <w:tmpl w:val="644A3F2C"/>
    <w:lvl w:ilvl="0" w:tentative="0">
      <w:start w:val="1"/>
      <w:numFmt w:val="bullet"/>
      <w:lvlText w:val=""/>
      <w:lvlJc w:val="left"/>
      <w:pPr>
        <w:tabs>
          <w:tab w:val="left" w:pos="842"/>
        </w:tabs>
        <w:ind w:left="842" w:hanging="420"/>
      </w:pPr>
      <w:rPr>
        <w:rFonts w:hint="default" w:ascii="Wingdings" w:hAnsi="Wingdings"/>
      </w:rPr>
    </w:lvl>
    <w:lvl w:ilvl="1" w:tentative="0">
      <w:start w:val="1"/>
      <w:numFmt w:val="bullet"/>
      <w:lvlText w:val=""/>
      <w:lvlJc w:val="left"/>
      <w:pPr>
        <w:tabs>
          <w:tab w:val="left" w:pos="1262"/>
        </w:tabs>
        <w:ind w:left="1262" w:hanging="420"/>
      </w:pPr>
      <w:rPr>
        <w:rFonts w:hint="default" w:ascii="Wingdings" w:hAnsi="Wingdings"/>
      </w:rPr>
    </w:lvl>
    <w:lvl w:ilvl="2" w:tentative="0">
      <w:start w:val="1"/>
      <w:numFmt w:val="bullet"/>
      <w:lvlText w:val=""/>
      <w:lvlJc w:val="left"/>
      <w:pPr>
        <w:tabs>
          <w:tab w:val="left" w:pos="1682"/>
        </w:tabs>
        <w:ind w:left="1682" w:hanging="420"/>
      </w:pPr>
      <w:rPr>
        <w:rFonts w:hint="default" w:ascii="Wingdings" w:hAnsi="Wingdings"/>
      </w:rPr>
    </w:lvl>
    <w:lvl w:ilvl="3" w:tentative="0">
      <w:start w:val="1"/>
      <w:numFmt w:val="bullet"/>
      <w:lvlText w:val=""/>
      <w:lvlJc w:val="left"/>
      <w:pPr>
        <w:tabs>
          <w:tab w:val="left" w:pos="2102"/>
        </w:tabs>
        <w:ind w:left="2102" w:hanging="420"/>
      </w:pPr>
      <w:rPr>
        <w:rFonts w:hint="default" w:ascii="Wingdings" w:hAnsi="Wingdings"/>
      </w:rPr>
    </w:lvl>
    <w:lvl w:ilvl="4" w:tentative="0">
      <w:start w:val="1"/>
      <w:numFmt w:val="bullet"/>
      <w:lvlText w:val=""/>
      <w:lvlJc w:val="left"/>
      <w:pPr>
        <w:tabs>
          <w:tab w:val="left" w:pos="2522"/>
        </w:tabs>
        <w:ind w:left="2522" w:hanging="420"/>
      </w:pPr>
      <w:rPr>
        <w:rFonts w:hint="default" w:ascii="Wingdings" w:hAnsi="Wingdings"/>
      </w:rPr>
    </w:lvl>
    <w:lvl w:ilvl="5" w:tentative="0">
      <w:start w:val="1"/>
      <w:numFmt w:val="bullet"/>
      <w:lvlText w:val=""/>
      <w:lvlJc w:val="left"/>
      <w:pPr>
        <w:tabs>
          <w:tab w:val="left" w:pos="2942"/>
        </w:tabs>
        <w:ind w:left="2942" w:hanging="420"/>
      </w:pPr>
      <w:rPr>
        <w:rFonts w:hint="default" w:ascii="Wingdings" w:hAnsi="Wingdings"/>
      </w:rPr>
    </w:lvl>
    <w:lvl w:ilvl="6" w:tentative="0">
      <w:start w:val="1"/>
      <w:numFmt w:val="bullet"/>
      <w:lvlText w:val=""/>
      <w:lvlJc w:val="left"/>
      <w:pPr>
        <w:tabs>
          <w:tab w:val="left" w:pos="3362"/>
        </w:tabs>
        <w:ind w:left="3362" w:hanging="420"/>
      </w:pPr>
      <w:rPr>
        <w:rFonts w:hint="default" w:ascii="Wingdings" w:hAnsi="Wingdings"/>
      </w:rPr>
    </w:lvl>
    <w:lvl w:ilvl="7" w:tentative="0">
      <w:start w:val="1"/>
      <w:numFmt w:val="bullet"/>
      <w:lvlText w:val=""/>
      <w:lvlJc w:val="left"/>
      <w:pPr>
        <w:tabs>
          <w:tab w:val="left" w:pos="3782"/>
        </w:tabs>
        <w:ind w:left="3782" w:hanging="420"/>
      </w:pPr>
      <w:rPr>
        <w:rFonts w:hint="default" w:ascii="Wingdings" w:hAnsi="Wingdings"/>
      </w:rPr>
    </w:lvl>
    <w:lvl w:ilvl="8" w:tentative="0">
      <w:start w:val="1"/>
      <w:numFmt w:val="bullet"/>
      <w:lvlText w:val=""/>
      <w:lvlJc w:val="left"/>
      <w:pPr>
        <w:tabs>
          <w:tab w:val="left" w:pos="4202"/>
        </w:tabs>
        <w:ind w:left="4202" w:hanging="420"/>
      </w:pPr>
      <w:rPr>
        <w:rFonts w:hint="default" w:ascii="Wingdings" w:hAnsi="Wingding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NGFiZTQ3MjZhNzE3NzZmYmMwYzhmNzQzOWI0Njg2M2EifQ=="/>
  </w:docVars>
  <w:rsids>
    <w:rsidRoot w:val="00802D61"/>
    <w:rsid w:val="0000111F"/>
    <w:rsid w:val="00004E4E"/>
    <w:rsid w:val="00005996"/>
    <w:rsid w:val="00016A09"/>
    <w:rsid w:val="000204E0"/>
    <w:rsid w:val="00021707"/>
    <w:rsid w:val="00021AB7"/>
    <w:rsid w:val="00026B8B"/>
    <w:rsid w:val="00031958"/>
    <w:rsid w:val="00034273"/>
    <w:rsid w:val="00034F7A"/>
    <w:rsid w:val="00035864"/>
    <w:rsid w:val="00037246"/>
    <w:rsid w:val="0004232B"/>
    <w:rsid w:val="000452EC"/>
    <w:rsid w:val="00046DF5"/>
    <w:rsid w:val="000535A4"/>
    <w:rsid w:val="00054F8D"/>
    <w:rsid w:val="000609D6"/>
    <w:rsid w:val="00062CFD"/>
    <w:rsid w:val="00063DA2"/>
    <w:rsid w:val="000652E1"/>
    <w:rsid w:val="00066983"/>
    <w:rsid w:val="00066DB0"/>
    <w:rsid w:val="00072F0E"/>
    <w:rsid w:val="000741AD"/>
    <w:rsid w:val="00080280"/>
    <w:rsid w:val="00080B29"/>
    <w:rsid w:val="00080D33"/>
    <w:rsid w:val="0008184D"/>
    <w:rsid w:val="000820FB"/>
    <w:rsid w:val="00083D86"/>
    <w:rsid w:val="00087B30"/>
    <w:rsid w:val="0009169B"/>
    <w:rsid w:val="00094BCA"/>
    <w:rsid w:val="000974EE"/>
    <w:rsid w:val="00097ABF"/>
    <w:rsid w:val="000A3851"/>
    <w:rsid w:val="000A3876"/>
    <w:rsid w:val="000C1B5A"/>
    <w:rsid w:val="000C1CE5"/>
    <w:rsid w:val="000C23BF"/>
    <w:rsid w:val="000C7CE4"/>
    <w:rsid w:val="000D370F"/>
    <w:rsid w:val="000D3E5D"/>
    <w:rsid w:val="000D5FC2"/>
    <w:rsid w:val="000E3673"/>
    <w:rsid w:val="000E657A"/>
    <w:rsid w:val="000E76B1"/>
    <w:rsid w:val="000E7A31"/>
    <w:rsid w:val="000F3CE5"/>
    <w:rsid w:val="000F48EC"/>
    <w:rsid w:val="000F5DE7"/>
    <w:rsid w:val="00111126"/>
    <w:rsid w:val="001162B9"/>
    <w:rsid w:val="001209D6"/>
    <w:rsid w:val="00122302"/>
    <w:rsid w:val="00133AC6"/>
    <w:rsid w:val="00151B51"/>
    <w:rsid w:val="00156CB9"/>
    <w:rsid w:val="001601A4"/>
    <w:rsid w:val="00175E07"/>
    <w:rsid w:val="00177C3D"/>
    <w:rsid w:val="00182D0D"/>
    <w:rsid w:val="00183856"/>
    <w:rsid w:val="00187A0D"/>
    <w:rsid w:val="00191FC3"/>
    <w:rsid w:val="00197773"/>
    <w:rsid w:val="001B4CF3"/>
    <w:rsid w:val="001C35AB"/>
    <w:rsid w:val="001C71C3"/>
    <w:rsid w:val="001C7201"/>
    <w:rsid w:val="001C7C94"/>
    <w:rsid w:val="001D1614"/>
    <w:rsid w:val="001D73B9"/>
    <w:rsid w:val="001E0140"/>
    <w:rsid w:val="001E3F4C"/>
    <w:rsid w:val="001E492A"/>
    <w:rsid w:val="001E4B71"/>
    <w:rsid w:val="001E534B"/>
    <w:rsid w:val="001F022D"/>
    <w:rsid w:val="001F2995"/>
    <w:rsid w:val="001F5411"/>
    <w:rsid w:val="001F5D06"/>
    <w:rsid w:val="00203283"/>
    <w:rsid w:val="00214833"/>
    <w:rsid w:val="002158C2"/>
    <w:rsid w:val="00217D6B"/>
    <w:rsid w:val="002219A6"/>
    <w:rsid w:val="00224B8F"/>
    <w:rsid w:val="002271D1"/>
    <w:rsid w:val="00231487"/>
    <w:rsid w:val="002418EC"/>
    <w:rsid w:val="002440BA"/>
    <w:rsid w:val="00251341"/>
    <w:rsid w:val="00252C74"/>
    <w:rsid w:val="00275A73"/>
    <w:rsid w:val="002802BE"/>
    <w:rsid w:val="00282E47"/>
    <w:rsid w:val="0028431E"/>
    <w:rsid w:val="002868D8"/>
    <w:rsid w:val="002907C0"/>
    <w:rsid w:val="00292D3A"/>
    <w:rsid w:val="00293780"/>
    <w:rsid w:val="00294F25"/>
    <w:rsid w:val="00297AB6"/>
    <w:rsid w:val="00297B4C"/>
    <w:rsid w:val="002A5DFC"/>
    <w:rsid w:val="002C2642"/>
    <w:rsid w:val="002C36AB"/>
    <w:rsid w:val="002C7F19"/>
    <w:rsid w:val="002D0891"/>
    <w:rsid w:val="002D693C"/>
    <w:rsid w:val="002E2A69"/>
    <w:rsid w:val="002E34DA"/>
    <w:rsid w:val="002E5F74"/>
    <w:rsid w:val="002E63D5"/>
    <w:rsid w:val="00311240"/>
    <w:rsid w:val="00316644"/>
    <w:rsid w:val="0032463D"/>
    <w:rsid w:val="00327362"/>
    <w:rsid w:val="00327DE4"/>
    <w:rsid w:val="00327F0A"/>
    <w:rsid w:val="003319FF"/>
    <w:rsid w:val="00331E9D"/>
    <w:rsid w:val="003328A5"/>
    <w:rsid w:val="00335810"/>
    <w:rsid w:val="0033606C"/>
    <w:rsid w:val="00337259"/>
    <w:rsid w:val="00341C11"/>
    <w:rsid w:val="0034227A"/>
    <w:rsid w:val="003425AB"/>
    <w:rsid w:val="003439BD"/>
    <w:rsid w:val="0034462D"/>
    <w:rsid w:val="00344E65"/>
    <w:rsid w:val="0034531B"/>
    <w:rsid w:val="0034577B"/>
    <w:rsid w:val="00345F51"/>
    <w:rsid w:val="0034638E"/>
    <w:rsid w:val="003522FC"/>
    <w:rsid w:val="00360FC4"/>
    <w:rsid w:val="003627E6"/>
    <w:rsid w:val="00365240"/>
    <w:rsid w:val="00375D87"/>
    <w:rsid w:val="003769DC"/>
    <w:rsid w:val="003773D7"/>
    <w:rsid w:val="00383084"/>
    <w:rsid w:val="00385BE9"/>
    <w:rsid w:val="00396395"/>
    <w:rsid w:val="003974EA"/>
    <w:rsid w:val="003A3DAC"/>
    <w:rsid w:val="003A547B"/>
    <w:rsid w:val="003B224E"/>
    <w:rsid w:val="003B52D5"/>
    <w:rsid w:val="003B6D66"/>
    <w:rsid w:val="003C5087"/>
    <w:rsid w:val="003D1CE6"/>
    <w:rsid w:val="003D52B7"/>
    <w:rsid w:val="003D794E"/>
    <w:rsid w:val="003E0272"/>
    <w:rsid w:val="003F09FD"/>
    <w:rsid w:val="003F4F0B"/>
    <w:rsid w:val="0040379E"/>
    <w:rsid w:val="00404B57"/>
    <w:rsid w:val="00406400"/>
    <w:rsid w:val="00410FDA"/>
    <w:rsid w:val="00420711"/>
    <w:rsid w:val="004252D3"/>
    <w:rsid w:val="00425A4A"/>
    <w:rsid w:val="004310DA"/>
    <w:rsid w:val="004411E7"/>
    <w:rsid w:val="00445F43"/>
    <w:rsid w:val="00446567"/>
    <w:rsid w:val="00452DCE"/>
    <w:rsid w:val="00453BC5"/>
    <w:rsid w:val="00455623"/>
    <w:rsid w:val="00455AAD"/>
    <w:rsid w:val="0046743F"/>
    <w:rsid w:val="004706A4"/>
    <w:rsid w:val="00472F36"/>
    <w:rsid w:val="00480C07"/>
    <w:rsid w:val="00483359"/>
    <w:rsid w:val="0048342F"/>
    <w:rsid w:val="00484F15"/>
    <w:rsid w:val="004A3EDD"/>
    <w:rsid w:val="004A69AE"/>
    <w:rsid w:val="004A6CC2"/>
    <w:rsid w:val="004A71F7"/>
    <w:rsid w:val="004A7D28"/>
    <w:rsid w:val="004C336B"/>
    <w:rsid w:val="004C4489"/>
    <w:rsid w:val="004C4C30"/>
    <w:rsid w:val="004C70FC"/>
    <w:rsid w:val="004C7CDA"/>
    <w:rsid w:val="004D245F"/>
    <w:rsid w:val="004D2D28"/>
    <w:rsid w:val="004D320C"/>
    <w:rsid w:val="004D5763"/>
    <w:rsid w:val="004D6D00"/>
    <w:rsid w:val="004E1669"/>
    <w:rsid w:val="004E1EE4"/>
    <w:rsid w:val="004E55DE"/>
    <w:rsid w:val="004F17B7"/>
    <w:rsid w:val="004F1D98"/>
    <w:rsid w:val="004F7076"/>
    <w:rsid w:val="00502541"/>
    <w:rsid w:val="0051116B"/>
    <w:rsid w:val="005117AC"/>
    <w:rsid w:val="00512587"/>
    <w:rsid w:val="005128B5"/>
    <w:rsid w:val="00517D1E"/>
    <w:rsid w:val="00520EFF"/>
    <w:rsid w:val="00524AF2"/>
    <w:rsid w:val="00525AC7"/>
    <w:rsid w:val="0052749B"/>
    <w:rsid w:val="005317FD"/>
    <w:rsid w:val="00534563"/>
    <w:rsid w:val="00537B56"/>
    <w:rsid w:val="00542888"/>
    <w:rsid w:val="00542CE2"/>
    <w:rsid w:val="00543318"/>
    <w:rsid w:val="0054431E"/>
    <w:rsid w:val="005539C5"/>
    <w:rsid w:val="00560909"/>
    <w:rsid w:val="00563599"/>
    <w:rsid w:val="00570767"/>
    <w:rsid w:val="00570890"/>
    <w:rsid w:val="00572CB0"/>
    <w:rsid w:val="00590085"/>
    <w:rsid w:val="0059427A"/>
    <w:rsid w:val="005A1B16"/>
    <w:rsid w:val="005A2019"/>
    <w:rsid w:val="005A3889"/>
    <w:rsid w:val="005A7C13"/>
    <w:rsid w:val="005B5456"/>
    <w:rsid w:val="005C3719"/>
    <w:rsid w:val="005C70E4"/>
    <w:rsid w:val="005D7E18"/>
    <w:rsid w:val="005E6A66"/>
    <w:rsid w:val="005F3814"/>
    <w:rsid w:val="005F5310"/>
    <w:rsid w:val="005F6783"/>
    <w:rsid w:val="00600DF5"/>
    <w:rsid w:val="006040BE"/>
    <w:rsid w:val="006043B5"/>
    <w:rsid w:val="00605BC3"/>
    <w:rsid w:val="00614378"/>
    <w:rsid w:val="00616DF2"/>
    <w:rsid w:val="00616E7C"/>
    <w:rsid w:val="006173D0"/>
    <w:rsid w:val="006249BB"/>
    <w:rsid w:val="006261CD"/>
    <w:rsid w:val="006264D5"/>
    <w:rsid w:val="00631960"/>
    <w:rsid w:val="00634D0F"/>
    <w:rsid w:val="006422A5"/>
    <w:rsid w:val="0064668C"/>
    <w:rsid w:val="0065140F"/>
    <w:rsid w:val="006723BD"/>
    <w:rsid w:val="00672D9D"/>
    <w:rsid w:val="006778B2"/>
    <w:rsid w:val="00680260"/>
    <w:rsid w:val="00685285"/>
    <w:rsid w:val="00691AF4"/>
    <w:rsid w:val="00696E85"/>
    <w:rsid w:val="006A3D8B"/>
    <w:rsid w:val="006B15B9"/>
    <w:rsid w:val="006B1CA9"/>
    <w:rsid w:val="006B3E23"/>
    <w:rsid w:val="006B5B26"/>
    <w:rsid w:val="006C397E"/>
    <w:rsid w:val="006D3445"/>
    <w:rsid w:val="006D479C"/>
    <w:rsid w:val="006E2184"/>
    <w:rsid w:val="006E6297"/>
    <w:rsid w:val="00700177"/>
    <w:rsid w:val="00701AA1"/>
    <w:rsid w:val="007027B5"/>
    <w:rsid w:val="0071662B"/>
    <w:rsid w:val="00716F98"/>
    <w:rsid w:val="00722C8E"/>
    <w:rsid w:val="0074102E"/>
    <w:rsid w:val="007431CD"/>
    <w:rsid w:val="00747F9E"/>
    <w:rsid w:val="0075016B"/>
    <w:rsid w:val="007501B4"/>
    <w:rsid w:val="0075244C"/>
    <w:rsid w:val="007538A8"/>
    <w:rsid w:val="00753BA1"/>
    <w:rsid w:val="007548BD"/>
    <w:rsid w:val="00756669"/>
    <w:rsid w:val="0075764B"/>
    <w:rsid w:val="0076046D"/>
    <w:rsid w:val="00764111"/>
    <w:rsid w:val="00772B69"/>
    <w:rsid w:val="0078066C"/>
    <w:rsid w:val="00782A8B"/>
    <w:rsid w:val="00791A32"/>
    <w:rsid w:val="00795086"/>
    <w:rsid w:val="007A15FB"/>
    <w:rsid w:val="007A41AF"/>
    <w:rsid w:val="007A4BBE"/>
    <w:rsid w:val="007B0483"/>
    <w:rsid w:val="007B0F87"/>
    <w:rsid w:val="007B1D97"/>
    <w:rsid w:val="007B23EE"/>
    <w:rsid w:val="007B4644"/>
    <w:rsid w:val="007B472F"/>
    <w:rsid w:val="007B67A6"/>
    <w:rsid w:val="007C529F"/>
    <w:rsid w:val="007C625B"/>
    <w:rsid w:val="007E1186"/>
    <w:rsid w:val="007E3581"/>
    <w:rsid w:val="007E4729"/>
    <w:rsid w:val="007F119B"/>
    <w:rsid w:val="007F31D0"/>
    <w:rsid w:val="007F68AF"/>
    <w:rsid w:val="00801785"/>
    <w:rsid w:val="00802D61"/>
    <w:rsid w:val="0081132D"/>
    <w:rsid w:val="00812ABE"/>
    <w:rsid w:val="008135A0"/>
    <w:rsid w:val="00813F04"/>
    <w:rsid w:val="00817A70"/>
    <w:rsid w:val="00822B36"/>
    <w:rsid w:val="008257B2"/>
    <w:rsid w:val="00826BD5"/>
    <w:rsid w:val="00837CF8"/>
    <w:rsid w:val="00842AE1"/>
    <w:rsid w:val="008443D0"/>
    <w:rsid w:val="00854083"/>
    <w:rsid w:val="00857A16"/>
    <w:rsid w:val="00857DC5"/>
    <w:rsid w:val="00861743"/>
    <w:rsid w:val="00873F59"/>
    <w:rsid w:val="00876486"/>
    <w:rsid w:val="00877BFE"/>
    <w:rsid w:val="00882E23"/>
    <w:rsid w:val="00884731"/>
    <w:rsid w:val="008853B5"/>
    <w:rsid w:val="00886110"/>
    <w:rsid w:val="008865F3"/>
    <w:rsid w:val="00887A73"/>
    <w:rsid w:val="008972A7"/>
    <w:rsid w:val="008A3440"/>
    <w:rsid w:val="008A5780"/>
    <w:rsid w:val="008A615F"/>
    <w:rsid w:val="008C0B19"/>
    <w:rsid w:val="008C12A4"/>
    <w:rsid w:val="008C1C4F"/>
    <w:rsid w:val="008C56D8"/>
    <w:rsid w:val="008D0D9E"/>
    <w:rsid w:val="008D45A4"/>
    <w:rsid w:val="008D5481"/>
    <w:rsid w:val="008D6EE9"/>
    <w:rsid w:val="008E04B5"/>
    <w:rsid w:val="008E0BD9"/>
    <w:rsid w:val="008E4E74"/>
    <w:rsid w:val="008E5B5B"/>
    <w:rsid w:val="008E5DCF"/>
    <w:rsid w:val="008E6833"/>
    <w:rsid w:val="008E6FE7"/>
    <w:rsid w:val="008F23C9"/>
    <w:rsid w:val="008F55A4"/>
    <w:rsid w:val="008F76BA"/>
    <w:rsid w:val="00902598"/>
    <w:rsid w:val="00903600"/>
    <w:rsid w:val="009050C9"/>
    <w:rsid w:val="00906E1F"/>
    <w:rsid w:val="00916408"/>
    <w:rsid w:val="00925951"/>
    <w:rsid w:val="009325E9"/>
    <w:rsid w:val="00937F96"/>
    <w:rsid w:val="009422E6"/>
    <w:rsid w:val="0094755E"/>
    <w:rsid w:val="00950771"/>
    <w:rsid w:val="00951C3E"/>
    <w:rsid w:val="00953666"/>
    <w:rsid w:val="009536AB"/>
    <w:rsid w:val="0098199F"/>
    <w:rsid w:val="0098499F"/>
    <w:rsid w:val="00987765"/>
    <w:rsid w:val="00993678"/>
    <w:rsid w:val="00996E09"/>
    <w:rsid w:val="009A448D"/>
    <w:rsid w:val="009B0514"/>
    <w:rsid w:val="009B0B15"/>
    <w:rsid w:val="009B6001"/>
    <w:rsid w:val="009B620F"/>
    <w:rsid w:val="009B6828"/>
    <w:rsid w:val="009C0047"/>
    <w:rsid w:val="009C24C4"/>
    <w:rsid w:val="009C407D"/>
    <w:rsid w:val="009C436A"/>
    <w:rsid w:val="009C56E3"/>
    <w:rsid w:val="009D1885"/>
    <w:rsid w:val="009D27F5"/>
    <w:rsid w:val="009D2F9D"/>
    <w:rsid w:val="009E28ED"/>
    <w:rsid w:val="009F134D"/>
    <w:rsid w:val="009F2E38"/>
    <w:rsid w:val="009F4C1D"/>
    <w:rsid w:val="009F605A"/>
    <w:rsid w:val="009F64C6"/>
    <w:rsid w:val="00A06778"/>
    <w:rsid w:val="00A13833"/>
    <w:rsid w:val="00A20216"/>
    <w:rsid w:val="00A24E89"/>
    <w:rsid w:val="00A27268"/>
    <w:rsid w:val="00A3467C"/>
    <w:rsid w:val="00A35005"/>
    <w:rsid w:val="00A40D8C"/>
    <w:rsid w:val="00A43B7A"/>
    <w:rsid w:val="00A45408"/>
    <w:rsid w:val="00A50493"/>
    <w:rsid w:val="00A50C7C"/>
    <w:rsid w:val="00A50CDE"/>
    <w:rsid w:val="00A50ED1"/>
    <w:rsid w:val="00A549B2"/>
    <w:rsid w:val="00A62E6C"/>
    <w:rsid w:val="00A70781"/>
    <w:rsid w:val="00A70A85"/>
    <w:rsid w:val="00A810B5"/>
    <w:rsid w:val="00A85269"/>
    <w:rsid w:val="00A92BED"/>
    <w:rsid w:val="00A936BA"/>
    <w:rsid w:val="00AA04E5"/>
    <w:rsid w:val="00AA3E9D"/>
    <w:rsid w:val="00AA5E67"/>
    <w:rsid w:val="00AB01F1"/>
    <w:rsid w:val="00AB6410"/>
    <w:rsid w:val="00AB6E5F"/>
    <w:rsid w:val="00AC531B"/>
    <w:rsid w:val="00AC5FA9"/>
    <w:rsid w:val="00AD0FE0"/>
    <w:rsid w:val="00AD66FE"/>
    <w:rsid w:val="00AD7D21"/>
    <w:rsid w:val="00AE000D"/>
    <w:rsid w:val="00AE26B9"/>
    <w:rsid w:val="00AE7D2F"/>
    <w:rsid w:val="00AF6FBA"/>
    <w:rsid w:val="00B00CFD"/>
    <w:rsid w:val="00B035B0"/>
    <w:rsid w:val="00B15326"/>
    <w:rsid w:val="00B31066"/>
    <w:rsid w:val="00B36B4E"/>
    <w:rsid w:val="00B37064"/>
    <w:rsid w:val="00B37CB2"/>
    <w:rsid w:val="00B43566"/>
    <w:rsid w:val="00B44A18"/>
    <w:rsid w:val="00B50007"/>
    <w:rsid w:val="00B666F3"/>
    <w:rsid w:val="00B671B6"/>
    <w:rsid w:val="00B72F2C"/>
    <w:rsid w:val="00B730B1"/>
    <w:rsid w:val="00B73391"/>
    <w:rsid w:val="00B75423"/>
    <w:rsid w:val="00B762BD"/>
    <w:rsid w:val="00B77FEE"/>
    <w:rsid w:val="00B83B9B"/>
    <w:rsid w:val="00BA008F"/>
    <w:rsid w:val="00BD07A0"/>
    <w:rsid w:val="00BD1B31"/>
    <w:rsid w:val="00BD1D12"/>
    <w:rsid w:val="00BD23A0"/>
    <w:rsid w:val="00BD790B"/>
    <w:rsid w:val="00BE4AB5"/>
    <w:rsid w:val="00BE574C"/>
    <w:rsid w:val="00C01D03"/>
    <w:rsid w:val="00C03537"/>
    <w:rsid w:val="00C05256"/>
    <w:rsid w:val="00C07C74"/>
    <w:rsid w:val="00C107FB"/>
    <w:rsid w:val="00C10A94"/>
    <w:rsid w:val="00C1361D"/>
    <w:rsid w:val="00C15B5E"/>
    <w:rsid w:val="00C16C3B"/>
    <w:rsid w:val="00C24AEB"/>
    <w:rsid w:val="00C26D73"/>
    <w:rsid w:val="00C472F9"/>
    <w:rsid w:val="00C47354"/>
    <w:rsid w:val="00C5178B"/>
    <w:rsid w:val="00C544C9"/>
    <w:rsid w:val="00C604E4"/>
    <w:rsid w:val="00C644F4"/>
    <w:rsid w:val="00C72BDD"/>
    <w:rsid w:val="00C73D8A"/>
    <w:rsid w:val="00C741EE"/>
    <w:rsid w:val="00C80627"/>
    <w:rsid w:val="00C81C23"/>
    <w:rsid w:val="00C92854"/>
    <w:rsid w:val="00C92862"/>
    <w:rsid w:val="00C931FD"/>
    <w:rsid w:val="00C943A3"/>
    <w:rsid w:val="00C95525"/>
    <w:rsid w:val="00C9580D"/>
    <w:rsid w:val="00C95D49"/>
    <w:rsid w:val="00C967C0"/>
    <w:rsid w:val="00C96801"/>
    <w:rsid w:val="00CA03BE"/>
    <w:rsid w:val="00CA0AA8"/>
    <w:rsid w:val="00CA0F26"/>
    <w:rsid w:val="00CA1895"/>
    <w:rsid w:val="00CB07D7"/>
    <w:rsid w:val="00CB1EC5"/>
    <w:rsid w:val="00CB686E"/>
    <w:rsid w:val="00CB7E7B"/>
    <w:rsid w:val="00CC10D2"/>
    <w:rsid w:val="00CD64BF"/>
    <w:rsid w:val="00CD7A73"/>
    <w:rsid w:val="00CE08A1"/>
    <w:rsid w:val="00CE282D"/>
    <w:rsid w:val="00CF2A1F"/>
    <w:rsid w:val="00D04A8D"/>
    <w:rsid w:val="00D06018"/>
    <w:rsid w:val="00D16C91"/>
    <w:rsid w:val="00D21207"/>
    <w:rsid w:val="00D21CD9"/>
    <w:rsid w:val="00D2491C"/>
    <w:rsid w:val="00D27506"/>
    <w:rsid w:val="00D2782C"/>
    <w:rsid w:val="00D31A44"/>
    <w:rsid w:val="00D32001"/>
    <w:rsid w:val="00D3214F"/>
    <w:rsid w:val="00D32D99"/>
    <w:rsid w:val="00D41556"/>
    <w:rsid w:val="00D50B38"/>
    <w:rsid w:val="00D532D2"/>
    <w:rsid w:val="00D554E9"/>
    <w:rsid w:val="00D55CA7"/>
    <w:rsid w:val="00D60ED6"/>
    <w:rsid w:val="00D61C0A"/>
    <w:rsid w:val="00D623E7"/>
    <w:rsid w:val="00D6629B"/>
    <w:rsid w:val="00D73B65"/>
    <w:rsid w:val="00D75728"/>
    <w:rsid w:val="00D77426"/>
    <w:rsid w:val="00D834D4"/>
    <w:rsid w:val="00D84981"/>
    <w:rsid w:val="00D84E53"/>
    <w:rsid w:val="00D906E7"/>
    <w:rsid w:val="00D960FA"/>
    <w:rsid w:val="00DA171A"/>
    <w:rsid w:val="00DA39A2"/>
    <w:rsid w:val="00DA5405"/>
    <w:rsid w:val="00DA7144"/>
    <w:rsid w:val="00DA74B5"/>
    <w:rsid w:val="00DA7C84"/>
    <w:rsid w:val="00DB70CC"/>
    <w:rsid w:val="00DC02E0"/>
    <w:rsid w:val="00DC2F82"/>
    <w:rsid w:val="00DC6511"/>
    <w:rsid w:val="00DD65A3"/>
    <w:rsid w:val="00DD65D7"/>
    <w:rsid w:val="00DE2CC0"/>
    <w:rsid w:val="00DE7AEA"/>
    <w:rsid w:val="00DF0BCF"/>
    <w:rsid w:val="00DF2209"/>
    <w:rsid w:val="00E020C6"/>
    <w:rsid w:val="00E05F78"/>
    <w:rsid w:val="00E075F2"/>
    <w:rsid w:val="00E07F60"/>
    <w:rsid w:val="00E11155"/>
    <w:rsid w:val="00E12AA2"/>
    <w:rsid w:val="00E12E96"/>
    <w:rsid w:val="00E203EA"/>
    <w:rsid w:val="00E219A8"/>
    <w:rsid w:val="00E22415"/>
    <w:rsid w:val="00E264C8"/>
    <w:rsid w:val="00E33185"/>
    <w:rsid w:val="00E34BF2"/>
    <w:rsid w:val="00E41F23"/>
    <w:rsid w:val="00E54196"/>
    <w:rsid w:val="00E64ECD"/>
    <w:rsid w:val="00E95799"/>
    <w:rsid w:val="00E97605"/>
    <w:rsid w:val="00EA18AE"/>
    <w:rsid w:val="00EA4556"/>
    <w:rsid w:val="00EB096D"/>
    <w:rsid w:val="00EB0A67"/>
    <w:rsid w:val="00EB6CF5"/>
    <w:rsid w:val="00EB6E63"/>
    <w:rsid w:val="00EB7618"/>
    <w:rsid w:val="00EC5BA1"/>
    <w:rsid w:val="00ED78B1"/>
    <w:rsid w:val="00EE58CA"/>
    <w:rsid w:val="00EE6000"/>
    <w:rsid w:val="00EF008F"/>
    <w:rsid w:val="00EF0789"/>
    <w:rsid w:val="00EF6BA8"/>
    <w:rsid w:val="00F0719C"/>
    <w:rsid w:val="00F11FDD"/>
    <w:rsid w:val="00F13344"/>
    <w:rsid w:val="00F2195C"/>
    <w:rsid w:val="00F21B3C"/>
    <w:rsid w:val="00F22D3F"/>
    <w:rsid w:val="00F252FA"/>
    <w:rsid w:val="00F26153"/>
    <w:rsid w:val="00F2708C"/>
    <w:rsid w:val="00F3273D"/>
    <w:rsid w:val="00F34026"/>
    <w:rsid w:val="00F4096B"/>
    <w:rsid w:val="00F427FB"/>
    <w:rsid w:val="00F42D88"/>
    <w:rsid w:val="00F5001D"/>
    <w:rsid w:val="00F53D80"/>
    <w:rsid w:val="00F6102B"/>
    <w:rsid w:val="00F65790"/>
    <w:rsid w:val="00F65F11"/>
    <w:rsid w:val="00F75508"/>
    <w:rsid w:val="00F872AF"/>
    <w:rsid w:val="00F903E6"/>
    <w:rsid w:val="00F9161D"/>
    <w:rsid w:val="00F926A2"/>
    <w:rsid w:val="00F961AC"/>
    <w:rsid w:val="00FA06BA"/>
    <w:rsid w:val="00FA50EC"/>
    <w:rsid w:val="00FB6C11"/>
    <w:rsid w:val="00FC15B5"/>
    <w:rsid w:val="00FC6011"/>
    <w:rsid w:val="00FC6D55"/>
    <w:rsid w:val="00FC6E5A"/>
    <w:rsid w:val="00FC6F94"/>
    <w:rsid w:val="00FD16FF"/>
    <w:rsid w:val="00FD4527"/>
    <w:rsid w:val="00FD5B95"/>
    <w:rsid w:val="00FE0E21"/>
    <w:rsid w:val="00FE5111"/>
    <w:rsid w:val="00FE7EE5"/>
    <w:rsid w:val="00FF2B64"/>
    <w:rsid w:val="00FF62D6"/>
    <w:rsid w:val="00FF6FC0"/>
    <w:rsid w:val="04AF5102"/>
    <w:rsid w:val="0A2D47F1"/>
    <w:rsid w:val="0FB93077"/>
    <w:rsid w:val="101502F2"/>
    <w:rsid w:val="1258481B"/>
    <w:rsid w:val="1436794C"/>
    <w:rsid w:val="15F66C34"/>
    <w:rsid w:val="16677B31"/>
    <w:rsid w:val="1A350D59"/>
    <w:rsid w:val="1D970044"/>
    <w:rsid w:val="213B4094"/>
    <w:rsid w:val="22897C33"/>
    <w:rsid w:val="23334B58"/>
    <w:rsid w:val="268F363A"/>
    <w:rsid w:val="2B182287"/>
    <w:rsid w:val="2C231D8B"/>
    <w:rsid w:val="2D516505"/>
    <w:rsid w:val="2EB40C93"/>
    <w:rsid w:val="2F6B3D97"/>
    <w:rsid w:val="33560775"/>
    <w:rsid w:val="34C734AB"/>
    <w:rsid w:val="36AD4316"/>
    <w:rsid w:val="36EA5EE9"/>
    <w:rsid w:val="3CB404E9"/>
    <w:rsid w:val="4A605381"/>
    <w:rsid w:val="4C7E282B"/>
    <w:rsid w:val="4F2A1121"/>
    <w:rsid w:val="53233374"/>
    <w:rsid w:val="53CF6E4F"/>
    <w:rsid w:val="54FF095A"/>
    <w:rsid w:val="56EE0800"/>
    <w:rsid w:val="59BD14CB"/>
    <w:rsid w:val="5B926A19"/>
    <w:rsid w:val="60F65872"/>
    <w:rsid w:val="613F06E5"/>
    <w:rsid w:val="6425739B"/>
    <w:rsid w:val="69232A11"/>
    <w:rsid w:val="6F345B63"/>
    <w:rsid w:val="79C13322"/>
    <w:rsid w:val="7AD572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99" w:semiHidden="0" w:name="Light Shading Accent 5"/>
    <w:lsdException w:unhideWhenUsed="0" w:uiPriority="61" w:semiHidden="0" w:name="Light List Accent 5"/>
    <w:lsdException w:qFormat="1" w:unhideWhenUsed="0" w:uiPriority="99"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6"/>
    <w:qFormat/>
    <w:uiPriority w:val="99"/>
    <w:pPr>
      <w:keepNext/>
      <w:keepLines/>
      <w:spacing w:line="415" w:lineRule="auto"/>
      <w:jc w:val="center"/>
      <w:outlineLvl w:val="1"/>
    </w:pPr>
    <w:rPr>
      <w:rFonts w:ascii="微软雅黑" w:hAnsi="微软雅黑" w:eastAsia="微软雅黑"/>
      <w:b/>
      <w:bCs/>
      <w:color w:val="0070C0"/>
      <w:sz w:val="28"/>
      <w:szCs w:val="32"/>
    </w:rPr>
  </w:style>
  <w:style w:type="paragraph" w:styleId="3">
    <w:name w:val="heading 3"/>
    <w:basedOn w:val="1"/>
    <w:next w:val="1"/>
    <w:link w:val="17"/>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qFormat/>
    <w:uiPriority w:val="99"/>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rFonts w:ascii="Times New Roman" w:hAnsi="Times New Roman"/>
      <w:sz w:val="24"/>
      <w:szCs w:val="24"/>
    </w:rPr>
  </w:style>
  <w:style w:type="table" w:styleId="9">
    <w:name w:val="Table Grid"/>
    <w:basedOn w:val="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
    <w:name w:val="Light Shading Accent 5"/>
    <w:basedOn w:val="8"/>
    <w:qFormat/>
    <w:uiPriority w:val="99"/>
    <w:rPr>
      <w:color w:val="31849B"/>
    </w:rPr>
    <w:tblPr>
      <w:tblBorders>
        <w:top w:val="single" w:color="4BACC6" w:sz="8" w:space="0"/>
        <w:bottom w:val="single" w:color="4BACC6" w:sz="8" w:space="0"/>
      </w:tblBorders>
    </w:tblPr>
    <w:tblStylePr w:type="fir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la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1">
    <w:name w:val="Light Grid Accent 5"/>
    <w:basedOn w:val="8"/>
    <w:qFormat/>
    <w:uiPriority w:val="99"/>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pPr>
      <w:rPr>
        <w:rFonts w:ascii="Times New Roman" w:hAnsi="Times New Roman" w:eastAsia="宋体"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pPr>
      <w:rPr>
        <w:rFonts w:ascii="Times New Roman" w:hAnsi="Times New Roman" w:eastAsia="宋体"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Times New Roman" w:hAnsi="Times New Roman" w:eastAsia="宋体" w:cs="Times New Roman"/>
        <w:b/>
        <w:bCs/>
      </w:rPr>
    </w:tblStylePr>
    <w:tblStylePr w:type="lastCol">
      <w:rPr>
        <w:rFonts w:ascii="Times New Roman" w:hAnsi="Times New Roman" w:eastAsia="宋体"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rPr>
        <w:rFonts w:cs="Times New Roman"/>
      </w:rPr>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rPr>
        <w:rFonts w:cs="Times New Roman"/>
      </w:rPr>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rPr>
        <w:rFonts w:cs="Times New Roman"/>
      </w:rPr>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styleId="13">
    <w:name w:val="page number"/>
    <w:basedOn w:val="12"/>
    <w:qFormat/>
    <w:locked/>
    <w:uiPriority w:val="0"/>
  </w:style>
  <w:style w:type="character" w:styleId="14">
    <w:name w:val="FollowedHyperlink"/>
    <w:basedOn w:val="12"/>
    <w:semiHidden/>
    <w:unhideWhenUsed/>
    <w:qFormat/>
    <w:locked/>
    <w:uiPriority w:val="99"/>
    <w:rPr>
      <w:color w:val="800080"/>
      <w:u w:val="single"/>
    </w:rPr>
  </w:style>
  <w:style w:type="character" w:styleId="15">
    <w:name w:val="Hyperlink"/>
    <w:basedOn w:val="12"/>
    <w:qFormat/>
    <w:uiPriority w:val="99"/>
    <w:rPr>
      <w:rFonts w:cs="Times New Roman"/>
      <w:color w:val="0000FF"/>
      <w:u w:val="single"/>
    </w:rPr>
  </w:style>
  <w:style w:type="character" w:customStyle="1" w:styleId="16">
    <w:name w:val="标题 2 字符"/>
    <w:link w:val="2"/>
    <w:qFormat/>
    <w:locked/>
    <w:uiPriority w:val="99"/>
    <w:rPr>
      <w:rFonts w:ascii="微软雅黑" w:hAnsi="微软雅黑" w:eastAsia="微软雅黑" w:cs="Times New Roman"/>
      <w:b/>
      <w:bCs/>
      <w:color w:val="0070C0"/>
      <w:sz w:val="32"/>
      <w:szCs w:val="32"/>
    </w:rPr>
  </w:style>
  <w:style w:type="character" w:customStyle="1" w:styleId="17">
    <w:name w:val="标题 3 字符"/>
    <w:link w:val="3"/>
    <w:qFormat/>
    <w:locked/>
    <w:uiPriority w:val="99"/>
    <w:rPr>
      <w:rFonts w:ascii="宋体" w:hAnsi="宋体" w:eastAsia="宋体" w:cs="宋体"/>
      <w:b/>
      <w:bCs/>
      <w:kern w:val="0"/>
      <w:sz w:val="27"/>
      <w:szCs w:val="27"/>
    </w:rPr>
  </w:style>
  <w:style w:type="character" w:customStyle="1" w:styleId="18">
    <w:name w:val="批注框文本 字符"/>
    <w:link w:val="4"/>
    <w:semiHidden/>
    <w:qFormat/>
    <w:locked/>
    <w:uiPriority w:val="99"/>
    <w:rPr>
      <w:rFonts w:cs="Times New Roman"/>
      <w:sz w:val="18"/>
      <w:szCs w:val="18"/>
    </w:rPr>
  </w:style>
  <w:style w:type="character" w:customStyle="1" w:styleId="19">
    <w:name w:val="页脚 字符"/>
    <w:link w:val="5"/>
    <w:qFormat/>
    <w:locked/>
    <w:uiPriority w:val="0"/>
    <w:rPr>
      <w:rFonts w:cs="Times New Roman"/>
      <w:sz w:val="18"/>
      <w:szCs w:val="18"/>
    </w:rPr>
  </w:style>
  <w:style w:type="character" w:customStyle="1" w:styleId="20">
    <w:name w:val="页眉 字符"/>
    <w:link w:val="6"/>
    <w:qFormat/>
    <w:locked/>
    <w:uiPriority w:val="99"/>
    <w:rPr>
      <w:rFonts w:cs="Times New Roman"/>
      <w:sz w:val="18"/>
      <w:szCs w:val="18"/>
    </w:rPr>
  </w:style>
  <w:style w:type="character" w:customStyle="1" w:styleId="21">
    <w:name w:val="en_title"/>
    <w:qFormat/>
    <w:uiPriority w:val="99"/>
    <w:rPr>
      <w:rFonts w:cs="Times New Roman"/>
    </w:rPr>
  </w:style>
  <w:style w:type="character" w:customStyle="1" w:styleId="22">
    <w:name w:val="apple-converted-space"/>
    <w:qFormat/>
    <w:uiPriority w:val="99"/>
    <w:rPr>
      <w:rFonts w:cs="Times New Roman"/>
    </w:rPr>
  </w:style>
  <w:style w:type="paragraph" w:customStyle="1" w:styleId="23">
    <w:name w:val="List Paragraph1"/>
    <w:basedOn w:val="1"/>
    <w:qFormat/>
    <w:uiPriority w:val="99"/>
    <w:pPr>
      <w:ind w:firstLine="420" w:firstLineChars="200"/>
    </w:pPr>
  </w:style>
  <w:style w:type="table" w:customStyle="1" w:styleId="24">
    <w:name w:val="中等深浅列表 1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25">
    <w:name w:val="浅色底纹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paragraph" w:customStyle="1" w:styleId="26">
    <w:name w:val="样式1"/>
    <w:basedOn w:val="6"/>
    <w:qFormat/>
    <w:uiPriority w:val="99"/>
    <w:pPr>
      <w:pBdr>
        <w:bottom w:val="none" w:color="auto" w:sz="0" w:space="0"/>
      </w:pBdr>
      <w:jc w:val="both"/>
    </w:pPr>
  </w:style>
  <w:style w:type="paragraph" w:customStyle="1" w:styleId="27">
    <w:name w:val="first_tit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8">
    <w:name w:val="p0"/>
    <w:basedOn w:val="1"/>
    <w:qFormat/>
    <w:uiPriority w:val="99"/>
    <w:pPr>
      <w:widowControl/>
    </w:pPr>
    <w:rPr>
      <w:rFonts w:ascii="Times New Roman" w:hAnsi="Times New Roman"/>
      <w:kern w:val="0"/>
      <w:szCs w:val="21"/>
    </w:rPr>
  </w:style>
  <w:style w:type="character" w:customStyle="1" w:styleId="29">
    <w:name w:val="cn_title"/>
    <w:qFormat/>
    <w:uiPriority w:val="99"/>
    <w:rPr>
      <w:rFonts w:cs="Times New Roman"/>
    </w:rPr>
  </w:style>
  <w:style w:type="paragraph" w:styleId="3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4</Pages>
  <Words>2180</Words>
  <Characters>2328</Characters>
  <Lines>17</Lines>
  <Paragraphs>4</Paragraphs>
  <TotalTime>167</TotalTime>
  <ScaleCrop>false</ScaleCrop>
  <LinksUpToDate>false</LinksUpToDate>
  <CharactersWithSpaces>2342</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2016-04-18T01:48:00Z</dcterms:created>
  <dc:creator>cpoway</dc:creator>
  <cp:lastModifiedBy>诺达名师-叶老师</cp:lastModifiedBy>
  <cp:lastPrinted>2022-02-23T07:48:00Z</cp:lastPrinted>
  <dcterms:modified xsi:type="dcterms:W3CDTF">2024-04-26T09:43:03Z</dcterms:modified>
  <cp:revision>281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9EBB1BF5506248BAA76EEF193734A1AF</vt:lpwstr>
  </property>
</Properties>
</file>