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distribute"/>
        <w:rPr>
          <w:rFonts w:hint="eastAsia" w:ascii="仿宋" w:hAnsi="仿宋" w:eastAsia="仿宋" w:cs="仿宋"/>
          <w:color w:val="000000" w:themeColor="text1"/>
          <w:spacing w:val="-12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FF0000"/>
          <w:w w:val="80"/>
          <w:sz w:val="84"/>
          <w:szCs w:val="84"/>
        </w:rPr>
        <w:t>中国国际工程咨询协会</w:t>
      </w:r>
    </w:p>
    <w:p>
      <w:pPr>
        <w:jc w:val="center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71755</wp:posOffset>
                </wp:positionV>
                <wp:extent cx="5537835" cy="5715"/>
                <wp:effectExtent l="0" t="13970" r="5715" b="18415"/>
                <wp:wrapNone/>
                <wp:docPr id="2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409575" y="2267585"/>
                          <a:ext cx="5537835" cy="571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o:spt="20" style="position:absolute;left:0pt;flip:y;margin-left:6.75pt;margin-top:5.65pt;height:0.45pt;width:436.05pt;z-index:251660288;mso-width-relative:page;mso-height-relative:page;" filled="f" stroked="t" coordsize="21600,21600" o:gfxdata="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tNfBENoAAAAIAQAADwAAAAAAAAABACAA&#10;AAAiAAAAZHJzL2Rvd25yZXYueG1sUEsBAhQAFAAAAAgAh07iQAUYQdcLAgAA/wMAAA4AAAAAAAAA&#10;AQAgAAAAKQEAAGRycy9lMm9Eb2MueG1sUEsFBgAAAAAGAAYAWQEAAKYFAAAAAA=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center"/>
        <w:textAlignment w:val="auto"/>
        <w:rPr>
          <w:rFonts w:hint="eastAsia" w:ascii="华文中宋" w:hAnsi="华文中宋" w:eastAsia="华文中宋" w:cs="华文中宋"/>
          <w:b/>
          <w:bCs/>
          <w:color w:val="000000" w:themeColor="text1"/>
          <w:kern w:val="0"/>
          <w:sz w:val="32"/>
          <w:szCs w:val="32"/>
          <w:shd w:val="clear" w:color="000000" w:fill="auto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b/>
          <w:bCs/>
          <w:color w:val="000000" w:themeColor="text1"/>
          <w:kern w:val="0"/>
          <w:sz w:val="32"/>
          <w:szCs w:val="32"/>
          <w:shd w:val="clear" w:color="000000" w:fill="auto"/>
          <w:lang w:val="en-US" w:eastAsia="zh-CN" w:bidi="ar-SA"/>
          <w14:textFill>
            <w14:solidFill>
              <w14:schemeClr w14:val="tx1"/>
            </w14:solidFill>
          </w14:textFill>
        </w:rPr>
        <w:t>关于举办新版《建设工程工程量清单计价标准》释义、建设工程造价全过程精细化管控与</w:t>
      </w:r>
      <w:r>
        <w:rPr>
          <w:rFonts w:hint="default" w:ascii="华文中宋" w:hAnsi="华文中宋" w:eastAsia="华文中宋" w:cs="华文中宋"/>
          <w:b/>
          <w:bCs/>
          <w:color w:val="000000" w:themeColor="text1"/>
          <w:kern w:val="0"/>
          <w:sz w:val="32"/>
          <w:szCs w:val="32"/>
          <w:shd w:val="clear" w:color="000000" w:fill="auto"/>
          <w:lang w:val="en-US" w:eastAsia="zh-CN" w:bidi="ar-SA"/>
          <w14:textFill>
            <w14:solidFill>
              <w14:schemeClr w14:val="tx1"/>
            </w14:solidFill>
          </w14:textFill>
        </w:rPr>
        <w:t>《民法典合同编通则司法解释》</w:t>
      </w:r>
      <w:r>
        <w:rPr>
          <w:rFonts w:hint="eastAsia" w:ascii="华文中宋" w:hAnsi="华文中宋" w:eastAsia="华文中宋" w:cs="华文中宋"/>
          <w:b/>
          <w:bCs/>
          <w:color w:val="000000" w:themeColor="text1"/>
          <w:kern w:val="0"/>
          <w:sz w:val="32"/>
          <w:szCs w:val="32"/>
          <w:shd w:val="clear" w:color="000000" w:fill="auto"/>
          <w:lang w:val="en-US" w:eastAsia="zh-CN" w:bidi="ar-SA"/>
          <w14:textFill>
            <w14:solidFill>
              <w14:schemeClr w14:val="tx1"/>
            </w14:solidFill>
          </w14:textFill>
        </w:rPr>
        <w:t>解读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center"/>
        <w:textAlignment w:val="auto"/>
        <w:rPr>
          <w:rFonts w:hint="default" w:ascii="华文中宋" w:hAnsi="华文中宋" w:eastAsia="华文中宋" w:cs="华文中宋"/>
          <w:b/>
          <w:bCs/>
          <w:color w:val="000000" w:themeColor="text1"/>
          <w:kern w:val="0"/>
          <w:sz w:val="32"/>
          <w:szCs w:val="32"/>
          <w:shd w:val="clear" w:color="000000" w:fill="auto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b/>
          <w:bCs/>
          <w:color w:val="000000" w:themeColor="text1"/>
          <w:kern w:val="0"/>
          <w:sz w:val="32"/>
          <w:szCs w:val="32"/>
          <w:shd w:val="clear" w:color="000000" w:fill="auto"/>
          <w:lang w:val="en-US" w:eastAsia="zh-CN" w:bidi="ar-SA"/>
          <w14:textFill>
            <w14:solidFill>
              <w14:schemeClr w14:val="tx1"/>
            </w14:solidFill>
          </w14:textFill>
        </w:rPr>
        <w:t>专题培训班的通知</w:t>
      </w:r>
    </w:p>
    <w:p>
      <w:pPr>
        <w:adjustRightInd w:val="0"/>
        <w:snapToGrid w:val="0"/>
        <w:spacing w:line="300" w:lineRule="exact"/>
        <w:jc w:val="both"/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pStyle w:val="8"/>
        <w:ind w:firstLine="5399" w:firstLineChars="2100"/>
        <w:rPr>
          <w:rFonts w:hint="eastAsia" w:ascii="仿宋" w:hAnsi="仿宋" w:eastAsia="仿宋" w:cs="仿宋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pacing w:val="-12"/>
          <w:sz w:val="28"/>
          <w:szCs w:val="28"/>
          <w14:textFill>
            <w14:solidFill>
              <w14:schemeClr w14:val="tx1"/>
            </w14:solidFill>
          </w14:textFill>
        </w:rPr>
        <w:t>国咨协［202</w:t>
      </w:r>
      <w:r>
        <w:rPr>
          <w:rFonts w:hint="eastAsia" w:ascii="宋体" w:hAnsi="宋体" w:eastAsia="宋体" w:cs="宋体"/>
          <w:b/>
          <w:bCs/>
          <w:color w:val="000000" w:themeColor="text1"/>
          <w:spacing w:val="-12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 w:eastAsia="宋体" w:cs="宋体"/>
          <w:b/>
          <w:bCs/>
          <w:color w:val="000000" w:themeColor="text1"/>
          <w:spacing w:val="-12"/>
          <w:sz w:val="28"/>
          <w:szCs w:val="28"/>
          <w14:textFill>
            <w14:solidFill>
              <w14:schemeClr w14:val="tx1"/>
            </w14:solidFill>
          </w14:textFill>
        </w:rPr>
        <w:t>］</w:t>
      </w:r>
      <w:r>
        <w:rPr>
          <w:rFonts w:hint="eastAsia" w:ascii="宋体" w:hAnsi="宋体" w:eastAsia="宋体" w:cs="宋体"/>
          <w:b/>
          <w:bCs/>
          <w:color w:val="000000" w:themeColor="text1"/>
          <w:spacing w:val="-12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03</w:t>
      </w:r>
      <w:r>
        <w:rPr>
          <w:rFonts w:hint="eastAsia" w:ascii="宋体" w:hAnsi="宋体" w:eastAsia="宋体" w:cs="宋体"/>
          <w:b/>
          <w:bCs/>
          <w:color w:val="000000" w:themeColor="text1"/>
          <w:spacing w:val="-12"/>
          <w:sz w:val="28"/>
          <w:szCs w:val="28"/>
          <w14:textFill>
            <w14:solidFill>
              <w14:schemeClr w14:val="tx1"/>
            </w14:solidFill>
          </w14:textFill>
        </w:rPr>
        <w:t>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b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kern w:val="0"/>
          <w:sz w:val="28"/>
          <w:szCs w:val="28"/>
        </w:rPr>
        <w:t>各有关单位：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/>
        <w:textAlignment w:val="auto"/>
        <w:rPr>
          <w:rFonts w:hint="eastAsia" w:ascii="仿宋" w:hAnsi="仿宋" w:eastAsia="仿宋" w:cs="宋体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近日，住房和城乡建设部发布了23版《建设工程工程量清单计价标准》（23年意见稿）。该标准结合最新的法律、法规、行业政策及行业发展方向更新，关于发承包双方定量价风险的界定更为完善，条款更趋具体、贴近实务。23版《标准》为推进工程造价市场化、国际化改革提供了政策依据，对于专业人员在执业过程中会起到更好的引导作用。之前，国务院常务会议明确提出：在工程建设领域全面推行过程结算。各地也纷纷出台配套意见。过程结算要求：边施工边签订过程结算文件，直接作为竣工结算的组成部分；先结算，后竣工；不结算，不备案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2023年12月4号最高人民法院发布《关于适用〈中华人民共和国民法典〉合同编通则部分的解释》（以下简称《合同编通则司法解释》）12月5号正式实施。《合同编通则司法解释》共计六十九条，内容横跨总则、物权、担保和合同，是对民法典的一次整体性和框架性的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为帮助相关单位准确了解和把握23版《建设工程工程量清单计价标准》出台后对工程造价及合同管理等实施后带来的影响，化解具体工作中遇到的新问题，深入了解</w:t>
      </w:r>
      <w:r>
        <w:rPr>
          <w:rFonts w:hint="default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《民法典合同编通则司法解释》</w:t>
      </w: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的主要内涵，我单位决定举办“23版《建设工程工程量清单计价标准》释义、建设工程造价全过程精细化管控与</w:t>
      </w:r>
      <w:r>
        <w:rPr>
          <w:rFonts w:hint="default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《民法典合同编通则司法解释》</w:t>
      </w: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解读专题培训班”。本次培训班由中国国际工程咨询协会主办， 北京比时教育咨询有限公司具体承办，请各单位积极组织相关人员参加。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hint="eastAsia" w:ascii="仿宋" w:hAnsi="仿宋" w:eastAsia="仿宋" w:cs="宋体"/>
          <w:b/>
          <w:bCs/>
          <w:kern w:val="0"/>
          <w:sz w:val="28"/>
          <w:szCs w:val="28"/>
          <w:shd w:val="clear"/>
          <w:lang w:val="en-US" w:eastAsia="zh-CN" w:bidi="ar-SA"/>
        </w:rPr>
      </w:pPr>
      <w:r>
        <w:rPr>
          <w:rFonts w:hint="eastAsia" w:ascii="仿宋" w:hAnsi="仿宋" w:eastAsia="仿宋" w:cs="宋体"/>
          <w:b/>
          <w:bCs/>
          <w:kern w:val="0"/>
          <w:sz w:val="28"/>
          <w:szCs w:val="28"/>
          <w:shd w:val="clear"/>
          <w:lang w:val="en-US" w:eastAsia="zh-CN" w:bidi="ar-SA"/>
        </w:rPr>
        <w:t>一、培训内容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2" w:firstLineChars="200"/>
        <w:textAlignment w:val="auto"/>
        <w:rPr>
          <w:rFonts w:hint="eastAsia" w:ascii="仿宋" w:hAnsi="仿宋" w:eastAsia="仿宋" w:cs="宋体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b/>
          <w:bCs/>
          <w:sz w:val="28"/>
          <w:szCs w:val="28"/>
          <w:lang w:val="en-US" w:eastAsia="zh-CN"/>
        </w:rPr>
        <w:t>第一部分：《建设工程工程量清单计价标准》（23年意见稿）修订内容及解析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1.总价合同、单价合同，如何适用？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2.对综合单价分析表提出新要求；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3.修改了清单的完整性及准确性责任划分；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4.明确了计价风险划分；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5.施工深化设计导致深化图纸与合同图纸存在差异的；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6.招标文件与中标人投标文件不一致的实质性内容；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7.投标人在投标时应将其引致的相关费用包括在投标总价和（或）综合单价报价中；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8.增加清标内容；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9.明确了甲供材费用计取；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10.发包人提供材料或暂定材料价格的清单项目编制规定；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11.修改了最高投标限价编制依据，最高投标限价应依据合理施工期及常规施工工艺编制；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12.投标报价应依据投标人的工程实施方案及投标工期编制；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13.工程变更计量规定；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14.计日工计量规定；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15.返工工程计量规定；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16.新增工程计量规定；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17.工程量清单缺陷规定；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18.变更估价三原则的修改；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19.工程索赔新要求的介绍；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20.施工过程结算新规定的详细介绍。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2" w:firstLineChars="200"/>
        <w:textAlignment w:val="auto"/>
        <w:rPr>
          <w:rFonts w:hint="eastAsia" w:ascii="仿宋" w:hAnsi="仿宋" w:eastAsia="仿宋" w:cs="宋体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b/>
          <w:bCs/>
          <w:sz w:val="28"/>
          <w:szCs w:val="28"/>
          <w:lang w:val="en-US" w:eastAsia="zh-CN"/>
        </w:rPr>
        <w:t>第二部分：建设工程造价全过程精细化管控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（一）招投标环节过程控制精细管理与操作方法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1.“招标工程量清单”跟踪控制操作及对策；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2.招标文件编制以及合同规划要点；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3.“招标控制价”跟踪控制及对策；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4.投标报价编制控制技巧以及对策；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5.暂估价材料、工程及甲乙供材料招投标关键；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6.评标流程技术设置及评标关键要点操作技巧；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7.招标结束后续关键工作操作及合同交底要点；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8.招投标环节过程控制精细管理的跟踪工具。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（二）合同约定环节过程控制精细管理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1.双方合约规划及审查谈判要点；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2.合同约定原则、方法以及跟踪控制对策；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3.合同约定中涉税条款的处理与风险防范；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4.合同约定类型的选择及各种合同类型的约定策略；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5.合同约定内容、效力以及跟踪审查对策；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6.发、承包各种不同合同类型下的合同风险约定对策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7.发、承包合同约定的示范文本适用原则及控制对策。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（三）工程计量环节过程控制精细管理解决方案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1.工程计量的程序、方法、责任承担及跟踪控制对策；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2.单价合同计量的跟踪控制对策；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3.造价合同计量的跟踪控制对策；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4.工程计量过程控制工具。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（四）合同价款调整环节精细化管理解决方案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1.合同价款调整计价的总体变化；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2.法律法规变化导致价款调整跟踪控制对策；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3.工程变更导致价款调整的跟踪控制对策；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4.暂估价导致价款调整跟踪对策；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5.误期赔偿导致价款调整的控制；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6.施工索赔导致价款调整的控制；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7.暂列金额导致价款调整的控制；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8.变更、签证、索赔及价款调整四大跟踪控制工具的应用技巧。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（五）合同价款支付环节过程控制精细管理解决方案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1.合同价款支付的总体税控筹划；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2.预付款支付的跟踪控制及对策；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3.安全文明施工费支付控制对策；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4.总价措施费用支付的控制对策；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5.进度款支付过程中的控制对策；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6.工程价款跟踪有力工具；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7.价款支付中承包方若干次“停工权”使用及应对；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（六）竣工结算环节过程控制精细管理解决方案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1.竣工结算与支付的跟踪控制对策；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2.甲乙双方增值税内部核算方法及对策；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3.合同解除的价款结算与支付中疑难问题的应对。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（七）建设项目合同法律风险防范实战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1.合同签订前的风险防范化解与实务操作；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2.如何准确认定和处理黑白合同风险化解与实务操作；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3.施工合同管理中的风险防范化解与实务操作；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4.无效的建设工程施工合同风险化解与实务操作；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5.解决建设工程施工合同争议的风险化解与实务操作；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6.关于转包及分包的若干问题风险化解与实务操作；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7.工程延期风险化解、典型案例与实务操作；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8.工程未经验收提前使用谁承担质量责任风险化解；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9.关于工程价款的风险化解、典型案例与实务操作；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10.建设工程价款优先受偿权的风险化解与实务操作；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11.建筑企业质量保修风险化解、典型案例与实务操作；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12.竣工结算与工程款利息法律风险化解与实务操作；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13.施工项目专业分包的注意事项及法律风险防范对策；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14.施工项目劳务分包的注意事项及法律风险防范对策。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2" w:firstLineChars="200"/>
        <w:textAlignment w:val="auto"/>
        <w:rPr>
          <w:rFonts w:hint="default" w:ascii="仿宋" w:hAnsi="仿宋" w:eastAsia="仿宋" w:cs="宋体"/>
          <w:b/>
          <w:bCs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/>
          <w:bCs/>
          <w:kern w:val="0"/>
          <w:sz w:val="28"/>
          <w:szCs w:val="28"/>
          <w:lang w:val="en-US" w:eastAsia="zh-CN" w:bidi="ar-SA"/>
        </w:rPr>
        <w:t>第三部分：</w:t>
      </w:r>
      <w:r>
        <w:rPr>
          <w:rFonts w:hint="default" w:ascii="仿宋" w:hAnsi="仿宋" w:eastAsia="仿宋" w:cs="宋体"/>
          <w:b/>
          <w:bCs/>
          <w:kern w:val="0"/>
          <w:sz w:val="28"/>
          <w:szCs w:val="28"/>
          <w:lang w:val="en-US" w:eastAsia="zh-CN" w:bidi="ar-SA"/>
        </w:rPr>
        <w:t>《民法典合同编通则司法解释》</w:t>
      </w:r>
      <w:r>
        <w:rPr>
          <w:rFonts w:hint="eastAsia" w:ascii="仿宋" w:hAnsi="仿宋" w:eastAsia="仿宋" w:cs="宋体"/>
          <w:b/>
          <w:bCs/>
          <w:kern w:val="0"/>
          <w:sz w:val="28"/>
          <w:szCs w:val="28"/>
          <w:lang w:val="en-US" w:eastAsia="zh-CN" w:bidi="ar-SA"/>
        </w:rPr>
        <w:t>解读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1.《合同编通则司法解释》的制定背景；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2.《合同编通则司法解释》的商事裁判思维、理念与规则；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3.《合同编通则司法解释》一般规定；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（1）合同解释的细化规则（2）交易习惯的认定与举证责任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4.合同的订立；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5.合同的效力；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6.合同的履行；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7.合同的保全；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8.合同的变更和转让；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9.合同的权利义务终止；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10.违约责任。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hint="eastAsia" w:ascii="仿宋" w:hAnsi="仿宋" w:eastAsia="仿宋" w:cs="宋体"/>
          <w:b/>
          <w:bCs/>
          <w:kern w:val="0"/>
          <w:sz w:val="28"/>
          <w:szCs w:val="28"/>
          <w:shd w:val="clear"/>
          <w:lang w:val="en-US" w:eastAsia="zh-CN" w:bidi="ar-SA"/>
        </w:rPr>
      </w:pPr>
      <w:r>
        <w:rPr>
          <w:rFonts w:hint="eastAsia" w:ascii="仿宋" w:hAnsi="仿宋" w:eastAsia="仿宋" w:cs="宋体"/>
          <w:b/>
          <w:bCs/>
          <w:kern w:val="0"/>
          <w:sz w:val="28"/>
          <w:szCs w:val="28"/>
          <w:shd w:val="clear"/>
          <w:lang w:val="en-US" w:eastAsia="zh-CN" w:bidi="ar-SA"/>
        </w:rPr>
        <w:t>二、培训对象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宋体"/>
          <w:kern w:val="0"/>
          <w:sz w:val="28"/>
          <w:szCs w:val="28"/>
          <w:shd w:val="clear"/>
          <w:lang w:val="en-US" w:eastAsia="zh-CN" w:bidi="ar-SA"/>
        </w:rPr>
      </w:pPr>
      <w:r>
        <w:rPr>
          <w:rFonts w:hint="eastAsia" w:ascii="仿宋" w:hAnsi="仿宋" w:eastAsia="仿宋" w:cs="宋体"/>
          <w:kern w:val="0"/>
          <w:sz w:val="28"/>
          <w:szCs w:val="28"/>
          <w:shd w:val="clear"/>
          <w:lang w:val="en-US" w:eastAsia="zh-CN" w:bidi="ar-SA"/>
        </w:rPr>
        <w:t>1.各地方政府有关工程勘察、设计、施工、监理单位、以及建设工程交易、造价管理、投资项目评审相关人员；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宋体"/>
          <w:kern w:val="0"/>
          <w:sz w:val="28"/>
          <w:szCs w:val="28"/>
          <w:shd w:val="clear"/>
          <w:lang w:val="en-US" w:eastAsia="zh-CN" w:bidi="ar-SA"/>
        </w:rPr>
      </w:pPr>
      <w:r>
        <w:rPr>
          <w:rFonts w:hint="eastAsia" w:ascii="仿宋" w:hAnsi="仿宋" w:eastAsia="仿宋" w:cs="宋体"/>
          <w:kern w:val="0"/>
          <w:sz w:val="28"/>
          <w:szCs w:val="28"/>
          <w:shd w:val="clear"/>
          <w:lang w:val="en-US" w:eastAsia="zh-CN" w:bidi="ar-SA"/>
        </w:rPr>
        <w:t>2.各业主单位从事项目管理、合同管理、造价管理、工程项目建设、开发、审计等相关部门人员；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宋体"/>
          <w:kern w:val="0"/>
          <w:sz w:val="28"/>
          <w:szCs w:val="28"/>
          <w:shd w:val="clear"/>
          <w:lang w:val="en-US" w:eastAsia="zh-CN" w:bidi="ar-SA"/>
        </w:rPr>
      </w:pPr>
      <w:r>
        <w:rPr>
          <w:rFonts w:hint="eastAsia" w:ascii="仿宋" w:hAnsi="仿宋" w:eastAsia="仿宋" w:cs="宋体"/>
          <w:kern w:val="0"/>
          <w:sz w:val="28"/>
          <w:szCs w:val="28"/>
          <w:shd w:val="clear"/>
          <w:lang w:val="en-US" w:eastAsia="zh-CN" w:bidi="ar-SA"/>
        </w:rPr>
        <w:t>3.各建筑设计、施工、设备材料供应、分包等企业领导、项目经理以及从事投标报价、合同谈判、合同管理、造价管理的工程技术人员，其他工程总承包相关人员；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宋体"/>
          <w:kern w:val="0"/>
          <w:sz w:val="28"/>
          <w:szCs w:val="28"/>
          <w:shd w:val="clear"/>
          <w:lang w:val="en-US" w:eastAsia="zh-CN" w:bidi="ar-SA"/>
        </w:rPr>
      </w:pPr>
      <w:r>
        <w:rPr>
          <w:rFonts w:hint="eastAsia" w:ascii="仿宋" w:hAnsi="仿宋" w:eastAsia="仿宋" w:cs="宋体"/>
          <w:kern w:val="0"/>
          <w:sz w:val="28"/>
          <w:szCs w:val="28"/>
          <w:shd w:val="clear"/>
          <w:lang w:val="en-US" w:eastAsia="zh-CN" w:bidi="ar-SA"/>
        </w:rPr>
        <w:t>4.高校、科研单位及工程咨询、造价管理咨询、律师事务所等机构专业人员。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hint="eastAsia" w:ascii="仿宋" w:hAnsi="仿宋" w:eastAsia="仿宋" w:cs="宋体"/>
          <w:kern w:val="0"/>
          <w:sz w:val="28"/>
          <w:szCs w:val="28"/>
          <w:shd w:val="clear"/>
          <w:lang w:val="en-US" w:eastAsia="zh-CN" w:bidi="ar-SA"/>
        </w:rPr>
      </w:pPr>
      <w:r>
        <w:rPr>
          <w:rFonts w:hint="eastAsia" w:ascii="仿宋" w:hAnsi="仿宋" w:eastAsia="仿宋" w:cs="宋体"/>
          <w:b/>
          <w:bCs/>
          <w:kern w:val="0"/>
          <w:sz w:val="28"/>
          <w:szCs w:val="28"/>
          <w:shd w:val="clear"/>
          <w:lang w:val="en-US" w:eastAsia="zh-CN" w:bidi="ar-SA"/>
        </w:rPr>
        <w:t>三、邀请专家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宋体"/>
          <w:kern w:val="0"/>
          <w:sz w:val="28"/>
          <w:szCs w:val="28"/>
          <w:shd w:val="clear"/>
          <w:lang w:val="en-US" w:eastAsia="zh-CN" w:bidi="ar-SA"/>
        </w:rPr>
      </w:pPr>
      <w:r>
        <w:rPr>
          <w:rFonts w:hint="eastAsia" w:ascii="仿宋" w:hAnsi="仿宋" w:eastAsia="仿宋" w:cs="宋体"/>
          <w:kern w:val="0"/>
          <w:sz w:val="28"/>
          <w:szCs w:val="28"/>
          <w:shd w:val="clear"/>
          <w:lang w:val="en-US" w:eastAsia="zh-CN" w:bidi="ar-SA"/>
        </w:rPr>
        <w:t>拟邀请住建部、行业协会、建筑央企、知名律所等参与新规范编写的有关专家现场授课，结合经典案例和实例分析，并进行现场答疑和互动交流。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hint="eastAsia" w:ascii="仿宋" w:hAnsi="仿宋" w:eastAsia="仿宋" w:cs="宋体"/>
          <w:kern w:val="0"/>
          <w:sz w:val="28"/>
          <w:szCs w:val="28"/>
          <w:shd w:val="clear"/>
          <w:lang w:val="en-US" w:eastAsia="zh-CN" w:bidi="ar-SA"/>
        </w:rPr>
      </w:pPr>
      <w:r>
        <w:rPr>
          <w:rFonts w:hint="eastAsia" w:ascii="仿宋" w:hAnsi="仿宋" w:eastAsia="仿宋" w:cs="宋体"/>
          <w:b/>
          <w:bCs/>
          <w:kern w:val="0"/>
          <w:sz w:val="28"/>
          <w:szCs w:val="28"/>
          <w:shd w:val="clear"/>
          <w:lang w:val="en-US" w:eastAsia="zh-CN" w:bidi="ar-SA"/>
        </w:rPr>
        <w:t>四、培训时间、地点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宋体"/>
          <w:kern w:val="0"/>
          <w:sz w:val="28"/>
          <w:szCs w:val="28"/>
          <w:shd w:val="clear"/>
          <w:lang w:val="en-US" w:eastAsia="zh-CN" w:bidi="ar-SA"/>
        </w:rPr>
      </w:pPr>
      <w:r>
        <w:rPr>
          <w:rFonts w:hint="eastAsia" w:ascii="仿宋" w:hAnsi="仿宋" w:eastAsia="仿宋" w:cs="宋体"/>
          <w:kern w:val="0"/>
          <w:sz w:val="28"/>
          <w:szCs w:val="28"/>
          <w:shd w:val="clear"/>
          <w:lang w:val="en-US" w:eastAsia="zh-CN" w:bidi="ar-SA"/>
        </w:rPr>
        <w:t>2024年4月12日—4月15日   长沙市 （12日全天报到）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宋体"/>
          <w:kern w:val="0"/>
          <w:sz w:val="28"/>
          <w:szCs w:val="28"/>
          <w:shd w:val="clear"/>
          <w:lang w:val="en-US" w:eastAsia="zh-CN" w:bidi="ar-SA"/>
        </w:rPr>
      </w:pPr>
      <w:r>
        <w:rPr>
          <w:rFonts w:hint="eastAsia" w:ascii="仿宋" w:hAnsi="仿宋" w:eastAsia="仿宋" w:cs="宋体"/>
          <w:kern w:val="0"/>
          <w:sz w:val="28"/>
          <w:szCs w:val="28"/>
          <w:shd w:val="clear"/>
          <w:lang w:val="en-US" w:eastAsia="zh-CN" w:bidi="ar-SA"/>
        </w:rPr>
        <w:t>2024年4月19日—4月22日   杭州市 （19日全天报到）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宋体"/>
          <w:kern w:val="0"/>
          <w:sz w:val="28"/>
          <w:szCs w:val="28"/>
          <w:shd w:val="clear"/>
          <w:lang w:val="en-US" w:eastAsia="zh-CN" w:bidi="ar-SA"/>
        </w:rPr>
      </w:pPr>
      <w:r>
        <w:rPr>
          <w:rFonts w:hint="eastAsia" w:ascii="仿宋" w:hAnsi="仿宋" w:eastAsia="仿宋" w:cs="宋体"/>
          <w:kern w:val="0"/>
          <w:sz w:val="28"/>
          <w:szCs w:val="28"/>
          <w:shd w:val="clear"/>
          <w:lang w:val="en-US" w:eastAsia="zh-CN" w:bidi="ar-SA"/>
        </w:rPr>
        <w:t>2024年5月10日—5月13日   武汉市 （10日全天报到）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宋体"/>
          <w:kern w:val="0"/>
          <w:sz w:val="28"/>
          <w:szCs w:val="28"/>
          <w:shd w:val="clear"/>
          <w:lang w:val="en-US" w:eastAsia="zh-CN" w:bidi="ar-SA"/>
        </w:rPr>
      </w:pPr>
      <w:r>
        <w:rPr>
          <w:rFonts w:hint="eastAsia" w:ascii="仿宋" w:hAnsi="仿宋" w:eastAsia="仿宋" w:cs="宋体"/>
          <w:kern w:val="0"/>
          <w:sz w:val="28"/>
          <w:szCs w:val="28"/>
          <w:shd w:val="clear"/>
          <w:lang w:val="en-US" w:eastAsia="zh-CN" w:bidi="ar-SA"/>
        </w:rPr>
        <w:t>2024年5月24日—5月27日   郑州市 （24日全天报到）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宋体"/>
          <w:kern w:val="0"/>
          <w:sz w:val="28"/>
          <w:szCs w:val="28"/>
          <w:shd w:val="clear"/>
          <w:lang w:val="en-US" w:eastAsia="zh-CN" w:bidi="ar-SA"/>
        </w:rPr>
      </w:pPr>
      <w:r>
        <w:rPr>
          <w:rFonts w:hint="eastAsia" w:ascii="仿宋" w:hAnsi="仿宋" w:eastAsia="仿宋" w:cs="宋体"/>
          <w:kern w:val="0"/>
          <w:sz w:val="28"/>
          <w:szCs w:val="28"/>
          <w:shd w:val="clear"/>
          <w:lang w:val="en-US" w:eastAsia="zh-CN" w:bidi="ar-SA"/>
        </w:rPr>
        <w:t>2024年6月14日—6月17日   青岛市 （14日全天报到）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宋体"/>
          <w:kern w:val="0"/>
          <w:sz w:val="28"/>
          <w:szCs w:val="28"/>
          <w:shd w:val="clear"/>
          <w:lang w:val="en-US" w:eastAsia="zh-CN" w:bidi="ar-SA"/>
        </w:rPr>
      </w:pPr>
      <w:r>
        <w:rPr>
          <w:rFonts w:hint="eastAsia" w:ascii="仿宋" w:hAnsi="仿宋" w:eastAsia="仿宋" w:cs="宋体"/>
          <w:kern w:val="0"/>
          <w:sz w:val="28"/>
          <w:szCs w:val="28"/>
          <w:shd w:val="clear"/>
          <w:lang w:val="en-US" w:eastAsia="zh-CN" w:bidi="ar-SA"/>
        </w:rPr>
        <w:t>2024年6月27日—6月30日   南昌市 （27日全天报到）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宋体"/>
          <w:kern w:val="0"/>
          <w:sz w:val="28"/>
          <w:szCs w:val="28"/>
          <w:shd w:val="clear"/>
          <w:lang w:val="en-US" w:eastAsia="zh-CN" w:bidi="ar-SA"/>
        </w:rPr>
      </w:pPr>
      <w:r>
        <w:rPr>
          <w:rFonts w:hint="eastAsia" w:ascii="仿宋" w:hAnsi="仿宋" w:eastAsia="仿宋" w:cs="宋体"/>
          <w:kern w:val="0"/>
          <w:sz w:val="28"/>
          <w:szCs w:val="28"/>
          <w:shd w:val="clear"/>
          <w:lang w:val="en-US" w:eastAsia="zh-CN" w:bidi="ar-SA"/>
        </w:rPr>
        <w:t>2024年7月12日—7月15日   贵阳市 （12日全天报到）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宋体"/>
          <w:kern w:val="0"/>
          <w:sz w:val="28"/>
          <w:szCs w:val="28"/>
          <w:shd w:val="clear"/>
          <w:lang w:val="en-US" w:eastAsia="zh-CN" w:bidi="ar-SA"/>
        </w:rPr>
      </w:pPr>
      <w:r>
        <w:rPr>
          <w:rFonts w:hint="eastAsia" w:ascii="仿宋" w:hAnsi="仿宋" w:eastAsia="仿宋" w:cs="宋体"/>
          <w:kern w:val="0"/>
          <w:sz w:val="28"/>
          <w:szCs w:val="28"/>
          <w:shd w:val="clear"/>
          <w:lang w:val="en-US" w:eastAsia="zh-CN" w:bidi="ar-SA"/>
        </w:rPr>
        <w:t>2024年7月26日—7月29日   西安市 （26日全天报到）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宋体"/>
          <w:kern w:val="0"/>
          <w:sz w:val="28"/>
          <w:szCs w:val="28"/>
          <w:shd w:val="clear"/>
          <w:lang w:val="en-US" w:eastAsia="zh-CN" w:bidi="ar-SA"/>
        </w:rPr>
      </w:pPr>
      <w:r>
        <w:rPr>
          <w:rFonts w:hint="eastAsia" w:ascii="仿宋" w:hAnsi="仿宋" w:eastAsia="仿宋" w:cs="宋体"/>
          <w:b/>
          <w:bCs/>
          <w:kern w:val="0"/>
          <w:sz w:val="28"/>
          <w:szCs w:val="28"/>
          <w:shd w:val="clear"/>
          <w:lang w:val="en-US" w:eastAsia="zh-CN" w:bidi="ar-SA"/>
        </w:rPr>
        <w:t>五、相关费用标准</w:t>
      </w:r>
      <w:r>
        <w:rPr>
          <w:rFonts w:hint="eastAsia" w:ascii="仿宋" w:hAnsi="仿宋" w:eastAsia="仿宋" w:cs="宋体"/>
          <w:kern w:val="0"/>
          <w:sz w:val="28"/>
          <w:szCs w:val="28"/>
          <w:shd w:val="clear"/>
          <w:lang w:val="en-US" w:eastAsia="zh-CN" w:bidi="ar-SA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宋体"/>
          <w:kern w:val="0"/>
          <w:sz w:val="28"/>
          <w:szCs w:val="28"/>
          <w:shd w:val="clear"/>
          <w:lang w:val="en-US" w:eastAsia="zh-CN" w:bidi="ar-SA"/>
        </w:rPr>
      </w:pPr>
      <w:r>
        <w:rPr>
          <w:rFonts w:hint="eastAsia" w:ascii="仿宋" w:hAnsi="仿宋" w:eastAsia="仿宋" w:cs="宋体"/>
          <w:kern w:val="0"/>
          <w:sz w:val="28"/>
          <w:szCs w:val="28"/>
          <w:shd w:val="clear"/>
          <w:lang w:val="en-US" w:eastAsia="zh-CN" w:bidi="ar-SA"/>
        </w:rPr>
        <w:t>A：3880元/人（含培训费、场地费、资料费、专家、会议期间午餐、结业证书等），住宿统一安排，费用自理。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 w:firstLineChars="200"/>
        <w:textAlignment w:val="auto"/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CN"/>
        </w:rPr>
        <w:t>B.5880元/人（含培训、资料、电子课件、场地、证书及培训期间午餐），住宿统一安排，费用自理。证书由我会颁发《工程总承包项目经理》或《商务经理》或《造价经理》;所需资料:二寸蓝底免冠彩色照片、身份证正反面、学历证书，以上报名材料均需电子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textAlignment w:val="auto"/>
        <w:rPr>
          <w:rFonts w:hint="eastAsia" w:ascii="仿宋" w:hAnsi="仿宋" w:eastAsia="仿宋" w:cs="宋体"/>
          <w:b/>
          <w:bCs/>
          <w:kern w:val="0"/>
          <w:sz w:val="28"/>
          <w:szCs w:val="28"/>
          <w:shd w:val="clear"/>
          <w:lang w:val="en-US" w:eastAsia="zh-CN" w:bidi="ar-SA"/>
        </w:rPr>
      </w:pPr>
      <w:r>
        <w:rPr>
          <w:rFonts w:hint="eastAsia" w:ascii="仿宋" w:hAnsi="仿宋" w:eastAsia="仿宋" w:cs="宋体"/>
          <w:b/>
          <w:bCs/>
          <w:kern w:val="0"/>
          <w:sz w:val="28"/>
          <w:szCs w:val="28"/>
          <w:shd w:val="clear"/>
          <w:lang w:val="en-US" w:eastAsia="zh-CN" w:bidi="ar-SA"/>
        </w:rPr>
        <w:t>六、联系方式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宋体"/>
          <w:kern w:val="0"/>
          <w:sz w:val="28"/>
          <w:szCs w:val="28"/>
          <w:shd w:val="clear"/>
          <w:lang w:val="en-US" w:eastAsia="zh-CN" w:bidi="ar-SA"/>
        </w:rPr>
      </w:pPr>
      <w:r>
        <w:rPr>
          <w:rFonts w:hint="eastAsia" w:ascii="仿宋" w:hAnsi="仿宋" w:eastAsia="仿宋" w:cs="宋体"/>
          <w:kern w:val="0"/>
          <w:sz w:val="28"/>
          <w:szCs w:val="28"/>
          <w:shd w:val="clear"/>
          <w:lang w:val="en-US" w:eastAsia="zh-CN" w:bidi="ar-SA"/>
        </w:rPr>
        <w:t>联系人：付老师15600558885（同微信 ）   电话：010-56916269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宋体"/>
          <w:snapToGrid w:val="0"/>
          <w:color w:val="000000"/>
          <w:kern w:val="20"/>
          <w:position w:val="-4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  <w:shd w:val="clear"/>
          <w:lang w:val="en-US" w:eastAsia="zh-CN" w:bidi="ar-SA"/>
        </w:rPr>
        <w:t>传  真：010-56916269                    邮箱：297545800@qq.com</w:t>
      </w:r>
      <w:r>
        <w:rPr>
          <w:rFonts w:hint="eastAsia" w:ascii="仿宋" w:hAnsi="仿宋" w:eastAsia="仿宋" w:cs="宋体"/>
          <w:kern w:val="0"/>
          <w:sz w:val="28"/>
          <w:szCs w:val="28"/>
          <w:shd w:val="clear"/>
          <w:lang w:val="en-US" w:eastAsia="zh-CN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3549015</wp:posOffset>
            </wp:positionH>
            <wp:positionV relativeFrom="paragraph">
              <wp:posOffset>250825</wp:posOffset>
            </wp:positionV>
            <wp:extent cx="1522095" cy="1511935"/>
            <wp:effectExtent l="0" t="0" r="1905" b="12065"/>
            <wp:wrapNone/>
            <wp:docPr id="10" name="图片 2" descr="中国国际工程咨询协会（无背景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 descr="中国国际工程咨询协会（无背景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2095" cy="151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20" w:lineRule="exact"/>
        <w:ind w:firstLine="560" w:firstLineChars="200"/>
        <w:textAlignment w:val="auto"/>
        <w:rPr>
          <w:rFonts w:hint="eastAsia" w:ascii="仿宋" w:hAnsi="仿宋" w:eastAsia="仿宋" w:cs="宋体"/>
          <w:kern w:val="0"/>
          <w:sz w:val="28"/>
          <w:szCs w:val="28"/>
          <w:shd w:val="clear"/>
          <w:lang w:val="en-US" w:eastAsia="zh-CN" w:bidi="ar-SA"/>
        </w:rPr>
      </w:pPr>
    </w:p>
    <w:p>
      <w:pPr>
        <w:pStyle w:val="8"/>
        <w:ind w:left="0" w:leftChars="0" w:firstLine="5320" w:firstLineChars="1900"/>
        <w:rPr>
          <w:rFonts w:hint="eastAsia" w:ascii="仿宋" w:hAnsi="仿宋" w:eastAsia="仿宋" w:cs="宋体"/>
          <w:kern w:val="0"/>
          <w:sz w:val="28"/>
          <w:szCs w:val="28"/>
          <w:shd w:val="clear"/>
          <w:lang w:val="en-US" w:eastAsia="zh-CN" w:bidi="ar-SA"/>
        </w:rPr>
      </w:pPr>
      <w:r>
        <w:rPr>
          <w:rFonts w:hint="eastAsia" w:ascii="仿宋" w:hAnsi="仿宋" w:eastAsia="仿宋" w:cs="宋体"/>
          <w:kern w:val="0"/>
          <w:sz w:val="28"/>
          <w:szCs w:val="28"/>
          <w:shd w:val="clear"/>
          <w:lang w:val="en-US" w:eastAsia="zh-CN" w:bidi="ar-SA"/>
        </w:rPr>
        <w:t>中国国际工程咨询协会</w:t>
      </w:r>
    </w:p>
    <w:p>
      <w:pPr>
        <w:pStyle w:val="8"/>
        <w:ind w:left="0" w:leftChars="0" w:firstLine="5600" w:firstLineChars="2000"/>
        <w:rPr>
          <w:rFonts w:hint="default" w:ascii="仿宋" w:hAnsi="仿宋" w:eastAsia="仿宋" w:cs="宋体"/>
          <w:kern w:val="0"/>
          <w:sz w:val="28"/>
          <w:szCs w:val="28"/>
          <w:shd w:val="clear"/>
          <w:lang w:val="en-US" w:eastAsia="zh-CN" w:bidi="ar-SA"/>
        </w:rPr>
      </w:pPr>
      <w:r>
        <w:rPr>
          <w:rFonts w:hint="eastAsia" w:ascii="仿宋" w:hAnsi="仿宋" w:eastAsia="仿宋" w:cs="宋体"/>
          <w:kern w:val="0"/>
          <w:sz w:val="28"/>
          <w:szCs w:val="28"/>
          <w:shd w:val="clear"/>
          <w:lang w:val="en-US" w:eastAsia="zh-CN" w:bidi="ar-SA"/>
        </w:rPr>
        <w:t>二0二</w:t>
      </w:r>
      <w:r>
        <w:rPr>
          <w:rFonts w:hint="eastAsia" w:hAnsi="仿宋" w:cs="宋体"/>
          <w:kern w:val="0"/>
          <w:sz w:val="28"/>
          <w:szCs w:val="28"/>
          <w:shd w:val="clear"/>
          <w:lang w:val="en-US" w:eastAsia="zh-CN" w:bidi="ar-SA"/>
        </w:rPr>
        <w:t>四</w:t>
      </w:r>
      <w:r>
        <w:rPr>
          <w:rFonts w:hint="eastAsia" w:ascii="仿宋" w:hAnsi="仿宋" w:eastAsia="仿宋" w:cs="宋体"/>
          <w:kern w:val="0"/>
          <w:sz w:val="28"/>
          <w:szCs w:val="28"/>
          <w:shd w:val="clear"/>
          <w:lang w:val="en-US" w:eastAsia="zh-CN" w:bidi="ar-SA"/>
        </w:rPr>
        <w:t>年</w:t>
      </w:r>
      <w:r>
        <w:rPr>
          <w:rFonts w:hint="eastAsia" w:hAnsi="仿宋" w:cs="宋体"/>
          <w:kern w:val="0"/>
          <w:sz w:val="28"/>
          <w:szCs w:val="28"/>
          <w:shd w:val="clear"/>
          <w:lang w:val="en-US" w:eastAsia="zh-CN" w:bidi="ar-SA"/>
        </w:rPr>
        <w:t>一</w:t>
      </w:r>
      <w:r>
        <w:rPr>
          <w:rFonts w:hint="eastAsia" w:ascii="仿宋" w:hAnsi="仿宋" w:eastAsia="仿宋" w:cs="宋体"/>
          <w:kern w:val="0"/>
          <w:sz w:val="28"/>
          <w:szCs w:val="28"/>
          <w:shd w:val="clear"/>
          <w:lang w:val="en-US" w:eastAsia="zh-CN" w:bidi="ar-SA"/>
        </w:rPr>
        <w:t>月</w:t>
      </w:r>
      <w:r>
        <w:rPr>
          <w:rFonts w:hint="eastAsia" w:hAnsi="仿宋" w:cs="宋体"/>
          <w:kern w:val="0"/>
          <w:sz w:val="28"/>
          <w:szCs w:val="28"/>
          <w:shd w:val="clear"/>
          <w:lang w:val="en-US" w:eastAsia="zh-CN" w:bidi="ar-SA"/>
        </w:rPr>
        <w:t>八</w:t>
      </w:r>
      <w:r>
        <w:rPr>
          <w:rFonts w:hint="eastAsia" w:ascii="仿宋" w:hAnsi="仿宋" w:eastAsia="仿宋" w:cs="宋体"/>
          <w:kern w:val="0"/>
          <w:sz w:val="28"/>
          <w:szCs w:val="28"/>
          <w:shd w:val="clear"/>
          <w:lang w:val="en-US" w:eastAsia="zh-CN" w:bidi="ar-SA"/>
        </w:rPr>
        <w:t>日</w:t>
      </w:r>
    </w:p>
    <w:p>
      <w:pPr>
        <w:widowControl/>
        <w:jc w:val="left"/>
        <w:rPr>
          <w:rFonts w:ascii="仿宋" w:hAnsi="仿宋" w:eastAsia="仿宋"/>
          <w:b w:val="0"/>
          <w:bCs/>
          <w:sz w:val="30"/>
          <w:szCs w:val="30"/>
        </w:rPr>
      </w:pPr>
      <w:r>
        <w:rPr>
          <w:rFonts w:hint="eastAsia" w:ascii="仿宋" w:hAnsi="仿宋" w:eastAsia="仿宋"/>
          <w:b w:val="0"/>
          <w:bCs/>
          <w:sz w:val="28"/>
          <w:szCs w:val="28"/>
        </w:rPr>
        <w:t xml:space="preserve">附 件： </w:t>
      </w:r>
    </w:p>
    <w:p>
      <w:pPr>
        <w:widowControl/>
        <w:spacing w:line="360" w:lineRule="exact"/>
        <w:jc w:val="center"/>
        <w:rPr>
          <w:rFonts w:hint="eastAsia" w:ascii="仿宋" w:hAnsi="仿宋" w:eastAsia="仿宋" w:cs="Times New Roman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 xml:space="preserve"> </w:t>
      </w: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>新</w:t>
      </w:r>
      <w:r>
        <w:rPr>
          <w:rFonts w:hint="eastAsia" w:ascii="仿宋" w:hAnsi="仿宋" w:eastAsia="仿宋" w:cs="Times New Roman"/>
          <w:b/>
          <w:sz w:val="30"/>
          <w:szCs w:val="30"/>
          <w:lang w:val="en-US" w:eastAsia="zh-CN"/>
        </w:rPr>
        <w:t>版《建设工程工程量清单计价标准》释义、建设工程造价全过程精细化管控与</w:t>
      </w:r>
      <w:r>
        <w:rPr>
          <w:rFonts w:hint="default" w:ascii="仿宋" w:hAnsi="仿宋" w:eastAsia="仿宋" w:cs="Times New Roman"/>
          <w:b/>
          <w:sz w:val="30"/>
          <w:szCs w:val="30"/>
          <w:lang w:val="en-US" w:eastAsia="zh-CN"/>
        </w:rPr>
        <w:t>《民法典合同编通则司法解释》</w:t>
      </w:r>
      <w:r>
        <w:rPr>
          <w:rFonts w:hint="eastAsia" w:ascii="仿宋" w:hAnsi="仿宋" w:eastAsia="仿宋" w:cs="Times New Roman"/>
          <w:b/>
          <w:sz w:val="30"/>
          <w:szCs w:val="30"/>
          <w:lang w:val="en-US" w:eastAsia="zh-CN"/>
        </w:rPr>
        <w:t>解读专题培训班</w:t>
      </w:r>
      <w:r>
        <w:rPr>
          <w:rFonts w:hint="eastAsia" w:ascii="仿宋" w:hAnsi="仿宋" w:eastAsia="仿宋" w:cs="Times New Roman"/>
          <w:b/>
          <w:sz w:val="30"/>
          <w:szCs w:val="30"/>
        </w:rPr>
        <w:t>报名表</w:t>
      </w:r>
    </w:p>
    <w:tbl>
      <w:tblPr>
        <w:tblStyle w:val="9"/>
        <w:tblpPr w:leftFromText="180" w:rightFromText="180" w:vertAnchor="text" w:horzAnchor="page" w:tblpX="1225" w:tblpY="287"/>
        <w:tblW w:w="98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8"/>
        <w:gridCol w:w="854"/>
        <w:gridCol w:w="1293"/>
        <w:gridCol w:w="1952"/>
        <w:gridCol w:w="1896"/>
        <w:gridCol w:w="2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4099" w:type="dxa"/>
            <w:gridSpan w:val="3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>邮 编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>单位地址</w:t>
            </w:r>
          </w:p>
        </w:tc>
        <w:tc>
          <w:tcPr>
            <w:tcW w:w="8159" w:type="dxa"/>
            <w:gridSpan w:val="5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>联 系 人</w:t>
            </w:r>
          </w:p>
        </w:tc>
        <w:tc>
          <w:tcPr>
            <w:tcW w:w="2147" w:type="dxa"/>
            <w:gridSpan w:val="2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2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>职    务</w:t>
            </w:r>
          </w:p>
        </w:tc>
        <w:tc>
          <w:tcPr>
            <w:tcW w:w="4060" w:type="dxa"/>
            <w:gridSpan w:val="2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>手    机</w:t>
            </w:r>
          </w:p>
        </w:tc>
        <w:tc>
          <w:tcPr>
            <w:tcW w:w="2147" w:type="dxa"/>
            <w:gridSpan w:val="2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2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>办公电话</w:t>
            </w:r>
          </w:p>
        </w:tc>
        <w:tc>
          <w:tcPr>
            <w:tcW w:w="4060" w:type="dxa"/>
            <w:gridSpan w:val="2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>传    真</w:t>
            </w:r>
          </w:p>
        </w:tc>
        <w:tc>
          <w:tcPr>
            <w:tcW w:w="2147" w:type="dxa"/>
            <w:gridSpan w:val="2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2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>电子信箱</w:t>
            </w:r>
          </w:p>
        </w:tc>
        <w:tc>
          <w:tcPr>
            <w:tcW w:w="4060" w:type="dxa"/>
            <w:gridSpan w:val="2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>参训人员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>职  务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>电    话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>手  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>邮  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2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2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2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2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2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2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2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2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2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>参训时间</w:t>
            </w:r>
          </w:p>
        </w:tc>
        <w:tc>
          <w:tcPr>
            <w:tcW w:w="2147" w:type="dxa"/>
            <w:gridSpan w:val="2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2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>参训地点</w:t>
            </w:r>
          </w:p>
        </w:tc>
        <w:tc>
          <w:tcPr>
            <w:tcW w:w="4060" w:type="dxa"/>
            <w:gridSpan w:val="2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>住宿标准</w:t>
            </w:r>
          </w:p>
        </w:tc>
        <w:tc>
          <w:tcPr>
            <w:tcW w:w="8159" w:type="dxa"/>
            <w:gridSpan w:val="5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>单住□      合住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 xml:space="preserve">     自理□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>证书申报</w:t>
            </w:r>
          </w:p>
        </w:tc>
        <w:tc>
          <w:tcPr>
            <w:tcW w:w="8159" w:type="dxa"/>
            <w:gridSpan w:val="5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《工程总包项目经理》□ 《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  <w:lang w:val="en-US" w:eastAsia="zh-CN"/>
              </w:rPr>
              <w:t>商务经理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》□  《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  <w:lang w:val="en-US" w:eastAsia="zh-CN"/>
              </w:rPr>
              <w:t>造价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经理》□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>付款方式</w:t>
            </w:r>
          </w:p>
        </w:tc>
        <w:tc>
          <w:tcPr>
            <w:tcW w:w="4099" w:type="dxa"/>
            <w:gridSpan w:val="3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>转账□      现场□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>金 额</w:t>
            </w:r>
          </w:p>
        </w:tc>
        <w:tc>
          <w:tcPr>
            <w:tcW w:w="2164" w:type="dxa"/>
            <w:noWrap w:val="0"/>
            <w:vAlign w:val="top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1678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>收款信息</w:t>
            </w:r>
          </w:p>
        </w:tc>
        <w:tc>
          <w:tcPr>
            <w:tcW w:w="8159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开户名称：北京比时教育咨询有限公司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开 户 行：中国工商银行股份有限公司北京公主坟支行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账    号：0200004609200665735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</w:trPr>
        <w:tc>
          <w:tcPr>
            <w:tcW w:w="1678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>备    注</w:t>
            </w:r>
          </w:p>
        </w:tc>
        <w:tc>
          <w:tcPr>
            <w:tcW w:w="4099" w:type="dxa"/>
            <w:gridSpan w:val="3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ind w:firstLine="560" w:firstLineChars="200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本</w:t>
            </w: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>课程可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根</w:t>
            </w: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>据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单位实际</w:t>
            </w: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>需</w:t>
            </w:r>
          </w:p>
          <w:p>
            <w:pPr>
              <w:tabs>
                <w:tab w:val="left" w:pos="567"/>
                <w:tab w:val="left" w:pos="709"/>
              </w:tabs>
              <w:spacing w:line="300" w:lineRule="exact"/>
              <w:ind w:firstLine="560" w:firstLineChars="200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>求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，提供</w:t>
            </w: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>内部培训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。</w:t>
            </w:r>
          </w:p>
        </w:tc>
        <w:tc>
          <w:tcPr>
            <w:tcW w:w="4060" w:type="dxa"/>
            <w:gridSpan w:val="2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ind w:firstLine="280" w:firstLineChars="100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参加</w:t>
            </w: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>单位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（盖章）</w:t>
            </w:r>
          </w:p>
          <w:p>
            <w:pPr>
              <w:pStyle w:val="8"/>
              <w:ind w:firstLine="480"/>
            </w:pPr>
          </w:p>
          <w:p>
            <w:pPr>
              <w:tabs>
                <w:tab w:val="left" w:pos="567"/>
                <w:tab w:val="left" w:pos="709"/>
              </w:tabs>
              <w:spacing w:line="300" w:lineRule="exact"/>
              <w:ind w:firstLine="280" w:firstLineChars="100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>202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>年  月  日</w:t>
            </w:r>
          </w:p>
        </w:tc>
      </w:tr>
    </w:tbl>
    <w:p>
      <w:pPr>
        <w:spacing w:line="500" w:lineRule="exact"/>
        <w:ind w:firstLine="280" w:firstLineChars="100"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备注：1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、</w:t>
      </w:r>
      <w:r>
        <w:rPr>
          <w:rFonts w:hint="eastAsia" w:ascii="仿宋" w:hAnsi="仿宋" w:eastAsia="仿宋" w:cs="宋体"/>
          <w:sz w:val="28"/>
          <w:szCs w:val="28"/>
        </w:rPr>
        <w:t>此表可复制</w:t>
      </w:r>
      <w:r>
        <w:rPr>
          <w:rFonts w:hint="eastAsia" w:ascii="仿宋" w:hAnsi="仿宋" w:eastAsia="仿宋" w:cs="宋体"/>
          <w:color w:val="000000"/>
          <w:sz w:val="28"/>
          <w:szCs w:val="28"/>
        </w:rPr>
        <w:t>，</w:t>
      </w:r>
      <w:r>
        <w:rPr>
          <w:rFonts w:hint="eastAsia" w:ascii="仿宋" w:hAnsi="仿宋" w:eastAsia="仿宋" w:cs="宋体"/>
          <w:sz w:val="28"/>
          <w:szCs w:val="28"/>
        </w:rPr>
        <w:t>汇总名单后发送至会务组；</w:t>
      </w:r>
    </w:p>
    <w:p>
      <w:pPr>
        <w:spacing w:line="500" w:lineRule="exact"/>
        <w:ind w:firstLine="1120" w:firstLineChars="400"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2、联系人：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付</w:t>
      </w:r>
      <w:r>
        <w:rPr>
          <w:rFonts w:hint="eastAsia" w:ascii="仿宋" w:hAnsi="仿宋" w:eastAsia="仿宋" w:cs="宋体"/>
          <w:sz w:val="28"/>
          <w:szCs w:val="28"/>
        </w:rPr>
        <w:t>老师</w:t>
      </w:r>
      <w:r>
        <w:rPr>
          <w:rFonts w:hint="eastAsia" w:ascii="仿宋" w:hAnsi="仿宋" w:eastAsia="仿宋" w:cs="宋体"/>
          <w:kern w:val="0"/>
          <w:sz w:val="28"/>
          <w:szCs w:val="28"/>
          <w:shd w:val="clear"/>
          <w:lang w:val="en-US" w:eastAsia="zh-CN" w:bidi="ar-SA"/>
        </w:rPr>
        <w:t>15600558885</w:t>
      </w:r>
      <w:r>
        <w:rPr>
          <w:rFonts w:hint="eastAsia" w:ascii="仿宋" w:hAnsi="仿宋" w:eastAsia="仿宋" w:cs="宋体"/>
          <w:sz w:val="28"/>
          <w:szCs w:val="28"/>
        </w:rPr>
        <w:t>（同微信）邮箱：</w:t>
      </w:r>
      <w:r>
        <w:rPr>
          <w:rFonts w:hint="eastAsia" w:ascii="仿宋" w:hAnsi="仿宋" w:eastAsia="仿宋" w:cs="宋体"/>
          <w:kern w:val="0"/>
          <w:sz w:val="28"/>
          <w:szCs w:val="28"/>
          <w:shd w:val="clear"/>
          <w:lang w:val="en-US" w:eastAsia="zh-CN" w:bidi="ar-SA"/>
        </w:rPr>
        <w:t>297545800</w:t>
      </w:r>
      <w:bookmarkStart w:id="0" w:name="_GoBack"/>
      <w:bookmarkEnd w:id="0"/>
      <w:r>
        <w:rPr>
          <w:rFonts w:hint="eastAsia" w:ascii="仿宋" w:hAnsi="仿宋" w:eastAsia="仿宋" w:cs="宋体"/>
          <w:sz w:val="28"/>
          <w:szCs w:val="28"/>
        </w:rPr>
        <w:t>@qq.com</w:t>
      </w:r>
    </w:p>
    <w:p>
      <w:pPr>
        <w:spacing w:line="500" w:lineRule="exact"/>
        <w:ind w:firstLine="1120" w:firstLineChars="400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3、电  话/传真：010-56916269  网址：www.z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jkxjt</w:t>
      </w:r>
      <w:r>
        <w:rPr>
          <w:rFonts w:hint="eastAsia" w:ascii="宋体" w:hAnsi="宋体" w:cs="宋体"/>
          <w:sz w:val="28"/>
          <w:szCs w:val="28"/>
        </w:rPr>
        <w:t>.com</w:t>
      </w:r>
    </w:p>
    <w:sectPr>
      <w:footerReference r:id="rId3" w:type="default"/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F0D45BB8-EF17-49A6-85E5-04FA2D138B6B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15CA235A-0584-41D4-AF2D-EB028F3640A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zNDM4Y2FiYTQ0ZDExNjg0MjEzZDViYjkxMTI4NDIifQ=="/>
  </w:docVars>
  <w:rsids>
    <w:rsidRoot w:val="00027639"/>
    <w:rsid w:val="00027639"/>
    <w:rsid w:val="000513B4"/>
    <w:rsid w:val="001C250E"/>
    <w:rsid w:val="002239AD"/>
    <w:rsid w:val="00250056"/>
    <w:rsid w:val="00381D72"/>
    <w:rsid w:val="0044601B"/>
    <w:rsid w:val="004F7BCB"/>
    <w:rsid w:val="005C1C7B"/>
    <w:rsid w:val="00601C67"/>
    <w:rsid w:val="006623E6"/>
    <w:rsid w:val="00697750"/>
    <w:rsid w:val="006C0AF0"/>
    <w:rsid w:val="006C5735"/>
    <w:rsid w:val="00843CF0"/>
    <w:rsid w:val="00852A43"/>
    <w:rsid w:val="00870260"/>
    <w:rsid w:val="00893A6E"/>
    <w:rsid w:val="008F5B4C"/>
    <w:rsid w:val="00A1286A"/>
    <w:rsid w:val="00C11E2C"/>
    <w:rsid w:val="00DD5753"/>
    <w:rsid w:val="00E11468"/>
    <w:rsid w:val="01516AF1"/>
    <w:rsid w:val="01987FE8"/>
    <w:rsid w:val="01AE4574"/>
    <w:rsid w:val="02246087"/>
    <w:rsid w:val="02283D27"/>
    <w:rsid w:val="02C16945"/>
    <w:rsid w:val="02E736C5"/>
    <w:rsid w:val="02EC7B2B"/>
    <w:rsid w:val="034A3564"/>
    <w:rsid w:val="03EF1A7B"/>
    <w:rsid w:val="04463A45"/>
    <w:rsid w:val="046B7B3A"/>
    <w:rsid w:val="04B540F9"/>
    <w:rsid w:val="04BF763A"/>
    <w:rsid w:val="04FE368F"/>
    <w:rsid w:val="05417508"/>
    <w:rsid w:val="059A1535"/>
    <w:rsid w:val="05CB627D"/>
    <w:rsid w:val="06D1078B"/>
    <w:rsid w:val="070257B1"/>
    <w:rsid w:val="070D763C"/>
    <w:rsid w:val="07103229"/>
    <w:rsid w:val="07107623"/>
    <w:rsid w:val="075305FE"/>
    <w:rsid w:val="075A03B2"/>
    <w:rsid w:val="078464D6"/>
    <w:rsid w:val="09CB1100"/>
    <w:rsid w:val="0A7210C7"/>
    <w:rsid w:val="0A737B86"/>
    <w:rsid w:val="0A8D5FD1"/>
    <w:rsid w:val="0A946EB5"/>
    <w:rsid w:val="0AE67746"/>
    <w:rsid w:val="0C216BA7"/>
    <w:rsid w:val="0C2A7A8F"/>
    <w:rsid w:val="0C5A58C0"/>
    <w:rsid w:val="0EBC2521"/>
    <w:rsid w:val="0ED41F07"/>
    <w:rsid w:val="0F25330D"/>
    <w:rsid w:val="0F724577"/>
    <w:rsid w:val="11335E1F"/>
    <w:rsid w:val="116C044F"/>
    <w:rsid w:val="127D248A"/>
    <w:rsid w:val="130C0529"/>
    <w:rsid w:val="13B93AA7"/>
    <w:rsid w:val="13F353AF"/>
    <w:rsid w:val="15962717"/>
    <w:rsid w:val="16C819B2"/>
    <w:rsid w:val="17405949"/>
    <w:rsid w:val="17E354E6"/>
    <w:rsid w:val="1839071D"/>
    <w:rsid w:val="19031FD6"/>
    <w:rsid w:val="1995519E"/>
    <w:rsid w:val="1C5D7946"/>
    <w:rsid w:val="1C5E224C"/>
    <w:rsid w:val="1C6B75F8"/>
    <w:rsid w:val="1CA54A2B"/>
    <w:rsid w:val="1CFD2F9D"/>
    <w:rsid w:val="1D712F04"/>
    <w:rsid w:val="1D807902"/>
    <w:rsid w:val="1D8F101C"/>
    <w:rsid w:val="1DE87CF1"/>
    <w:rsid w:val="1ECD7B33"/>
    <w:rsid w:val="1F625EE4"/>
    <w:rsid w:val="1F7F5EEC"/>
    <w:rsid w:val="1F9B0676"/>
    <w:rsid w:val="209041B3"/>
    <w:rsid w:val="20E1336C"/>
    <w:rsid w:val="21363C77"/>
    <w:rsid w:val="214B1AB8"/>
    <w:rsid w:val="21D34E85"/>
    <w:rsid w:val="22146EA2"/>
    <w:rsid w:val="22205588"/>
    <w:rsid w:val="22602004"/>
    <w:rsid w:val="22B13BF7"/>
    <w:rsid w:val="22DE0403"/>
    <w:rsid w:val="232817FD"/>
    <w:rsid w:val="242C2EB1"/>
    <w:rsid w:val="245A6146"/>
    <w:rsid w:val="24DA76D0"/>
    <w:rsid w:val="25333A00"/>
    <w:rsid w:val="257162D7"/>
    <w:rsid w:val="25894AE9"/>
    <w:rsid w:val="25B463BE"/>
    <w:rsid w:val="25CF331C"/>
    <w:rsid w:val="25E42F4C"/>
    <w:rsid w:val="263B316A"/>
    <w:rsid w:val="263F0AFB"/>
    <w:rsid w:val="272A3D8F"/>
    <w:rsid w:val="27E234BC"/>
    <w:rsid w:val="27F40B59"/>
    <w:rsid w:val="281D624C"/>
    <w:rsid w:val="284A2E8F"/>
    <w:rsid w:val="285C24E1"/>
    <w:rsid w:val="28B7273F"/>
    <w:rsid w:val="28DF6826"/>
    <w:rsid w:val="29E54625"/>
    <w:rsid w:val="2A842608"/>
    <w:rsid w:val="2AE00186"/>
    <w:rsid w:val="2B1617BA"/>
    <w:rsid w:val="2C1B3710"/>
    <w:rsid w:val="2CF87677"/>
    <w:rsid w:val="2EA919F7"/>
    <w:rsid w:val="2FEB6BAD"/>
    <w:rsid w:val="30550691"/>
    <w:rsid w:val="30786424"/>
    <w:rsid w:val="30CA6AAE"/>
    <w:rsid w:val="310F7D22"/>
    <w:rsid w:val="31331269"/>
    <w:rsid w:val="318560F5"/>
    <w:rsid w:val="320D295D"/>
    <w:rsid w:val="324E3B43"/>
    <w:rsid w:val="32BE00D2"/>
    <w:rsid w:val="32C42970"/>
    <w:rsid w:val="32D167FF"/>
    <w:rsid w:val="33474804"/>
    <w:rsid w:val="33A0178A"/>
    <w:rsid w:val="33AB7C3A"/>
    <w:rsid w:val="33D95DD0"/>
    <w:rsid w:val="33FB534F"/>
    <w:rsid w:val="34053E5F"/>
    <w:rsid w:val="344D72C4"/>
    <w:rsid w:val="34857C70"/>
    <w:rsid w:val="34E84457"/>
    <w:rsid w:val="3504664F"/>
    <w:rsid w:val="35D00C4E"/>
    <w:rsid w:val="35EC51ED"/>
    <w:rsid w:val="35FC247C"/>
    <w:rsid w:val="3655075B"/>
    <w:rsid w:val="36E92171"/>
    <w:rsid w:val="374660BF"/>
    <w:rsid w:val="37476A89"/>
    <w:rsid w:val="377C07F6"/>
    <w:rsid w:val="387E2E52"/>
    <w:rsid w:val="38E27111"/>
    <w:rsid w:val="38F31DD6"/>
    <w:rsid w:val="393130F5"/>
    <w:rsid w:val="39E64B64"/>
    <w:rsid w:val="3A5B6E57"/>
    <w:rsid w:val="3B173090"/>
    <w:rsid w:val="3B1A08AC"/>
    <w:rsid w:val="3B5566D9"/>
    <w:rsid w:val="3C322776"/>
    <w:rsid w:val="3C9506A5"/>
    <w:rsid w:val="3CE734E8"/>
    <w:rsid w:val="3DEC596B"/>
    <w:rsid w:val="3E2E5006"/>
    <w:rsid w:val="3E5945DA"/>
    <w:rsid w:val="3E9B1F29"/>
    <w:rsid w:val="3EA01D70"/>
    <w:rsid w:val="3EBE7890"/>
    <w:rsid w:val="3ECB6600"/>
    <w:rsid w:val="3EE020AB"/>
    <w:rsid w:val="3EF65E41"/>
    <w:rsid w:val="41140FA4"/>
    <w:rsid w:val="414D55BF"/>
    <w:rsid w:val="415365F3"/>
    <w:rsid w:val="416D064F"/>
    <w:rsid w:val="42037909"/>
    <w:rsid w:val="421A65C9"/>
    <w:rsid w:val="445428A5"/>
    <w:rsid w:val="44F31B62"/>
    <w:rsid w:val="452300F9"/>
    <w:rsid w:val="454A4722"/>
    <w:rsid w:val="455A5594"/>
    <w:rsid w:val="45A21D6F"/>
    <w:rsid w:val="4607616F"/>
    <w:rsid w:val="46C85908"/>
    <w:rsid w:val="4740023F"/>
    <w:rsid w:val="47925F0D"/>
    <w:rsid w:val="47947ED7"/>
    <w:rsid w:val="480D306A"/>
    <w:rsid w:val="482F7BFF"/>
    <w:rsid w:val="485A43AD"/>
    <w:rsid w:val="49100BEF"/>
    <w:rsid w:val="493C25D4"/>
    <w:rsid w:val="4B1D01E3"/>
    <w:rsid w:val="4B2105DB"/>
    <w:rsid w:val="4B935DB5"/>
    <w:rsid w:val="4C270A49"/>
    <w:rsid w:val="4C3F71EA"/>
    <w:rsid w:val="4CA23F11"/>
    <w:rsid w:val="4D01600E"/>
    <w:rsid w:val="4EB0783E"/>
    <w:rsid w:val="4F9B0500"/>
    <w:rsid w:val="4FFE3B4C"/>
    <w:rsid w:val="501E0B2E"/>
    <w:rsid w:val="508227B1"/>
    <w:rsid w:val="50843749"/>
    <w:rsid w:val="51072E29"/>
    <w:rsid w:val="514A0CA9"/>
    <w:rsid w:val="51B613A2"/>
    <w:rsid w:val="520C2832"/>
    <w:rsid w:val="52187956"/>
    <w:rsid w:val="5259180E"/>
    <w:rsid w:val="52754DA9"/>
    <w:rsid w:val="531F2E54"/>
    <w:rsid w:val="535F3A8F"/>
    <w:rsid w:val="53632BF3"/>
    <w:rsid w:val="53672652"/>
    <w:rsid w:val="53B575D1"/>
    <w:rsid w:val="547278B4"/>
    <w:rsid w:val="54B43917"/>
    <w:rsid w:val="54BD30D7"/>
    <w:rsid w:val="55581709"/>
    <w:rsid w:val="557A6818"/>
    <w:rsid w:val="564178D8"/>
    <w:rsid w:val="564F7B2D"/>
    <w:rsid w:val="565D308F"/>
    <w:rsid w:val="56B11101"/>
    <w:rsid w:val="56D05ED4"/>
    <w:rsid w:val="57C85650"/>
    <w:rsid w:val="581A2C5C"/>
    <w:rsid w:val="59183369"/>
    <w:rsid w:val="591D44D4"/>
    <w:rsid w:val="594E2CF2"/>
    <w:rsid w:val="597B0EF6"/>
    <w:rsid w:val="59D0248F"/>
    <w:rsid w:val="59D8249B"/>
    <w:rsid w:val="5B1600C0"/>
    <w:rsid w:val="5B8B1239"/>
    <w:rsid w:val="5BA25CE6"/>
    <w:rsid w:val="5BE2525D"/>
    <w:rsid w:val="5C485A8F"/>
    <w:rsid w:val="5C694405"/>
    <w:rsid w:val="5CDF5916"/>
    <w:rsid w:val="5D1A2BD1"/>
    <w:rsid w:val="5D3B220F"/>
    <w:rsid w:val="5D5E3558"/>
    <w:rsid w:val="5D8B205D"/>
    <w:rsid w:val="5DB02812"/>
    <w:rsid w:val="5DC14469"/>
    <w:rsid w:val="5DFE3EA4"/>
    <w:rsid w:val="5E57605E"/>
    <w:rsid w:val="5F477CD2"/>
    <w:rsid w:val="5FDE1567"/>
    <w:rsid w:val="617E5305"/>
    <w:rsid w:val="61F90E67"/>
    <w:rsid w:val="620324DC"/>
    <w:rsid w:val="62157F05"/>
    <w:rsid w:val="62515973"/>
    <w:rsid w:val="63010E7F"/>
    <w:rsid w:val="631B72A6"/>
    <w:rsid w:val="635F7F10"/>
    <w:rsid w:val="63FA178C"/>
    <w:rsid w:val="63FF0115"/>
    <w:rsid w:val="64B1156D"/>
    <w:rsid w:val="64F6629B"/>
    <w:rsid w:val="65005A5A"/>
    <w:rsid w:val="652F01FE"/>
    <w:rsid w:val="65334239"/>
    <w:rsid w:val="65B82E88"/>
    <w:rsid w:val="65DF3E6E"/>
    <w:rsid w:val="66280DA5"/>
    <w:rsid w:val="677245A4"/>
    <w:rsid w:val="67B06A02"/>
    <w:rsid w:val="67CC4360"/>
    <w:rsid w:val="67D422AC"/>
    <w:rsid w:val="68407ECF"/>
    <w:rsid w:val="69AE723D"/>
    <w:rsid w:val="6A272DD0"/>
    <w:rsid w:val="6A4C1286"/>
    <w:rsid w:val="6AAD6029"/>
    <w:rsid w:val="6ADA3941"/>
    <w:rsid w:val="6B57393D"/>
    <w:rsid w:val="6B59096C"/>
    <w:rsid w:val="6CD3577D"/>
    <w:rsid w:val="6CDB2A7E"/>
    <w:rsid w:val="6DFB7150"/>
    <w:rsid w:val="6E7B18D7"/>
    <w:rsid w:val="6F0D5D08"/>
    <w:rsid w:val="6F214980"/>
    <w:rsid w:val="6FAC2319"/>
    <w:rsid w:val="706C7393"/>
    <w:rsid w:val="706E62B6"/>
    <w:rsid w:val="707F1A1E"/>
    <w:rsid w:val="709C1A26"/>
    <w:rsid w:val="70A616C3"/>
    <w:rsid w:val="70E54759"/>
    <w:rsid w:val="71414222"/>
    <w:rsid w:val="72185BDB"/>
    <w:rsid w:val="72471157"/>
    <w:rsid w:val="7249798C"/>
    <w:rsid w:val="72BE604F"/>
    <w:rsid w:val="72E90827"/>
    <w:rsid w:val="72F36177"/>
    <w:rsid w:val="733572E2"/>
    <w:rsid w:val="733A388C"/>
    <w:rsid w:val="734B771E"/>
    <w:rsid w:val="7389364F"/>
    <w:rsid w:val="74325BC2"/>
    <w:rsid w:val="7477623B"/>
    <w:rsid w:val="74B943A6"/>
    <w:rsid w:val="74D10463"/>
    <w:rsid w:val="75F40DF3"/>
    <w:rsid w:val="77203594"/>
    <w:rsid w:val="77402BC1"/>
    <w:rsid w:val="77C53F91"/>
    <w:rsid w:val="77E02FA1"/>
    <w:rsid w:val="785A0282"/>
    <w:rsid w:val="789B48A7"/>
    <w:rsid w:val="78CF5E67"/>
    <w:rsid w:val="78E937EF"/>
    <w:rsid w:val="795C6A1C"/>
    <w:rsid w:val="79ED6E4F"/>
    <w:rsid w:val="7AB4450E"/>
    <w:rsid w:val="7AE373EA"/>
    <w:rsid w:val="7B5B0882"/>
    <w:rsid w:val="7BF658CD"/>
    <w:rsid w:val="7C6C3019"/>
    <w:rsid w:val="7C84619E"/>
    <w:rsid w:val="7CC16BC7"/>
    <w:rsid w:val="7CE253F0"/>
    <w:rsid w:val="7CE45748"/>
    <w:rsid w:val="7D030DF0"/>
    <w:rsid w:val="7D144014"/>
    <w:rsid w:val="7E721350"/>
    <w:rsid w:val="7E962F62"/>
    <w:rsid w:val="7FFF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autoRedefine/>
    <w:semiHidden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15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2"/>
    <w:basedOn w:val="1"/>
    <w:autoRedefine/>
    <w:qFormat/>
    <w:uiPriority w:val="0"/>
    <w:rPr>
      <w:kern w:val="0"/>
      <w:sz w:val="24"/>
      <w:szCs w:val="24"/>
    </w:rPr>
  </w:style>
  <w:style w:type="paragraph" w:styleId="7">
    <w:name w:val="Normal (Web)"/>
    <w:basedOn w:val="1"/>
    <w:autoRedefine/>
    <w:qFormat/>
    <w:uiPriority w:val="99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8">
    <w:name w:val="Body Text First Indent 2"/>
    <w:basedOn w:val="3"/>
    <w:next w:val="1"/>
    <w:autoRedefine/>
    <w:qFormat/>
    <w:uiPriority w:val="99"/>
    <w:pPr>
      <w:tabs>
        <w:tab w:val="left" w:pos="-1440"/>
      </w:tabs>
      <w:autoSpaceDE w:val="0"/>
      <w:autoSpaceDN w:val="0"/>
      <w:adjustRightInd w:val="0"/>
      <w:spacing w:after="0" w:line="360" w:lineRule="auto"/>
      <w:ind w:left="176" w:leftChars="0" w:firstLine="420" w:firstLineChars="200"/>
      <w:jc w:val="left"/>
    </w:pPr>
    <w:rPr>
      <w:rFonts w:hint="eastAsia" w:ascii="仿宋" w:hAnsi="Times New Roman" w:eastAsia="仿宋" w:cs="Times New Roman"/>
      <w:sz w:val="24"/>
      <w:szCs w:val="24"/>
    </w:rPr>
  </w:style>
  <w:style w:type="character" w:styleId="11">
    <w:name w:val="Strong"/>
    <w:basedOn w:val="10"/>
    <w:autoRedefine/>
    <w:qFormat/>
    <w:uiPriority w:val="0"/>
    <w:rPr>
      <w:b/>
    </w:rPr>
  </w:style>
  <w:style w:type="character" w:styleId="12">
    <w:name w:val="Hyperlink"/>
    <w:basedOn w:val="10"/>
    <w:autoRedefine/>
    <w:qFormat/>
    <w:uiPriority w:val="0"/>
    <w:rPr>
      <w:color w:val="0000FF"/>
      <w:u w:val="single"/>
    </w:rPr>
  </w:style>
  <w:style w:type="paragraph" w:customStyle="1" w:styleId="13">
    <w:name w:val="列出段落1"/>
    <w:basedOn w:val="1"/>
    <w:autoRedefine/>
    <w:qFormat/>
    <w:uiPriority w:val="34"/>
    <w:pPr>
      <w:ind w:left="480" w:leftChars="200"/>
    </w:pPr>
  </w:style>
  <w:style w:type="character" w:customStyle="1" w:styleId="14">
    <w:name w:val="页眉 Char"/>
    <w:basedOn w:val="10"/>
    <w:link w:val="5"/>
    <w:autoRedefine/>
    <w:qFormat/>
    <w:uiPriority w:val="0"/>
    <w:rPr>
      <w:kern w:val="2"/>
      <w:sz w:val="18"/>
      <w:szCs w:val="18"/>
    </w:rPr>
  </w:style>
  <w:style w:type="character" w:customStyle="1" w:styleId="15">
    <w:name w:val="页脚 Char"/>
    <w:basedOn w:val="10"/>
    <w:link w:val="4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3432</Words>
  <Characters>3755</Characters>
  <Lines>26</Lines>
  <Paragraphs>7</Paragraphs>
  <TotalTime>1</TotalTime>
  <ScaleCrop>false</ScaleCrop>
  <LinksUpToDate>false</LinksUpToDate>
  <CharactersWithSpaces>3891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集团二叔</cp:lastModifiedBy>
  <dcterms:modified xsi:type="dcterms:W3CDTF">2024-03-22T03:48:36Z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37D22BA511654D89B7CDAC8DDD7DBF84_13</vt:lpwstr>
  </property>
</Properties>
</file>