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" w:hAnsi="Microsoft YaHei" w:eastAsia="Microsoft YaHei" w:cs="Microsoft YaHe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-423545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0.55pt;margin-top:-33.35pt;height:31.2pt;width:65.7pt;z-index:251659264;mso-width-relative:page;mso-height-relative:page;" filled="f" stroked="f" coordsize="21600,21600" o:gfxdata="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BCfaLbAAAACQ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="SimHei" w:hAnsi="SimHei" w:eastAsia="SimHei" w:cs="SimHei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《股权设计与股权激励训战营（第53期）</w:t>
      </w:r>
      <w:r>
        <w:rPr>
          <w:rFonts w:hint="eastAsia" w:ascii="SimHei" w:hAnsi="SimHei" w:eastAsia="SimHei" w:cs="SimHe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>
      <w:pPr>
        <w:jc w:val="left"/>
        <w:rPr>
          <w:rFonts w:hint="eastAsia" w:ascii="SimHei" w:hAnsi="SimHei" w:eastAsia="SimHei" w:cs="SimHei"/>
          <w:b/>
          <w:bCs/>
          <w:sz w:val="36"/>
          <w:szCs w:val="36"/>
          <w:lang w:val="en-US" w:eastAsia="zh-CN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eastAsia="zh-CN"/>
        </w:rPr>
        <w:t>方永飞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>
      <w:pPr>
        <w:jc w:val="left"/>
        <w:rPr>
          <w:rFonts w:hint="default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13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17:00</w:t>
      </w:r>
    </w:p>
    <w:p>
      <w:pPr>
        <w:jc w:val="left"/>
        <w:rPr>
          <w:rFonts w:hint="default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14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17:00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学习卡会员票30</w:t>
      </w:r>
      <w:r>
        <w:rPr>
          <w:rFonts w:hint="eastAsia" w:ascii="SimHei" w:hAnsi="SimHei" w:eastAsia="SimHei" w:cs="SimHei"/>
          <w:sz w:val="28"/>
          <w:szCs w:val="28"/>
        </w:rPr>
        <w:t xml:space="preserve">张/人    </w:t>
      </w:r>
    </w:p>
    <w:p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8980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  <w:bookmarkStart w:id="0" w:name="_GoBack"/>
      <w:bookmarkEnd w:id="0"/>
    </w:p>
    <w:p>
      <w:pPr>
        <w:jc w:val="left"/>
        <w:rPr>
          <w:rFonts w:hint="eastAsia" w:ascii="SimHei" w:hAnsi="SimHei" w:eastAsia="SimHei" w:cs="SimHei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80</w:t>
      </w:r>
      <w:r>
        <w:rPr>
          <w:rFonts w:hint="eastAsia" w:ascii="SimHei" w:hAnsi="SimHei" w:eastAsia="SimHei" w:cs="SimHei"/>
          <w:b/>
          <w:bCs/>
          <w:sz w:val="28"/>
          <w:szCs w:val="28"/>
          <w:lang w:eastAsia="zh-CN"/>
        </w:rPr>
        <w:t>人</w:t>
      </w: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中国企业发展三道生死牌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效率低下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雍员定律、竞低文化、另损法则、压在企业的三座大山；拉低企业效率，降低企业利润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管理误区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管理无解，起点在哪里？出路在何方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SimSun" w:hAnsi="SimSun" w:cs="SimSun"/>
          <w:bCs/>
          <w:szCs w:val="22"/>
          <w:lang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发展瓶颈</w:t>
      </w:r>
    </w:p>
    <w:p>
      <w:pPr>
        <w:widowControl/>
        <w:numPr>
          <w:ilvl w:val="0"/>
          <w:numId w:val="0"/>
        </w:numPr>
        <w:ind w:left="210" w:leftChars="0"/>
        <w:jc w:val="left"/>
        <w:rPr>
          <w:rFonts w:hint="default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eastAsia="zh-CN"/>
        </w:rPr>
        <w:t>开十个店赚钱，</w:t>
      </w:r>
      <w:r>
        <w:rPr>
          <w:rFonts w:hint="eastAsia" w:ascii="SimSun" w:hAnsi="SimSun" w:cs="SimSun"/>
          <w:bCs/>
          <w:szCs w:val="22"/>
          <w:lang w:val="en-US" w:eastAsia="zh-CN"/>
        </w:rPr>
        <w:t>20个店保本，30个店就亏钱</w:t>
      </w:r>
    </w:p>
    <w:p>
      <w:pPr>
        <w:widowControl/>
        <w:jc w:val="left"/>
        <w:rPr>
          <w:rFonts w:ascii="SimSun" w:hAnsi="SimSun" w:cs="SimSun"/>
          <w:bCs/>
          <w:szCs w:val="22"/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FF"/>
          <w:sz w:val="32"/>
          <w:szCs w:val="32"/>
        </w:rPr>
      </w:pPr>
      <w:r>
        <w:rPr>
          <w:rFonts w:hint="eastAsia" w:ascii="SimHei" w:hAnsi="SimHei" w:eastAsia="SimHei" w:cs="SimHei"/>
          <w:b/>
          <w:bCs/>
          <w:color w:val="auto"/>
          <w:sz w:val="32"/>
          <w:szCs w:val="32"/>
        </w:rPr>
        <w:t>适用对象</w:t>
      </w:r>
    </w:p>
    <w:p>
      <w:pPr>
        <w:widowControl/>
        <w:numPr>
          <w:ilvl w:val="0"/>
          <w:numId w:val="5"/>
        </w:numPr>
        <w:jc w:val="left"/>
        <w:rPr>
          <w:rFonts w:ascii="SimSun" w:hAnsi="SimSun" w:cs="SimSun"/>
          <w:bCs/>
          <w:szCs w:val="22"/>
        </w:rPr>
      </w:pPr>
      <w:r>
        <w:rPr>
          <w:rFonts w:ascii="SimSun" w:hAnsi="SimSun" w:cs="SimSun"/>
          <w:bCs/>
          <w:szCs w:val="22"/>
        </w:rPr>
        <w:t>企业实控人、创始人、董事长、董事、监事、高管</w:t>
      </w:r>
    </w:p>
    <w:p>
      <w:pPr>
        <w:widowControl/>
        <w:numPr>
          <w:ilvl w:val="0"/>
          <w:numId w:val="5"/>
        </w:numPr>
        <w:jc w:val="left"/>
        <w:rPr>
          <w:rFonts w:ascii="SimSun" w:hAnsi="SimSun" w:cs="SimSun"/>
          <w:bCs/>
          <w:szCs w:val="22"/>
        </w:rPr>
      </w:pPr>
      <w:r>
        <w:rPr>
          <w:rFonts w:hint="eastAsia" w:ascii="SimSun" w:hAnsi="SimSun" w:cs="SimSun"/>
          <w:bCs/>
          <w:szCs w:val="22"/>
          <w:lang w:eastAsia="zh-CN"/>
        </w:rPr>
        <w:t>对公司经营业绩和持续发展有直接影响的核心骨干人员</w:t>
      </w:r>
    </w:p>
    <w:p>
      <w:pPr>
        <w:widowControl/>
        <w:numPr>
          <w:ilvl w:val="0"/>
          <w:numId w:val="5"/>
        </w:numPr>
        <w:jc w:val="left"/>
        <w:rPr>
          <w:rFonts w:ascii="SimSun" w:hAnsi="SimSun" w:cs="SimSun"/>
          <w:bCs/>
          <w:szCs w:val="22"/>
        </w:rPr>
      </w:pPr>
      <w:r>
        <w:rPr>
          <w:rFonts w:ascii="SimSun" w:hAnsi="SimSun" w:cs="SimSun"/>
          <w:bCs/>
          <w:szCs w:val="22"/>
        </w:rPr>
        <w:t>有志于从事私募股权投资事业的其他行业人士</w:t>
      </w:r>
    </w:p>
    <w:p>
      <w:pPr>
        <w:widowControl/>
        <w:jc w:val="left"/>
        <w:rPr>
          <w:rFonts w:hint="default" w:ascii="SimSun" w:hAnsi="SimSun" w:cs="SimSun"/>
          <w:bCs/>
          <w:szCs w:val="22"/>
          <w:lang w:val="en-US" w:eastAsia="zh-CN"/>
        </w:rPr>
      </w:pPr>
    </w:p>
    <w:p>
      <w:pPr>
        <w:widowControl/>
        <w:jc w:val="left"/>
        <w:rPr>
          <w:rFonts w:hint="default" w:ascii="SimSun" w:hAnsi="SimSun" w:cs="SimSun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资深专家亲临指导，对话资深专家导师，了解新锐企业实战情境，借鉴吸收，运用到自己的企业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实战型股权干货100%还原，不论你要融资还是要解决股权分配问题，现场干货100%原滋原味呈现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小组PK制实战学习，按行业分组，沙龙式教学，组内思维碰撞，台上轮流分享，站台的过程也是巩固知识的过程</w:t>
      </w:r>
    </w:p>
    <w:p>
      <w:pPr>
        <w:widowControl/>
        <w:numPr>
          <w:ilvl w:val="0"/>
          <w:numId w:val="6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百人精英学习圈，持续震荡班级学习圈，相互切磋，群策群力，沉淀知识见解，收获精英人脉</w:t>
      </w:r>
    </w:p>
    <w:p>
      <w:pPr>
        <w:widowControl/>
        <w:numPr>
          <w:ilvl w:val="0"/>
          <w:numId w:val="0"/>
        </w:numPr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SimSun" w:hAnsi="SimSun" w:cs="SimSun"/>
          <w:bCs/>
          <w:szCs w:val="22"/>
          <w:lang w:val="en-US" w:eastAsia="zh-CN"/>
        </w:rPr>
      </w:pPr>
    </w:p>
    <w:p>
      <w:pPr>
        <w:widowControl/>
        <w:jc w:val="left"/>
        <w:rPr>
          <w:rFonts w:eastAsia="Microsoft YaHei Light"/>
          <w:bCs/>
          <w:szCs w:val="22"/>
        </w:rPr>
      </w:pPr>
      <w:r>
        <w:rPr>
          <w:rFonts w:hint="eastAsia" w:ascii="SimSun" w:hAnsi="SimSun" w:cs="SimSun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w:t xml:space="preserve"> </w: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7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3810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6667500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0.3pt;height:0.75pt;width:552.75pt;z-index:251661312;mso-width-relative:page;mso-height-relative:page;" filled="f" stroked="t" coordsize="21600,21600" o:gfxdata="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nZEu1gAAAAcBAAAPAAAAAAAAAAEAIAAAACIAAABk&#10;cnMvZG93bnJldi54bWxQSwECFAAUAAAACACHTuJAuy7y5wgCAADtAwAADgAAAAAAAAABACAAAAAl&#10;AQAAZHJzL2Uyb0RvYy54bWxQSwUGAAAAAAYABgBZAQAAn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FFFFFF"/>
        <w:spacing w:line="480" w:lineRule="atLeast"/>
        <w:rPr>
          <w:rFonts w:hint="eastAsia" w:ascii="Microsoft YaHei" w:hAnsi="Microsoft YaHei" w:cs="SimSun"/>
          <w:sz w:val="24"/>
          <w:szCs w:val="24"/>
        </w:rPr>
      </w:pPr>
      <w:r>
        <w:rPr>
          <w:rFonts w:ascii="Microsoft YaHei" w:hAnsi="Microsoft YaHei" w:cs="SimSun"/>
          <w:b/>
          <w:bCs/>
          <w:sz w:val="28"/>
          <w:szCs w:val="28"/>
        </w:rPr>
        <w:t>一、开放的力量</w:t>
      </w:r>
      <w:r>
        <w:rPr>
          <w:rFonts w:hint="eastAsia" w:ascii="Microsoft YaHei" w:hAnsi="Microsoft YaHei" w:cs="SimSun"/>
          <w:sz w:val="24"/>
          <w:szCs w:val="24"/>
        </w:rPr>
        <w:t>（</w:t>
      </w:r>
      <w:r>
        <w:rPr>
          <w:rFonts w:hint="eastAsia" w:ascii="SimHei" w:hAnsi="SimHei" w:eastAsia="SimHei" w:cs="SimHei"/>
          <w:sz w:val="24"/>
          <w:szCs w:val="24"/>
        </w:rPr>
        <w:t>价值★★★★☆ 爆点88℃</w:t>
      </w:r>
      <w:r>
        <w:rPr>
          <w:rFonts w:hint="eastAsia" w:ascii="Microsoft YaHei" w:hAnsi="Microsoft YaHei" w:cs="SimSun"/>
          <w:sz w:val="24"/>
          <w:szCs w:val="24"/>
        </w:rPr>
        <w:t>）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解读两种不同的企业底层架构、机制与制度、现金流与利润、加法思维与减法思维。</w:t>
      </w:r>
    </w:p>
    <w:p>
      <w:pPr>
        <w:tabs>
          <w:tab w:val="left" w:pos="840"/>
        </w:tabs>
        <w:spacing w:line="0" w:lineRule="atLeast"/>
        <w:rPr>
          <w:rFonts w:ascii="SimSun" w:hAnsi="SimSun"/>
          <w:szCs w:val="21"/>
        </w:rPr>
      </w:pP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  <w:r>
        <w:rPr>
          <w:rFonts w:hint="eastAsia" w:ascii="SimSun" w:hAnsi="SimSun" w:cs="SimSun"/>
          <w:b/>
          <w:bCs/>
          <w:szCs w:val="21"/>
        </w:rPr>
        <w:t>学习用开放的、长远的眼光去发展企业。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tabs>
          <w:tab w:val="left" w:pos="840"/>
        </w:tabs>
        <w:spacing w:line="0" w:lineRule="atLeast"/>
        <w:rPr>
          <w:rFonts w:hint="eastAsia" w:ascii="Microsoft YaHei" w:hAnsi="Microsoft YaHei" w:cs="SimSun"/>
          <w:b/>
          <w:bCs/>
          <w:szCs w:val="21"/>
        </w:rPr>
      </w:pPr>
      <w:r>
        <w:rPr>
          <w:rFonts w:ascii="Microsoft YaHei" w:hAnsi="Microsoft YaHei" w:cs="SimSun"/>
          <w:b/>
          <w:bCs/>
          <w:szCs w:val="21"/>
        </w:rPr>
        <w:t>精彩一览</w:t>
      </w:r>
      <w:r>
        <w:rPr>
          <w:rFonts w:hint="eastAsia" w:ascii="Microsoft YaHei" w:hAnsi="Microsoft YaHei" w:cs="SimSun"/>
          <w:b/>
          <w:bCs/>
          <w:szCs w:val="21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SimSun" w:hAnsi="SimSun" w:cs="SimSun"/>
          <w:kern w:val="0"/>
          <w:szCs w:val="21"/>
        </w:rPr>
      </w:pPr>
      <w:r>
        <w:rPr>
          <w:rFonts w:ascii="Microsoft YaHei" w:hAnsi="Microsoft YaHei" w:cs="SimSun"/>
          <w:szCs w:val="21"/>
        </w:rPr>
        <w:t>传统企业的高管在离职创业时会从原公司带走两样东西，一个是人才，一个是资源。</w:t>
      </w:r>
      <w:r>
        <w:rPr>
          <w:rFonts w:hint="eastAsia" w:ascii="SimSun" w:hAnsi="SimSun" w:cs="SimSun"/>
          <w:kern w:val="0"/>
          <w:szCs w:val="21"/>
        </w:rPr>
        <w:t>高管离职创业，尤其是创始人分裂做同类型的公司是最危险的，比一个强大的对手可怕得多。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kern w:val="0"/>
          <w:szCs w:val="21"/>
        </w:rPr>
      </w:pPr>
    </w:p>
    <w:p>
      <w:pPr>
        <w:shd w:val="clear" w:color="auto" w:fill="FFFFFF"/>
        <w:spacing w:line="480" w:lineRule="atLeast"/>
        <w:rPr>
          <w:rFonts w:ascii="SimSun" w:hAnsi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二</w:t>
      </w:r>
      <w:r>
        <w:rPr>
          <w:rFonts w:ascii="Microsoft YaHei" w:hAnsi="Microsoft YaHei" w:cs="SimSun"/>
          <w:b/>
          <w:bCs/>
          <w:sz w:val="28"/>
          <w:szCs w:val="28"/>
        </w:rPr>
        <w:t>、股权设计</w:t>
      </w:r>
      <w:r>
        <w:rPr>
          <w:rFonts w:hint="eastAsia" w:ascii="SimHei" w:hAnsi="SimHei" w:eastAsia="SimHei" w:cs="SimHei"/>
          <w:sz w:val="24"/>
          <w:szCs w:val="24"/>
        </w:rPr>
        <w:t>（价值指数★★★★★ 爆点100℃）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解读有关裂变公司、股权分配、股权赋能、股权十大陷阱、股权顶层设计以及相关法律与案例。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jc w:val="left"/>
        <w:rPr>
          <w:rFonts w:hint="eastAsia" w:ascii="SimSun" w:hAnsi="SimSun"/>
          <w:szCs w:val="21"/>
        </w:rPr>
      </w:pPr>
      <w:r>
        <w:rPr>
          <w:rFonts w:hint="eastAsia" w:ascii="SimSun" w:hAnsi="SimSun"/>
          <w:b/>
          <w:bCs/>
          <w:szCs w:val="21"/>
        </w:rPr>
        <w:t>精彩一览：</w:t>
      </w:r>
      <w:r>
        <w:rPr>
          <w:rFonts w:hint="eastAsia" w:ascii="SimSun" w:hAnsi="SimSun"/>
          <w:szCs w:val="21"/>
        </w:rPr>
        <w:t xml:space="preserve"> </w:t>
      </w:r>
    </w:p>
    <w:p>
      <w:pPr>
        <w:jc w:val="left"/>
        <w:rPr>
          <w:rFonts w:hint="eastAsia" w:ascii="SimSun" w:hAnsi="SimSun"/>
          <w:szCs w:val="21"/>
        </w:rPr>
      </w:pPr>
      <w:r>
        <w:rPr>
          <w:rFonts w:hint="eastAsia" w:ascii="SimSun" w:hAnsi="SimSun"/>
          <w:szCs w:val="21"/>
        </w:rPr>
        <w:t>合伙创业已经成为成功企业标配，如何用股权引进牛人，并进行合理的股权分配？如何利用股权为公司和员工赋能？如何在不控股的情况下，控制公司？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kern w:val="0"/>
          <w:szCs w:val="21"/>
        </w:rPr>
      </w:pPr>
    </w:p>
    <w:p>
      <w:pPr>
        <w:shd w:val="clear" w:color="auto" w:fill="FFFFFF"/>
        <w:spacing w:line="480" w:lineRule="atLeast"/>
        <w:rPr>
          <w:rFonts w:hint="eastAsia" w:ascii="SimHei" w:hAnsi="SimHei" w:eastAsia="SimHei" w:cs="SimHei"/>
          <w:sz w:val="24"/>
          <w:szCs w:val="24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三、股权激励</w:t>
      </w:r>
      <w:r>
        <w:rPr>
          <w:rFonts w:hint="eastAsia" w:ascii="SimHei" w:hAnsi="SimHei" w:eastAsia="SimHei" w:cs="SimHei"/>
          <w:sz w:val="24"/>
          <w:szCs w:val="24"/>
        </w:rPr>
        <w:t>（价值指数★★★★★ 爆点100℃）</w:t>
      </w:r>
    </w:p>
    <w:p>
      <w:pPr>
        <w:shd w:val="clear" w:color="auto" w:fill="FFFFFF"/>
        <w:spacing w:line="480" w:lineRule="atLeast"/>
        <w:rPr>
          <w:rFonts w:hint="eastAsia" w:ascii="SimHei" w:hAnsi="SimHei" w:eastAsia="SimHei" w:cs="SimHei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64770</wp:posOffset>
                </wp:positionV>
                <wp:extent cx="2724150" cy="429260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2435" y="9161780"/>
                          <a:ext cx="272415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花样期权激励的九大步骤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pt;margin-top:5.1pt;height:33.8pt;width:214.5pt;z-index:251662336;mso-width-relative:page;mso-height-relative:page;" filled="f" stroked="f" coordsize="21600,21600" o:gfxdata="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5gUGq2QAAAAgBAAAPAAAA&#10;AAAAAAEAIAAAACIAAABkcnMvZG93bnJldi54bWxQSwECFAAUAAAACACHTuJAvDtlpE0CAACE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花样期权激励的九大步骤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SimSun" w:hAnsi="SimSun"/>
          <w:szCs w:val="21"/>
        </w:rPr>
      </w:pPr>
      <w:r>
        <w:rPr>
          <w:rFonts w:hint="eastAsia" w:ascii="SimSun" w:hAnsi="SimSun"/>
          <w:szCs w:val="21"/>
        </w:rPr>
        <w:t xml:space="preserve">    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drawing>
          <wp:inline distT="0" distB="0" distL="114300" distR="114300">
            <wp:extent cx="3390265" cy="2095500"/>
            <wp:effectExtent l="0" t="0" r="635" b="0"/>
            <wp:docPr id="1" name="图片 1" descr="QQ截图201801241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124142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学会用明天的钱激励今天的员工，与员工利益捆绑，激发员工主人翁意识。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精彩一览：</w:t>
      </w:r>
    </w:p>
    <w:p>
      <w:pPr>
        <w:jc w:val="left"/>
        <w:rPr>
          <w:rFonts w:ascii="Microsoft YaHei" w:hAnsi="Microsoft YaHei" w:cs="SimSun"/>
          <w:szCs w:val="21"/>
        </w:rPr>
      </w:pPr>
      <w:r>
        <w:rPr>
          <w:rFonts w:hint="eastAsia" w:ascii="Microsoft YaHei" w:hAnsi="Microsoft YaHei" w:cs="SimSun"/>
          <w:szCs w:val="21"/>
        </w:rPr>
        <w:t>解读股权激励工具、九大激励步骤，掌握花样期权、分红期权池、超额（量）分红权等实战激励方式。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szCs w:val="21"/>
        </w:rPr>
        <w:t>重点分享增量分红、虚拟股权池、阿米巴模式等实际落地的操作。</w:t>
      </w:r>
    </w:p>
    <w:p>
      <w:pPr>
        <w:jc w:val="left"/>
        <w:rPr>
          <w:rFonts w:ascii="SimSun" w:hAnsi="SimSun"/>
          <w:b/>
          <w:bCs/>
          <w:szCs w:val="21"/>
        </w:rPr>
      </w:pPr>
    </w:p>
    <w:p>
      <w:pPr>
        <w:jc w:val="left"/>
        <w:rPr>
          <w:rFonts w:hint="eastAsia" w:ascii="SimHei" w:hAnsi="SimHei" w:eastAsia="SimHei" w:cs="SimHei"/>
          <w:sz w:val="24"/>
          <w:szCs w:val="24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四、公司治理结构</w:t>
      </w:r>
      <w:r>
        <w:rPr>
          <w:rFonts w:hint="eastAsia" w:ascii="SimHei" w:hAnsi="SimHei" w:eastAsia="SimHei" w:cs="SimHei"/>
          <w:sz w:val="24"/>
          <w:szCs w:val="24"/>
        </w:rPr>
        <w:t>（价值指数★★★★☆ 爆点90℃）</w:t>
      </w: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法人治理结构的基本构成、权限划分、权力制衡及股东会议与董事会决议。</w:t>
      </w:r>
    </w:p>
    <w:p>
      <w:pPr>
        <w:tabs>
          <w:tab w:val="left" w:pos="840"/>
        </w:tabs>
        <w:spacing w:line="0" w:lineRule="atLeast"/>
        <w:rPr>
          <w:rFonts w:hint="eastAsia" w:ascii="SimSun" w:hAnsi="SimSun" w:cs="SimSun"/>
          <w:b/>
          <w:bCs/>
          <w:szCs w:val="21"/>
        </w:rPr>
      </w:pPr>
    </w:p>
    <w:p>
      <w:pPr>
        <w:jc w:val="left"/>
        <w:rPr>
          <w:rFonts w:hint="eastAsia" w:ascii="Microsoft YaHei" w:hAnsi="Microsoft YaHei" w:cs="SimSun"/>
          <w:b/>
          <w:bCs/>
          <w:szCs w:val="21"/>
        </w:rPr>
      </w:pPr>
      <w:r>
        <w:rPr>
          <w:rFonts w:hint="eastAsia" w:ascii="Microsoft YaHei" w:hAnsi="Microsoft YaHei" w:cs="SimSun"/>
          <w:b/>
          <w:bCs/>
          <w:szCs w:val="21"/>
        </w:rPr>
        <w:t>精彩一览：</w:t>
      </w:r>
    </w:p>
    <w:p>
      <w:pPr>
        <w:jc w:val="left"/>
        <w:rPr>
          <w:rFonts w:hint="eastAsia" w:ascii="Microsoft YaHei" w:hAnsi="Microsoft YaHei" w:cs="SimSun"/>
          <w:szCs w:val="21"/>
        </w:rPr>
      </w:pPr>
      <w:r>
        <w:rPr>
          <w:rFonts w:hint="eastAsia" w:ascii="Microsoft YaHei" w:hAnsi="Microsoft YaHei" w:cs="SimSun"/>
          <w:szCs w:val="21"/>
        </w:rPr>
        <w:t>了解法人治理的基本构成，学习如何制衡公司的各方权力、把控公司主导权，掌握股东会议以及董事会决议正确的“打开方式”。</w:t>
      </w:r>
    </w:p>
    <w:p>
      <w:pPr>
        <w:jc w:val="left"/>
        <w:rPr>
          <w:rFonts w:hint="eastAsia" w:ascii="Microsoft YaHei" w:hAnsi="Microsoft YaHei" w:cs="SimSun"/>
          <w:b/>
          <w:bCs/>
          <w:sz w:val="28"/>
          <w:szCs w:val="28"/>
        </w:rPr>
      </w:pPr>
    </w:p>
    <w:p>
      <w:pPr>
        <w:jc w:val="left"/>
        <w:rPr>
          <w:rFonts w:hint="eastAsia" w:ascii="Microsoft YaHei" w:hAnsi="Microsoft YaHei" w:cs="SimSun"/>
          <w:b/>
          <w:bCs/>
          <w:sz w:val="28"/>
          <w:szCs w:val="28"/>
        </w:rPr>
      </w:pPr>
      <w:r>
        <w:rPr>
          <w:rFonts w:hint="eastAsia" w:ascii="Microsoft YaHei" w:hAnsi="Microsoft YaHei" w:cs="SimSun"/>
          <w:b/>
          <w:bCs/>
          <w:sz w:val="28"/>
          <w:szCs w:val="28"/>
        </w:rPr>
        <w:t>案例实战</w:t>
      </w:r>
      <w:r>
        <w:rPr>
          <w:rFonts w:hint="eastAsia" w:ascii="SimHei" w:hAnsi="SimHei" w:eastAsia="SimHei" w:cs="SimHei"/>
          <w:sz w:val="24"/>
          <w:szCs w:val="24"/>
        </w:rPr>
        <w:t>（价值★★★★☆ 爆点100℃）</w:t>
      </w: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40000" cy="1694180"/>
            <wp:effectExtent l="0" t="0" r="12700" b="1270"/>
            <wp:docPr id="2" name="图片 2" descr="IMG_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9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/>
          <w:b/>
          <w:bCs/>
          <w:szCs w:val="21"/>
        </w:rPr>
        <w:t xml:space="preserve">  </w:t>
      </w: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13965" cy="1676400"/>
            <wp:effectExtent l="0" t="0" r="635" b="0"/>
            <wp:docPr id="10" name="图片 3" descr="IMG_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9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29840" cy="1687195"/>
            <wp:effectExtent l="0" t="0" r="3810" b="8255"/>
            <wp:docPr id="11" name="图片 4" descr="IMG_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99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/>
          <w:b/>
          <w:bCs/>
          <w:szCs w:val="21"/>
        </w:rPr>
        <w:t xml:space="preserve">  </w:t>
      </w:r>
      <w:r>
        <w:rPr>
          <w:rFonts w:hint="eastAsia" w:ascii="SimSun" w:hAnsi="SimSun"/>
          <w:b/>
          <w:bCs/>
          <w:szCs w:val="21"/>
        </w:rPr>
        <w:drawing>
          <wp:inline distT="0" distB="0" distL="114300" distR="114300">
            <wp:extent cx="2524760" cy="1683385"/>
            <wp:effectExtent l="0" t="0" r="8890" b="12065"/>
            <wp:docPr id="13" name="图片 5" descr="IMG_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99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t>学员项目嵌套股权设计：现场设计，实时点评，学以致用，带方案回家，多赢。</w:t>
      </w:r>
    </w:p>
    <w:p>
      <w:pPr>
        <w:jc w:val="left"/>
        <w:rPr>
          <w:rFonts w:hint="eastAsia" w:ascii="SimSun" w:hAnsi="SimSun"/>
          <w:b/>
          <w:bCs/>
          <w:szCs w:val="21"/>
        </w:rPr>
      </w:pPr>
    </w:p>
    <w:p>
      <w:pPr>
        <w:jc w:val="left"/>
        <w:rPr>
          <w:rFonts w:hint="eastAsia" w:ascii="SimSun" w:hAnsi="SimSun"/>
          <w:b/>
          <w:bCs/>
          <w:szCs w:val="21"/>
        </w:rPr>
      </w:pPr>
      <w:r>
        <w:rPr>
          <w:rFonts w:hint="eastAsia" w:ascii="SimSun" w:hAnsi="SimSun"/>
          <w:b/>
          <w:bCs/>
          <w:szCs w:val="21"/>
        </w:rPr>
        <w:t>精彩一览：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SimSun" w:hAnsi="SimSun"/>
          <w:szCs w:val="21"/>
        </w:rPr>
        <w:t>在案例实战环节，我们引入学员项目分享+股权设计实战嵌套+小组智囊团+现场点评+方案带回家的方式。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168910</wp:posOffset>
            </wp:positionV>
            <wp:extent cx="2034540" cy="2333625"/>
            <wp:effectExtent l="0" t="0" r="10160" b="3175"/>
            <wp:wrapSquare wrapText="bothSides"/>
            <wp:docPr id="24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334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ge">
                  <wp:posOffset>1318260</wp:posOffset>
                </wp:positionV>
                <wp:extent cx="2774950" cy="1765935"/>
                <wp:effectExtent l="0" t="0" r="6350" b="12065"/>
                <wp:wrapSquare wrapText="bothSides"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465" y="1110615"/>
                          <a:ext cx="2774950" cy="1765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3" w:line="221" w:lineRule="auto"/>
                              <w:rPr>
                                <w:rFonts w:ascii="SimHei" w:hAnsi="SimHei" w:eastAsia="SimHei" w:cs="SimHe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pacing w:val="-7"/>
                                <w:sz w:val="40"/>
                                <w:szCs w:val="40"/>
                                <w14:textOutline w14:w="7282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ascii="SimHei" w:hAnsi="SimHei" w:eastAsia="SimHei" w:cs="SimHei"/>
                                <w:spacing w:val="-6"/>
                                <w:sz w:val="40"/>
                                <w:szCs w:val="40"/>
                                <w14:textOutline w14:w="7282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永飞</w:t>
                            </w:r>
                          </w:p>
                          <w:p>
                            <w:pP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2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企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业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>BLM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科学经营™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绩效飞轮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>®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首席专家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103.8pt;height:139.05pt;width:218.5pt;mso-position-vertical-relative:page;mso-wrap-distance-bottom:0pt;mso-wrap-distance-left:9pt;mso-wrap-distance-right:9pt;mso-wrap-distance-top:0pt;z-index:251663360;v-text-anchor:middle;mso-width-relative:page;mso-height-relative:page;" fillcolor="#FFFFFF [3201]" filled="t" stroked="f" coordsize="21600,21600" o:gfxdata="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A3FxdYAAAALAQAADwAAAAAAAAABACAAAAAiAAAAZHJzL2Rvd25yZXYu&#10;eG1sUEsBAhQAFAAAAAgAh07iQL1huK5vAgAAzgQAAA4AAAAAAAAAAQAgAAAAJQEAAGRycy9lMm9E&#10;b2MueG1sUEsFBgAAAAAGAAYAWQEAAAY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before="263" w:line="221" w:lineRule="auto"/>
                        <w:rPr>
                          <w:rFonts w:ascii="SimHei" w:hAnsi="SimHei" w:eastAsia="SimHei" w:cs="SimHei"/>
                          <w:sz w:val="40"/>
                          <w:szCs w:val="40"/>
                        </w:rPr>
                      </w:pPr>
                      <w:r>
                        <w:rPr>
                          <w:rFonts w:ascii="SimHei" w:hAnsi="SimHei" w:eastAsia="SimHei" w:cs="SimHei"/>
                          <w:spacing w:val="-7"/>
                          <w:sz w:val="40"/>
                          <w:szCs w:val="40"/>
                          <w14:textOutline w14:w="7282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>
                        <w:rPr>
                          <w:rFonts w:ascii="SimHei" w:hAnsi="SimHei" w:eastAsia="SimHei" w:cs="SimHei"/>
                          <w:spacing w:val="-6"/>
                          <w:sz w:val="40"/>
                          <w:szCs w:val="40"/>
                          <w14:textOutline w14:w="7282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永飞</w:t>
                      </w:r>
                    </w:p>
                    <w:p>
                      <w:pP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pacing w:val="-2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企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业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pacing w:val="-1"/>
                          <w:position w:val="2"/>
                          <w:sz w:val="29"/>
                          <w:szCs w:val="29"/>
                        </w:rPr>
                        <w:t>BLM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科学经营™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</w:p>
                    <w:p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绩效飞轮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pacing w:val="-1"/>
                          <w:position w:val="2"/>
                          <w:sz w:val="29"/>
                          <w:szCs w:val="29"/>
                        </w:rPr>
                        <w:t>®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首席专家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spacing w:before="193" w:line="193" w:lineRule="auto"/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93" w:line="193" w:lineRule="auto"/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93" w:line="193" w:lineRule="auto"/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资历背景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光华商学 APP 创始人、共创会创始人、会长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光华-共创会 EMBA 教学长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浙江省第一批管理对标省级专家杭州市电商专委会副主任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原浙大、华科大、中大、川大主讲教授</w:t>
      </w:r>
    </w:p>
    <w:p>
      <w:pPr>
        <w:numPr>
          <w:ilvl w:val="0"/>
          <w:numId w:val="8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曾被聘任为浙江大学主讲教授、浙江工业大学顾问、浙江科技学院创业导师、杭州市电子商务专家咨询委</w:t>
      </w:r>
      <w:r>
        <w:rPr>
          <w:rFonts w:hint="eastAsia" w:ascii="SimSun" w:hAnsi="SimSun" w:cs="SimSun"/>
          <w:sz w:val="21"/>
          <w:szCs w:val="21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sz w:val="21"/>
          <w:szCs w:val="21"/>
        </w:rPr>
        <w:t>员会副主任、广东省电子商务商会荣誉会长、《培训》杂志理事会理事等。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 w:ascii="SimSun" w:hAnsi="SimSun"/>
          <w:color w:val="000000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著有《绩效飞轮》《嬴在中层》《顶尖销售》《消费即创业》《回归经营》《自组织》《开放的力量》《人 才大厦》等畅销书籍。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szCs w:val="22"/>
          <w:lang w:val="en-US" w:eastAsia="zh-CN"/>
        </w:rPr>
      </w:pPr>
    </w:p>
    <w:p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SimSun" w:hAnsi="SimSun" w:eastAsia="SimSun" w:cs="SimSun"/>
          <w:sz w:val="21"/>
          <w:szCs w:val="22"/>
          <w:lang w:val="en-US" w:eastAsia="zh-CN"/>
        </w:rPr>
      </w:pPr>
      <w:r>
        <w:rPr>
          <w:rFonts w:hint="eastAsia"/>
          <w:lang w:eastAsia="zh-CN"/>
        </w:rPr>
        <w:t>阿里巴巴国际网站、浙江吉利控股集团有限公司、艾康生物技术（杭州）有限公司、浙江百诚集团、中国建设银行“新经理人”管理培训、中国人寿保险公司等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Microsoft YaHei" w:hAnsi="Microsoft YaHei" w:eastAsia="Microsoft YaHei"/>
          <w:b/>
          <w:sz w:val="32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0288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88ABD"/>
    <w:multiLevelType w:val="singleLevel"/>
    <w:tmpl w:val="C9388A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575E0F1"/>
    <w:multiLevelType w:val="singleLevel"/>
    <w:tmpl w:val="E575E0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76EF460C"/>
    <w:multiLevelType w:val="singleLevel"/>
    <w:tmpl w:val="76EF460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807DBA"/>
    <w:rsid w:val="04CB3803"/>
    <w:rsid w:val="04CE5CF0"/>
    <w:rsid w:val="04DE7DA4"/>
    <w:rsid w:val="051115FF"/>
    <w:rsid w:val="05710492"/>
    <w:rsid w:val="063C4A85"/>
    <w:rsid w:val="069A4AE7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566035"/>
    <w:rsid w:val="0CD61AA1"/>
    <w:rsid w:val="0D645222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9B5CE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226B6E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3F164B"/>
    <w:rsid w:val="1F5B03CB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0F621DE"/>
    <w:rsid w:val="215D0D9C"/>
    <w:rsid w:val="2189664A"/>
    <w:rsid w:val="21DB4B29"/>
    <w:rsid w:val="22003B30"/>
    <w:rsid w:val="221E1703"/>
    <w:rsid w:val="226F2247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4314E"/>
    <w:rsid w:val="2ACC71C9"/>
    <w:rsid w:val="2AE50191"/>
    <w:rsid w:val="2B4E1D4B"/>
    <w:rsid w:val="2B751740"/>
    <w:rsid w:val="2BA23D03"/>
    <w:rsid w:val="2BA545C3"/>
    <w:rsid w:val="2BD918A8"/>
    <w:rsid w:val="2C012E83"/>
    <w:rsid w:val="2C116E5D"/>
    <w:rsid w:val="2D24466E"/>
    <w:rsid w:val="2DB04FF7"/>
    <w:rsid w:val="2DD22C2D"/>
    <w:rsid w:val="2E823302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EE46E6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A704A3"/>
    <w:rsid w:val="35BE048C"/>
    <w:rsid w:val="360556FB"/>
    <w:rsid w:val="36307C8E"/>
    <w:rsid w:val="36553703"/>
    <w:rsid w:val="36CA3A99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634A8A"/>
    <w:rsid w:val="3F8C2DA7"/>
    <w:rsid w:val="3FAA35FA"/>
    <w:rsid w:val="3FC53093"/>
    <w:rsid w:val="3FDC6494"/>
    <w:rsid w:val="406C6CD0"/>
    <w:rsid w:val="40FE112C"/>
    <w:rsid w:val="42EF6FFB"/>
    <w:rsid w:val="43022668"/>
    <w:rsid w:val="435629B6"/>
    <w:rsid w:val="43C47D83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3F63AB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370278"/>
    <w:rsid w:val="4F694B38"/>
    <w:rsid w:val="4F827BB5"/>
    <w:rsid w:val="51A758CA"/>
    <w:rsid w:val="51B85C55"/>
    <w:rsid w:val="51DF34BB"/>
    <w:rsid w:val="522E06D1"/>
    <w:rsid w:val="52D7336D"/>
    <w:rsid w:val="52D81891"/>
    <w:rsid w:val="53055C1C"/>
    <w:rsid w:val="535B5907"/>
    <w:rsid w:val="538E3A2B"/>
    <w:rsid w:val="53CB0D00"/>
    <w:rsid w:val="53D45799"/>
    <w:rsid w:val="547227F8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35D21"/>
    <w:rsid w:val="57BC1A0B"/>
    <w:rsid w:val="57BD7D41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9FE5684"/>
    <w:rsid w:val="5A23756B"/>
    <w:rsid w:val="5A2B179E"/>
    <w:rsid w:val="5A311D69"/>
    <w:rsid w:val="5A3D2F36"/>
    <w:rsid w:val="5A4C29B3"/>
    <w:rsid w:val="5ADE2689"/>
    <w:rsid w:val="5B35487F"/>
    <w:rsid w:val="5B836CF2"/>
    <w:rsid w:val="5BDB5C7C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4973A1"/>
    <w:rsid w:val="5F5B3296"/>
    <w:rsid w:val="5FAD7930"/>
    <w:rsid w:val="5FD5341C"/>
    <w:rsid w:val="5FE23114"/>
    <w:rsid w:val="60611FEC"/>
    <w:rsid w:val="60C7415A"/>
    <w:rsid w:val="60EB724C"/>
    <w:rsid w:val="6137543E"/>
    <w:rsid w:val="616E1A9D"/>
    <w:rsid w:val="61872CB0"/>
    <w:rsid w:val="61897606"/>
    <w:rsid w:val="618D4BE8"/>
    <w:rsid w:val="62074033"/>
    <w:rsid w:val="6232481E"/>
    <w:rsid w:val="62690286"/>
    <w:rsid w:val="62A616C7"/>
    <w:rsid w:val="62E41D24"/>
    <w:rsid w:val="62E5292E"/>
    <w:rsid w:val="63447353"/>
    <w:rsid w:val="63524B1A"/>
    <w:rsid w:val="6355777F"/>
    <w:rsid w:val="6356780F"/>
    <w:rsid w:val="63AF436A"/>
    <w:rsid w:val="63CE41AA"/>
    <w:rsid w:val="64F11308"/>
    <w:rsid w:val="65076DA3"/>
    <w:rsid w:val="651E5550"/>
    <w:rsid w:val="652134D4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B97914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E1539F3"/>
    <w:rsid w:val="7E1A21DD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autoRedefine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autoRedefine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5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6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autoRedefine/>
    <w:qFormat/>
    <w:uiPriority w:val="0"/>
  </w:style>
  <w:style w:type="character" w:customStyle="1" w:styleId="39">
    <w:name w:val="apple-converted-space"/>
    <w:basedOn w:val="15"/>
    <w:autoRedefine/>
    <w:qFormat/>
    <w:uiPriority w:val="0"/>
  </w:style>
  <w:style w:type="character" w:customStyle="1" w:styleId="40">
    <w:name w:val="a121"/>
    <w:autoRedefine/>
    <w:qFormat/>
    <w:uiPriority w:val="0"/>
    <w:rPr>
      <w:sz w:val="18"/>
      <w:szCs w:val="18"/>
    </w:rPr>
  </w:style>
  <w:style w:type="paragraph" w:customStyle="1" w:styleId="41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49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0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1">
    <w:name w:val="s1"/>
    <w:basedOn w:val="15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2">
    <w:name w:val="s2"/>
    <w:basedOn w:val="15"/>
    <w:autoRedefine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1379</Words>
  <Characters>1435</Characters>
  <Lines>17</Lines>
  <Paragraphs>4</Paragraphs>
  <TotalTime>0</TotalTime>
  <ScaleCrop>false</ScaleCrop>
  <LinksUpToDate>false</LinksUpToDate>
  <CharactersWithSpaces>1477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2024-06-03T07:17:37Z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50A8ED565E16433F93CDA2424B5E70CF_13</vt:lpwstr>
  </property>
</Properties>
</file>