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让战略变为现实：</w:t>
      </w:r>
    </w:p>
    <w:p>
      <w:pPr>
        <w:snapToGrid w:val="0"/>
        <w:jc w:val="center"/>
        <w:rPr>
          <w:rFonts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战略解码与年度经营计划研修班</w:t>
      </w:r>
    </w:p>
    <w:p>
      <w:pPr>
        <w:snapToGrid w:val="0"/>
        <w:rPr>
          <w:rFonts w:ascii="微软雅黑" w:hAnsi="微软雅黑" w:eastAsia="微软雅黑"/>
          <w:sz w:val="20"/>
          <w:szCs w:val="20"/>
        </w:rPr>
      </w:pPr>
    </w:p>
    <w:tbl>
      <w:tblPr>
        <w:tblStyle w:val="8"/>
        <w:tblW w:w="0" w:type="auto"/>
        <w:jc w:val="center"/>
        <w:tblBorders>
          <w:top w:val="single" w:color="D8D8D8" w:themeColor="background1" w:themeShade="D9" w:sz="4" w:space="0"/>
          <w:left w:val="single" w:color="D8D8D8" w:themeColor="background1" w:themeShade="D9" w:sz="4" w:space="0"/>
          <w:bottom w:val="single" w:color="D8D8D8" w:themeColor="background1" w:themeShade="D9" w:sz="4" w:space="0"/>
          <w:right w:val="single" w:color="D8D8D8" w:themeColor="background1" w:themeShade="D9" w:sz="4" w:space="0"/>
          <w:insideH w:val="single" w:color="D8D8D8" w:themeColor="background1" w:themeShade="D9" w:sz="4" w:space="0"/>
          <w:insideV w:val="single" w:color="D8D8D8" w:themeColor="background1" w:themeShade="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3402"/>
      </w:tblGrid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讲师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/Lecturer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苏正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费用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/Price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¥4980元</w:t>
            </w:r>
            <w:r>
              <w:rPr>
                <w:rFonts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655" w:type="dxa"/>
            <w:gridSpan w:val="2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企业团报/提前15天报名课联系顾问了解优惠价</w:t>
            </w:r>
          </w:p>
        </w:tc>
      </w:tr>
    </w:tbl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rPr>
          <w:rFonts w:ascii="微软雅黑" w:hAnsi="微软雅黑" w:eastAsia="微软雅黑" w:cs="微软雅黑"/>
          <w:color w:val="2E74B5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课程排期/</w:t>
      </w:r>
      <w:r>
        <w:rPr>
          <w:rFonts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Scheduling</w:t>
      </w:r>
    </w:p>
    <w:p>
      <w:pPr>
        <w:pStyle w:val="14"/>
        <w:ind w:firstLine="0" w:firstLineChars="0"/>
        <w:rPr>
          <w:rFonts w:ascii="微软雅黑" w:hAnsi="微软雅黑" w:eastAsia="微软雅黑"/>
          <w:color w:val="595959"/>
          <w:sz w:val="16"/>
          <w:szCs w:val="16"/>
        </w:rPr>
      </w:pPr>
    </w:p>
    <w:p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深圳</w:t>
      </w:r>
      <w:r>
        <w:rPr>
          <w:rFonts w:ascii="微软雅黑" w:hAnsi="微软雅黑" w:eastAsia="微软雅黑" w:cs="微软雅黑"/>
          <w:b/>
          <w:color w:val="000000"/>
          <w:sz w:val="20"/>
        </w:rPr>
        <w:t>：202</w:t>
      </w:r>
      <w:r>
        <w:rPr>
          <w:rFonts w:hint="eastAsia" w:ascii="微软雅黑" w:hAnsi="微软雅黑" w:eastAsia="微软雅黑" w:cs="微软雅黑"/>
          <w:b/>
          <w:color w:val="000000"/>
          <w:sz w:val="20"/>
        </w:rPr>
        <w:t>4</w:t>
      </w:r>
      <w:r>
        <w:rPr>
          <w:rFonts w:ascii="微软雅黑" w:hAnsi="微软雅黑" w:eastAsia="微软雅黑" w:cs="微软雅黑"/>
          <w:b/>
          <w:color w:val="000000"/>
          <w:sz w:val="20"/>
        </w:rPr>
        <w:t>年0</w:t>
      </w:r>
      <w:r>
        <w:rPr>
          <w:rFonts w:hint="eastAsia" w:ascii="微软雅黑" w:hAnsi="微软雅黑" w:eastAsia="微软雅黑" w:cs="微软雅黑"/>
          <w:b/>
          <w:color w:val="000000"/>
          <w:sz w:val="20"/>
        </w:rPr>
        <w:t>7</w:t>
      </w:r>
      <w:r>
        <w:rPr>
          <w:rFonts w:ascii="微软雅黑" w:hAnsi="微软雅黑" w:eastAsia="微软雅黑" w:cs="微软雅黑"/>
          <w:b/>
          <w:color w:val="000000"/>
          <w:sz w:val="20"/>
        </w:rPr>
        <w:t>月</w:t>
      </w:r>
      <w:r>
        <w:rPr>
          <w:rFonts w:hint="eastAsia" w:ascii="微软雅黑" w:hAnsi="微软雅黑" w:eastAsia="微软雅黑" w:cs="微软雅黑"/>
          <w:b/>
          <w:color w:val="000000"/>
          <w:sz w:val="20"/>
        </w:rPr>
        <w:t>19</w:t>
      </w:r>
      <w:r>
        <w:rPr>
          <w:rFonts w:ascii="微软雅黑" w:hAnsi="微软雅黑" w:eastAsia="微软雅黑" w:cs="微软雅黑"/>
          <w:b/>
          <w:color w:val="000000"/>
          <w:sz w:val="20"/>
        </w:rPr>
        <w:t>-</w:t>
      </w:r>
      <w:r>
        <w:rPr>
          <w:rFonts w:hint="eastAsia" w:ascii="微软雅黑" w:hAnsi="微软雅黑" w:eastAsia="微软雅黑" w:cs="微软雅黑"/>
          <w:b/>
          <w:color w:val="000000"/>
          <w:sz w:val="20"/>
        </w:rPr>
        <w:t>20</w:t>
      </w:r>
      <w:r>
        <w:rPr>
          <w:rFonts w:ascii="微软雅黑" w:hAnsi="微软雅黑" w:eastAsia="微软雅黑" w:cs="微软雅黑"/>
          <w:b/>
          <w:color w:val="000000"/>
          <w:sz w:val="20"/>
        </w:rPr>
        <w:t>日</w:t>
      </w:r>
    </w:p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课程概述/Overview</w:t>
      </w:r>
      <w:bookmarkStart w:id="2" w:name="_GoBack"/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课程背景：</w:t>
      </w:r>
    </w:p>
    <w:bookmarkEnd w:id="2"/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战略到现实的四大鸿沟：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鸿沟1</w:t>
      </w:r>
      <w:r>
        <w:rPr>
          <w:rFonts w:hint="eastAsia" w:ascii="微软雅黑" w:hAnsi="微软雅黑" w:eastAsia="微软雅黑" w:cs="微软雅黑"/>
          <w:sz w:val="20"/>
        </w:rPr>
        <w:t>∣缺乏清晰的业务重点排序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鸿沟2</w:t>
      </w:r>
      <w:r>
        <w:rPr>
          <w:rFonts w:hint="eastAsia" w:ascii="微软雅黑" w:hAnsi="微软雅黑" w:eastAsia="微软雅黑" w:cs="微软雅黑"/>
          <w:sz w:val="20"/>
        </w:rPr>
        <w:t>∣缺乏必胜的战略路径共识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鸿沟3</w:t>
      </w:r>
      <w:r>
        <w:rPr>
          <w:rFonts w:hint="eastAsia" w:ascii="微软雅黑" w:hAnsi="微软雅黑" w:eastAsia="微软雅黑" w:cs="微软雅黑"/>
          <w:sz w:val="20"/>
        </w:rPr>
        <w:t>∣战略执行与规划脱钩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鸿沟4</w:t>
      </w:r>
      <w:r>
        <w:rPr>
          <w:rFonts w:hint="eastAsia" w:ascii="微软雅黑" w:hAnsi="微软雅黑" w:eastAsia="微软雅黑" w:cs="微软雅黑"/>
          <w:sz w:val="20"/>
        </w:rPr>
        <w:t>∣缺乏支撑战略落地的考核与激励机制</w:t>
      </w:r>
    </w:p>
    <w:p>
      <w:pPr>
        <w:rPr>
          <w:rFonts w:ascii="微软雅黑" w:hAnsi="微软雅黑" w:eastAsia="微软雅黑" w:cs="微软雅黑"/>
          <w:sz w:val="20"/>
        </w:rPr>
      </w:pPr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</w:t>
      </w:r>
      <w:r>
        <w:rPr>
          <w:rFonts w:hint="eastAsia" w:ascii="微软雅黑" w:hAnsi="微软雅黑" w:eastAsia="微软雅黑" w:cs="微软雅黑"/>
          <w:b/>
          <w:color w:val="000000"/>
          <w:sz w:val="22"/>
        </w:rPr>
        <w:t>收益</w:t>
      </w:r>
      <w:r>
        <w:rPr>
          <w:rFonts w:ascii="微软雅黑" w:hAnsi="微软雅黑" w:eastAsia="微软雅黑" w:cs="微软雅黑"/>
          <w:b/>
          <w:color w:val="000000"/>
          <w:sz w:val="22"/>
        </w:rPr>
        <w:t>: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收益1</w:t>
      </w:r>
      <w:r>
        <w:rPr>
          <w:rFonts w:hint="eastAsia" w:ascii="微软雅黑" w:hAnsi="微软雅黑" w:eastAsia="微软雅黑" w:cs="微软雅黑"/>
          <w:sz w:val="20"/>
        </w:rPr>
        <w:t>∣统一思想：专家团队和训战团队运作，企业高管带领团队集体训战，共同作业，群策群力，在训战中统一方法、统一工具、统一语音、统一思想。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收益2</w:t>
      </w:r>
      <w:r>
        <w:rPr>
          <w:rFonts w:hint="eastAsia" w:ascii="微软雅黑" w:hAnsi="微软雅黑" w:eastAsia="微软雅黑" w:cs="微软雅黑"/>
          <w:sz w:val="20"/>
        </w:rPr>
        <w:t>∣绩效增长：洞察战略机会，清晰战略定位（客户、产品、竞争）和增长路径，共识增长战略和目标。通过战斗项目，经济成果三个月可见，通过胜利树立团队的信心。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收益3</w:t>
      </w:r>
      <w:r>
        <w:rPr>
          <w:rFonts w:hint="eastAsia" w:ascii="微软雅黑" w:hAnsi="微软雅黑" w:eastAsia="微软雅黑" w:cs="微软雅黑"/>
          <w:sz w:val="20"/>
        </w:rPr>
        <w:t>∣系统学习：掌握战略生成与澄清+年度经营计划的整套战略解码底层逻辑。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收益4</w:t>
      </w:r>
      <w:r>
        <w:rPr>
          <w:rFonts w:hint="eastAsia" w:ascii="微软雅黑" w:hAnsi="微软雅黑" w:eastAsia="微软雅黑" w:cs="微软雅黑"/>
          <w:sz w:val="20"/>
        </w:rPr>
        <w:t>∣掌握工具：掌握战略解码10个核心工具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①市场洞察工具②市场细分工具③客户定位工具④空间和时间定位工具⑤价值主张工具⑥五大增长杠杆工具⑦必胜战役工具⑧战略地图工具⑨年度经营会计报表⑩年度战斗落地表等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收益</w:t>
      </w: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0"/>
        </w:rPr>
        <w:t>∣方案输出：通过课程实战输出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①《市场洞察输出》②《三年战略地图》③《三年结构业绩增长表》【特色】④《三年必胜战役清单和章程》【特色】⑤《年度经营目标与计划》⑥《年度经营会计报表》⑦《年度战斗计划表》【特色】</w:t>
      </w:r>
    </w:p>
    <w:p>
      <w:pPr>
        <w:rPr>
          <w:rFonts w:ascii="微软雅黑" w:hAnsi="微软雅黑" w:eastAsia="微软雅黑" w:cs="微软雅黑"/>
          <w:b/>
          <w:color w:val="000000"/>
          <w:sz w:val="22"/>
        </w:rPr>
      </w:pPr>
    </w:p>
    <w:p>
      <w:r>
        <w:rPr>
          <w:rFonts w:hint="eastAsia" w:ascii="微软雅黑" w:hAnsi="微软雅黑" w:eastAsia="微软雅黑" w:cs="微软雅黑"/>
          <w:b/>
          <w:color w:val="000000"/>
          <w:sz w:val="22"/>
        </w:rPr>
        <w:t>课程特色</w:t>
      </w:r>
      <w:r>
        <w:rPr>
          <w:rFonts w:ascii="微软雅黑" w:hAnsi="微软雅黑" w:eastAsia="微软雅黑" w:cs="微软雅黑"/>
          <w:b/>
          <w:color w:val="000000"/>
          <w:sz w:val="22"/>
        </w:rPr>
        <w:t>：</w:t>
      </w:r>
    </w:p>
    <w:p>
      <w:pPr>
        <w:rPr>
          <w:rFonts w:ascii="微软雅黑" w:hAnsi="微软雅黑" w:eastAsia="微软雅黑" w:cs="STHeiti"/>
          <w:bCs/>
          <w:kern w:val="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特色1|</w:t>
      </w:r>
      <w:r>
        <w:rPr>
          <w:rFonts w:hint="eastAsia" w:ascii="微软雅黑" w:hAnsi="微软雅黑" w:eastAsia="微软雅黑" w:cs="STHeiti"/>
          <w:bCs/>
          <w:kern w:val="0"/>
        </w:rPr>
        <w:t>实战性：华为、美的等标杆最佳实践深入系统研究+产品历经多年打磨+久经考验=百万级管理咨询项目融入实战落地，非常适合成长型企业。</w:t>
      </w:r>
    </w:p>
    <w:p>
      <w:pPr>
        <w:rPr>
          <w:rFonts w:ascii="微软雅黑" w:hAnsi="微软雅黑" w:eastAsia="微软雅黑" w:cs="STHeiti"/>
          <w:bCs/>
          <w:kern w:val="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特色2|</w:t>
      </w:r>
      <w:r>
        <w:rPr>
          <w:rFonts w:hint="eastAsia" w:ascii="微软雅黑" w:hAnsi="微软雅黑" w:eastAsia="微软雅黑" w:cs="STHeiti"/>
          <w:bCs/>
          <w:kern w:val="0"/>
        </w:rPr>
        <w:t>系统性：带走一套完整的战略规划和年度经营计划方案。</w:t>
      </w:r>
    </w:p>
    <w:p>
      <w:pPr>
        <w:rPr>
          <w:rFonts w:ascii="微软雅黑" w:hAnsi="微软雅黑" w:eastAsia="微软雅黑" w:cs="STHeiti"/>
          <w:bCs/>
          <w:kern w:val="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特色3|</w:t>
      </w:r>
      <w:r>
        <w:rPr>
          <w:rFonts w:hint="eastAsia" w:ascii="微软雅黑" w:hAnsi="微软雅黑" w:eastAsia="微软雅黑" w:cs="STHeiti"/>
          <w:bCs/>
          <w:kern w:val="0"/>
        </w:rPr>
        <w:t>实操性：课前作业准备，课中提供工具表单并落地指导，课后落地。班级采用团队化小组运作，打造互动的学习环境和氛围，学员之间群策群力、互相支持、互助互利。</w:t>
      </w:r>
    </w:p>
    <w:p>
      <w:pPr>
        <w:rPr>
          <w:rFonts w:ascii="微软雅黑" w:hAnsi="微软雅黑" w:eastAsia="微软雅黑" w:cs="STHeiti"/>
          <w:bCs/>
          <w:kern w:val="0"/>
        </w:rPr>
      </w:pPr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课程对象：</w:t>
      </w:r>
    </w:p>
    <w:p>
      <w:pPr>
        <w:widowControl/>
        <w:autoSpaceDE w:val="0"/>
        <w:autoSpaceDN w:val="0"/>
        <w:adjustRightInd w:val="0"/>
        <w:spacing w:after="240" w:line="400" w:lineRule="atLeast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bCs/>
          <w:kern w:val="0"/>
        </w:rPr>
        <w:t xml:space="preserve">HR负责人、绩效负责人、企业负责人、企业高管等 </w:t>
      </w:r>
    </w:p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课程大纲/Outline</w:t>
      </w:r>
    </w:p>
    <w:p>
      <w:pPr>
        <w:rPr>
          <w:rFonts w:ascii="微软雅黑" w:hAnsi="微软雅黑" w:eastAsia="微软雅黑" w:cs="微软雅黑"/>
          <w:b/>
          <w:bCs/>
          <w:color w:val="C55A11" w:themeColor="accent2" w:themeShade="BF"/>
          <w:sz w:val="2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第一部分：6步战略生成、澄清与共识</w:t>
      </w:r>
    </w:p>
    <w:p>
      <w:pPr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第一步、差距分析和战略复盘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目的：从差距分析找改进之处，滚动刷新战略目标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1、业绩差距、机会差距、标杆差距分析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2、差距根因分析和对策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3、战略差距滚动刷新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实战演练输出：《差距回顾表》</w:t>
      </w:r>
    </w:p>
    <w:p>
      <w:pPr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第二步、战略洞察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目的：战略全面洞察，明确想做、可做和能做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1、想做：意图洞察-使命、愿景、战略目标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2、可做：PEST洞察-大事件、大趋势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3、可做：行业洞察-趋势、价值链、细分市场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4、可做：客户洞察-客户需求和定位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5、可做：竞争洞察-竞争战术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6、能做：自身洞察-核心能力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实战演练输出：《SPAN市场空间定位、客户定位、价值主张定位》</w:t>
      </w:r>
    </w:p>
    <w:p>
      <w:pPr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第三步、战略目标制定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目的：确定三年增长结构业绩目标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1、增长矩阵：运营增长、客户增长、渠道增长、产品增长、模式增长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2、三年目标：时间定位和经营结构（客户维度、产品维度）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实战演练输出：《三年战略结构目标》</w:t>
      </w:r>
    </w:p>
    <w:p>
      <w:pPr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第四步、3+1战术制定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目的：根据三年增长目标制定产销研+职能支撑战术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1、研发致胜战术：技术路线图、产品组合和矩阵、完整产品、解决方案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2、营销致胜战术：品牌战术、渠道战术、大客户战术、市场推广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3、供应致胜战术：低成本、高品质、快服务、工艺领先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4、组织致胜战术：组织规划、人才战略、预算制定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实战演练输出：《三年产销研和职能战术》</w:t>
      </w:r>
    </w:p>
    <w:p>
      <w:pPr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第五步、三年必胜战略制定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目的：输出战略关键任务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1、关键战役确定方法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2、必胜战役集体评审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实战演练输出：《战役清单和战役章程》</w:t>
      </w:r>
    </w:p>
    <w:p>
      <w:pPr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第六步、战略地图整理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目标：千言万语不及一张图，图示化的战略更加容易澄清和共识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1、企：战略意图和企图-2定：（要什么）定增长进攻方向+定战略目标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2、业：业务组合-2定：（卖给谁）定客户+（卖什么）定产品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3、战：价值竞争策略-1定：（拼什么）定竞争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4、略：战术支撑-4定：（如何拼）研发、营销、供应、组织战术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实战演练输出：《三年战略地图》</w:t>
      </w:r>
    </w:p>
    <w:p>
      <w:pPr>
        <w:rPr>
          <w:rFonts w:ascii="微软雅黑" w:hAnsi="微软雅黑" w:eastAsia="微软雅黑" w:cs="微软雅黑"/>
          <w:b/>
          <w:bCs/>
          <w:color w:val="C55A11" w:themeColor="accent2" w:themeShade="BF"/>
          <w:sz w:val="2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第二部分：年度经营计划制定</w:t>
      </w:r>
    </w:p>
    <w:p>
      <w:pPr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第一步、年度主题确定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目的：对齐三年战略主题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1、对齐三年战略主题、聚焦年度主题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实战演练输出：《年度经营主题》</w:t>
      </w:r>
    </w:p>
    <w:p>
      <w:pPr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第二步、差距回顾与分析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目的：明确差距和滚动刷新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1、年度差距回顾与分析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2、年度差距分析与滚动刷新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实战演练输出：《年度差距整理表》</w:t>
      </w:r>
    </w:p>
    <w:p>
      <w:pPr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第三步、战略洞察检视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目的：洞察年度机会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1、战略洞察年度检视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2、市场年度变化与应对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实战演练输出：《战略洞察年度整理表》</w:t>
      </w:r>
    </w:p>
    <w:p>
      <w:pPr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第四步、杀敌：年度经营目标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目的：明确年度经营目标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1、制定年度营收和利润目标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2、制定年度降本目标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实战演练输出：《年度销售结构业绩》《年度经营会计报表》</w:t>
      </w:r>
    </w:p>
    <w:p>
      <w:pPr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第五步、布阵：年度经营策略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目的：明确年度经营策略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1、客户价值主张运营协同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2、销售策略协同与制定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3、研发策略协同与制定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4、供应策略协同与制定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实战演练输出：《年度必胜战斗清单》</w:t>
      </w:r>
    </w:p>
    <w:p>
      <w:pPr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第六步、排兵：年度组织策略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目的：明确年度组织策略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1、年度人才规划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2、年度奖金包设计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3、年度高管考核合约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实战演练输出：《年度组织绩效与考核合约》</w:t>
      </w:r>
    </w:p>
    <w:p>
      <w:pPr>
        <w:rPr>
          <w:rFonts w:ascii="微软雅黑" w:hAnsi="微软雅黑" w:eastAsia="微软雅黑" w:cs="微软雅黑"/>
          <w:b/>
          <w:bCs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0"/>
        </w:rPr>
        <w:t>第七步：整理年度战略经营地图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整体：《年度目标管理卡》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销售：《销售结构业绩表》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财务：《年度经营会计表报》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关键任务：《年度战斗表》</w:t>
      </w:r>
    </w:p>
    <w:p>
      <w:pPr>
        <w:rPr>
          <w:rFonts w:ascii="微软雅黑" w:hAnsi="微软雅黑" w:eastAsia="微软雅黑" w:cs="微软雅黑"/>
          <w:b/>
          <w:bCs/>
          <w:color w:val="C55A11" w:themeColor="accent2" w:themeShade="BF"/>
          <w:sz w:val="20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0"/>
        </w:rPr>
        <w:t>结束：课程总结和复盘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1-课程总结和复盘</w:t>
      </w:r>
    </w:p>
    <w:p>
      <w:pPr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2-课后作业和说明</w:t>
      </w:r>
    </w:p>
    <w:p>
      <w:pPr>
        <w:rPr>
          <w:rFonts w:ascii="微软雅黑" w:hAnsi="微软雅黑" w:eastAsia="微软雅黑" w:cs="微软雅黑"/>
          <w:b/>
          <w:color w:val="2E74B5"/>
          <w:sz w:val="26"/>
        </w:rPr>
      </w:pPr>
      <w:bookmarkStart w:id="1" w:name="_Hlk164263062"/>
      <w:r>
        <w:rPr>
          <w:rFonts w:ascii="微软雅黑" w:hAnsi="微软雅黑" w:eastAsia="微软雅黑" w:cs="微软雅黑"/>
          <w:b/>
          <w:color w:val="2E74B5"/>
          <w:sz w:val="26"/>
        </w:rPr>
        <w:t>讲师介绍/Lecturer</w:t>
      </w:r>
    </w:p>
    <w:p>
      <w:r>
        <w:rPr>
          <w:rFonts w:hint="eastAsia" w:ascii="微软雅黑" w:hAnsi="微软雅黑" w:eastAsia="微软雅黑" w:cs="微软雅黑"/>
          <w:b/>
          <w:color w:val="000000"/>
          <w:sz w:val="22"/>
        </w:rPr>
        <w:t>苏正</w:t>
      </w:r>
    </w:p>
    <w:p>
      <w:pPr>
        <w:pStyle w:val="6"/>
        <w:widowControl/>
        <w:spacing w:beforeAutospacing="0" w:afterAutospacing="0"/>
      </w:pPr>
      <w:r>
        <w:drawing>
          <wp:inline distT="0" distB="0" distL="114300" distR="114300">
            <wp:extent cx="1661160" cy="1617980"/>
            <wp:effectExtent l="0" t="0" r="15240" b="1270"/>
            <wp:docPr id="1" name="图片 1" descr="穿西装的男人在微笑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穿西装的男人在微笑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rcRect l="369" t="-203" r="-369" b="203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华为管理经验研究和实践者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近15年管理和咨询经验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战略绩效管理咨询顾问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高绩效中高管团队教练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企业高管教练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工商管理硕士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ICF国际认证专业教练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EMCC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认证团队教练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国家高级人力资源管理师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国家心理咨询师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教练学习正规时数：832</w:t>
      </w:r>
      <w:r>
        <w:rPr>
          <w:rFonts w:ascii="宋体" w:hAnsi="宋体" w:eastAsia="宋体"/>
        </w:rPr>
        <w:t xml:space="preserve"> 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团队教练和个人教练时数：1000+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职业经历</w:t>
      </w:r>
      <w:r>
        <w:rPr>
          <w:rFonts w:hint="eastAsia" w:ascii="微软雅黑" w:hAnsi="微软雅黑" w:eastAsia="微软雅黑" w:cs="微软雅黑"/>
          <w:sz w:val="20"/>
        </w:rPr>
        <w:t>：</w:t>
      </w:r>
      <w:r>
        <w:rPr>
          <w:rFonts w:ascii="微软雅黑" w:hAnsi="微软雅黑" w:eastAsia="微软雅黑" w:cs="微软雅黑"/>
          <w:color w:val="000000"/>
          <w:kern w:val="0"/>
          <w:sz w:val="20"/>
          <w:szCs w:val="20"/>
          <w:lang w:bidi="ar"/>
        </w:rPr>
        <w:t>苏正老师自退伍以来，从事研发、人力资源、销售、经营管理、管理咨询和团队教练工作，</w:t>
      </w: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lang w:bidi="ar"/>
        </w:rPr>
        <w:t>在近15年的管理和咨询生涯中，陪伴企业1到N有着丰富的实战经验。例如：某民营上市公司，从上市3亿规模到12亿高速发展，5年全面陪跑，从战略到执行（DSTE）的体系建设、各部门深入辅导、人才梯队建设与培养。</w:t>
      </w:r>
    </w:p>
    <w:p>
      <w:pPr>
        <w:widowControl/>
        <w:jc w:val="left"/>
        <w:rPr>
          <w:rFonts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擅长</w:t>
      </w:r>
      <w:r>
        <w:rPr>
          <w:rFonts w:hint="eastAsia" w:ascii="微软雅黑" w:hAnsi="微软雅黑" w:eastAsia="微软雅黑" w:cs="微软雅黑"/>
          <w:sz w:val="20"/>
        </w:rPr>
        <w:t>：从战略到执行-战略增长绩效、</w:t>
      </w: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lang w:bidi="ar"/>
        </w:rPr>
        <w:t>中高管团队打造和业绩提升、中高管团队领导力提升</w:t>
      </w:r>
    </w:p>
    <w:p>
      <w:pPr>
        <w:rPr>
          <w:rFonts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版权产品：</w:t>
      </w:r>
    </w:p>
    <w:p>
      <w:r>
        <w:t>《组织人效增长》、《战略增长绩效》、《全面有效</w:t>
      </w:r>
      <w:r>
        <w:rPr>
          <w:rFonts w:hint="eastAsia"/>
        </w:rPr>
        <w:t>分钱》、《团队全程五力激励》、《3×3组织增长</w:t>
      </w:r>
    </w:p>
    <w:p>
      <w:r>
        <w:rPr>
          <w:rFonts w:hint="eastAsia"/>
        </w:rPr>
        <w:t>教练》、《3+2团队绩效教练》、《3×1增强回路教练领导力》</w:t>
      </w:r>
    </w:p>
    <w:bookmarkEnd w:id="1"/>
    <w:p/>
    <w:p/>
    <w:sectPr>
      <w:headerReference r:id="rId4" w:type="first"/>
      <w:headerReference r:id="rId3" w:type="default"/>
      <w:type w:val="continuous"/>
      <w:pgSz w:w="11906" w:h="16838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THeiti">
    <w:altName w:val="宋体"/>
    <w:panose1 w:val="00000000000000000000"/>
    <w:charset w:val="86"/>
    <w:family w:val="swiss"/>
    <w:pitch w:val="default"/>
    <w:sig w:usb0="00000000" w:usb1="00000000" w:usb2="00000000" w:usb3="00000000" w:csb0="0016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D8D8D8" w:themeColor="background1" w:themeShade="D9" w:sz="6" w:space="8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F242DF"/>
    <w:multiLevelType w:val="multilevel"/>
    <w:tmpl w:val="56F242DF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iZTQ3MjZhNzE3NzZmYmMwYzhmNzQzOWI0Njg2M2EifQ=="/>
  </w:docVars>
  <w:rsids>
    <w:rsidRoot w:val="0040003D"/>
    <w:rsid w:val="00225622"/>
    <w:rsid w:val="00226632"/>
    <w:rsid w:val="0040003D"/>
    <w:rsid w:val="0072442F"/>
    <w:rsid w:val="00AE41AB"/>
    <w:rsid w:val="00B12F58"/>
    <w:rsid w:val="00C92C94"/>
    <w:rsid w:val="00F533C4"/>
    <w:rsid w:val="00F9702F"/>
    <w:rsid w:val="0EB44C81"/>
    <w:rsid w:val="1AA04031"/>
    <w:rsid w:val="27BF023A"/>
    <w:rsid w:val="29575631"/>
    <w:rsid w:val="494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210" w:hanging="210" w:hangingChars="100"/>
    </w:pPr>
    <w:rPr>
      <w:rFonts w:ascii="楷体_GB2312" w:eastAsia="楷体_GB2312"/>
      <w:color w:val="4D0B75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页眉 字符"/>
    <w:basedOn w:val="9"/>
    <w:qFormat/>
    <w:uiPriority w:val="99"/>
    <w:rPr>
      <w:sz w:val="18"/>
      <w:szCs w:val="18"/>
    </w:rPr>
  </w:style>
  <w:style w:type="character" w:customStyle="1" w:styleId="12">
    <w:name w:val="页脚 字符"/>
    <w:basedOn w:val="9"/>
    <w:qFormat/>
    <w:uiPriority w:val="99"/>
    <w:rPr>
      <w:sz w:val="18"/>
      <w:szCs w:val="18"/>
    </w:rPr>
  </w:style>
  <w:style w:type="table" w:customStyle="1" w:styleId="13">
    <w:name w:val="无格式表格 11"/>
    <w:basedOn w:val="7"/>
    <w:autoRedefine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列出段落1"/>
    <w:basedOn w:val="1"/>
    <w:autoRedefine/>
    <w:qFormat/>
    <w:uiPriority w:val="99"/>
    <w:pPr>
      <w:ind w:firstLine="420" w:firstLineChars="200"/>
    </w:pPr>
  </w:style>
  <w:style w:type="paragraph" w:customStyle="1" w:styleId="16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4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Props1.xml><?xml version="1.0" encoding="utf-8"?>
<ds:datastoreItem xmlns:ds="http://schemas.openxmlformats.org/officeDocument/2006/customXml" ds:itemID="{4943E5E0-F2EA-4BA1-BC14-B3A66A82A148}">
  <ds:schemaRefs/>
</ds:datastoreItem>
</file>

<file path=customXml/itemProps2.xml><?xml version="1.0" encoding="utf-8"?>
<ds:datastoreItem xmlns:ds="http://schemas.openxmlformats.org/officeDocument/2006/customXml" ds:itemID="{F130A23F-6D5E-4603-83FC-20E6D9C0822F}">
  <ds:schemaRefs/>
</ds:datastoreItem>
</file>

<file path=customXml/itemProps3.xml><?xml version="1.0" encoding="utf-8"?>
<ds:datastoreItem xmlns:ds="http://schemas.openxmlformats.org/officeDocument/2006/customXml" ds:itemID="{EB13F2B9-7468-40D8-BB6F-8A24EBB0C5ED}">
  <ds:schemaRefs/>
</ds:datastoreItem>
</file>

<file path=customXml/itemProps4.xml><?xml version="1.0" encoding="utf-8"?>
<ds:datastoreItem xmlns:ds="http://schemas.openxmlformats.org/officeDocument/2006/customXml" ds:itemID="{46BA7DD2-3D0E-4D58-88CF-EBCD9AFF8A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2389</Words>
  <Characters>2486</Characters>
  <Lines>18</Lines>
  <Paragraphs>5</Paragraphs>
  <TotalTime>29</TotalTime>
  <ScaleCrop>false</ScaleCrop>
  <LinksUpToDate>false</LinksUpToDate>
  <CharactersWithSpaces>2489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2021-12-30T11:55:00Z</dcterms:created>
  <dc:creator>Shen Penny</dc:creator>
  <cp:lastModifiedBy>何老师企赢培训18820199226</cp:lastModifiedBy>
  <dcterms:modified xsi:type="dcterms:W3CDTF">2024-06-26T09:22:28Z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B7DDA78D20BD459F8E108ADC12DB888A_13</vt:lpwstr>
  </property>
</Properties>
</file>