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distribute"/>
        <w:rPr>
          <w:rFonts w:hint="eastAsia" w:ascii="仿宋" w:hAnsi="仿宋" w:eastAsia="仿宋" w:cs="仿宋"/>
          <w:color w:val="000000" w:themeColor="text1"/>
          <w:spacing w:val="-12"/>
          <w:sz w:val="28"/>
          <w:szCs w:val="28"/>
          <w14:textFill>
            <w14:solidFill>
              <w14:schemeClr w14:val="tx1"/>
            </w14:solidFill>
          </w14:textFill>
        </w:rPr>
      </w:pPr>
      <w:r>
        <w:rPr>
          <w:rFonts w:hint="eastAsia" w:asciiTheme="majorEastAsia" w:hAnsiTheme="majorEastAsia" w:eastAsiaTheme="majorEastAsia" w:cstheme="majorEastAsia"/>
          <w:b/>
          <w:bCs/>
          <w:color w:val="FF0000"/>
          <w:w w:val="80"/>
          <w:sz w:val="84"/>
          <w:szCs w:val="84"/>
        </w:rPr>
        <w:t>中国国际工程咨询协会</w:t>
      </w:r>
    </w:p>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71755</wp:posOffset>
                </wp:positionV>
                <wp:extent cx="5537835" cy="5715"/>
                <wp:effectExtent l="0" t="13970" r="5715" b="18415"/>
                <wp:wrapNone/>
                <wp:docPr id="1" name="直接连接符 1"/>
                <wp:cNvGraphicFramePr/>
                <a:graphic xmlns:a="http://schemas.openxmlformats.org/drawingml/2006/main">
                  <a:graphicData uri="http://schemas.microsoft.com/office/word/2010/wordprocessingShape">
                    <wps:wsp>
                      <wps:cNvCnPr/>
                      <wps:spPr>
                        <a:xfrm flipV="1">
                          <a:off x="409575" y="2267585"/>
                          <a:ext cx="5537835" cy="571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6.75pt;margin-top:5.65pt;height:0.45pt;width:436.05pt;z-index:251660288;mso-width-relative:page;mso-height-relative:page;" filled="f" stroked="t" coordsize="21600,21600" o:gfxdata="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NfBENoAAAAIAQAADwAAAAAAAAABACAA&#10;AAAiAAAAZHJzL2Rvd25yZXYueG1sUEsBAhQAFAAAAAgAh07iQF5AZxQLAgAA/wMAAA4AAAAAAAAA&#10;AQAgAAAAKQEAAGRycy9lMm9Eb2MueG1sUEsFBgAAAAAGAAYAWQEAAKY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pPr>
      <w:r>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t>关于举办危大工程安全管控、安全事故应急处置与建筑施工安全双重预防机制建设专题培训班的通知</w:t>
      </w:r>
    </w:p>
    <w:p>
      <w:pPr>
        <w:adjustRightInd w:val="0"/>
        <w:snapToGrid w:val="0"/>
        <w:spacing w:line="300" w:lineRule="exact"/>
        <w:jc w:val="center"/>
        <w:rPr>
          <w:rFonts w:hint="eastAsia" w:ascii="仿宋" w:hAnsi="仿宋" w:eastAsia="仿宋" w:cs="仿宋"/>
          <w:b/>
          <w:bCs/>
          <w:color w:val="000000" w:themeColor="text1"/>
          <w:sz w:val="30"/>
          <w:szCs w:val="30"/>
          <w14:textFill>
            <w14:solidFill>
              <w14:schemeClr w14:val="tx1"/>
            </w14:solidFill>
          </w14:textFill>
        </w:rPr>
      </w:pPr>
    </w:p>
    <w:p>
      <w:pPr>
        <w:pStyle w:val="8"/>
        <w:ind w:firstLine="5399" w:firstLineChars="2100"/>
        <w:rPr>
          <w:rFonts w:hint="eastAsia" w:ascii="仿宋" w:hAnsi="仿宋" w:eastAsia="仿宋" w:cs="仿宋"/>
          <w:b/>
          <w:bCs/>
          <w:color w:val="000000" w:themeColor="text1"/>
          <w14:textFill>
            <w14:solidFill>
              <w14:schemeClr w14:val="tx1"/>
            </w14:solidFill>
          </w14:textFill>
        </w:rPr>
      </w:pPr>
      <w:r>
        <w:rPr>
          <w:rFonts w:hint="eastAsia" w:ascii="宋体" w:hAnsi="宋体" w:eastAsia="宋体" w:cs="宋体"/>
          <w:b/>
          <w:bCs/>
          <w:color w:val="000000" w:themeColor="text1"/>
          <w:spacing w:val="-12"/>
          <w:sz w:val="28"/>
          <w:szCs w:val="28"/>
          <w14:textFill>
            <w14:solidFill>
              <w14:schemeClr w14:val="tx1"/>
            </w14:solidFill>
          </w14:textFill>
        </w:rPr>
        <w:t>国咨协［202</w:t>
      </w:r>
      <w:r>
        <w:rPr>
          <w:rFonts w:hint="eastAsia" w:ascii="宋体" w:hAnsi="宋体" w:eastAsia="宋体" w:cs="宋体"/>
          <w:b/>
          <w:bCs/>
          <w:color w:val="000000" w:themeColor="text1"/>
          <w:spacing w:val="-12"/>
          <w:sz w:val="28"/>
          <w:szCs w:val="28"/>
          <w:lang w:val="en-US" w:eastAsia="zh-CN"/>
          <w14:textFill>
            <w14:solidFill>
              <w14:schemeClr w14:val="tx1"/>
            </w14:solidFill>
          </w14:textFill>
        </w:rPr>
        <w:t>4</w:t>
      </w:r>
      <w:r>
        <w:rPr>
          <w:rFonts w:hint="eastAsia" w:ascii="宋体" w:hAnsi="宋体" w:eastAsia="宋体" w:cs="宋体"/>
          <w:b/>
          <w:bCs/>
          <w:color w:val="000000" w:themeColor="text1"/>
          <w:spacing w:val="-12"/>
          <w:sz w:val="28"/>
          <w:szCs w:val="28"/>
          <w14:textFill>
            <w14:solidFill>
              <w14:schemeClr w14:val="tx1"/>
            </w14:solidFill>
          </w14:textFill>
        </w:rPr>
        <w:t>］</w:t>
      </w:r>
      <w:r>
        <w:rPr>
          <w:rFonts w:hint="eastAsia" w:ascii="宋体" w:hAnsi="宋体" w:cs="宋体"/>
          <w:b/>
          <w:bCs/>
          <w:color w:val="000000" w:themeColor="text1"/>
          <w:spacing w:val="-12"/>
          <w:sz w:val="28"/>
          <w:szCs w:val="28"/>
          <w:lang w:val="en-US" w:eastAsia="zh-CN"/>
          <w14:textFill>
            <w14:solidFill>
              <w14:schemeClr w14:val="tx1"/>
            </w14:solidFill>
          </w14:textFill>
        </w:rPr>
        <w:t>080</w:t>
      </w:r>
      <w:r>
        <w:rPr>
          <w:rFonts w:hint="eastAsia" w:ascii="宋体" w:hAnsi="宋体" w:eastAsia="宋体" w:cs="宋体"/>
          <w:b/>
          <w:bCs/>
          <w:color w:val="000000" w:themeColor="text1"/>
          <w:spacing w:val="-12"/>
          <w:sz w:val="28"/>
          <w:szCs w:val="28"/>
          <w14:textFill>
            <w14:solidFill>
              <w14:schemeClr w14:val="tx1"/>
            </w14:solidFill>
          </w14:textFill>
        </w:rPr>
        <w:t>号</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各有关单位：</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00" w:firstLineChars="200"/>
        <w:jc w:val="both"/>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今年以来，全国安全生产形势稳定向好，但个别行业领域仍然问题突出，特别是建筑业安全生产形势仍不容乐观。近期住房和城乡建设部安全生产管理委员会对多起安全生产事故发出查处督办通知书，要求强化工程施工安全监管，全面排查风险隐患，切实加强建筑施工安全生产管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00" w:firstLineChars="200"/>
        <w:jc w:val="both"/>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建筑业生产安全事故的主要原因有：施工现场管理混乱，不按方案施工、建设项目安全生产主体责任不落实、安全投入不足、工程总承包单位施工管理职责缺失，对分包单位缺乏有效管控；施工单位安全生产管理机制不健全、监理单位现场监督巡检不力，对关键工序等风险控制点失管失控。</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00" w:firstLineChars="200"/>
        <w:jc w:val="both"/>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为深入学习建设领域最新安全政策、标准规范，分析建设项目安全生产形势与安全责任落实、应急管理和处置措施，帮助各有关企业管理人员提高事故预防、隐患排查治理和应急管理的能力，我会决定举办“危大工程安全管控、安全事故应急处置与建筑施工安全双重预防机制建设专题培训班”。本次培训班由中国国际工程咨询协会主办，</w:t>
      </w:r>
      <w:r>
        <w:rPr>
          <w:rFonts w:hint="eastAsia" w:ascii="仿宋" w:hAnsi="仿宋" w:eastAsia="仿宋" w:cs="仿宋"/>
          <w:bCs/>
          <w:color w:val="000000"/>
          <w:sz w:val="28"/>
          <w:szCs w:val="28"/>
        </w:rPr>
        <w:t>北京比时教育咨询有限公司</w:t>
      </w:r>
      <w:r>
        <w:rPr>
          <w:rFonts w:hint="eastAsia" w:ascii="仿宋" w:hAnsi="仿宋" w:eastAsia="仿宋" w:cs="仿宋"/>
          <w:color w:val="000000"/>
          <w:spacing w:val="10"/>
          <w:kern w:val="2"/>
          <w:sz w:val="28"/>
          <w:szCs w:val="28"/>
          <w:shd w:val="clear" w:color="auto" w:fill="auto"/>
          <w:lang w:val="en-US" w:eastAsia="zh-CN" w:bidi="ar-SA"/>
        </w:rPr>
        <w:t>承办，请各单位积极组织相关人员参加。现将有关事宜通知如下：</w:t>
      </w:r>
    </w:p>
    <w:p>
      <w:pPr>
        <w:keepNext w:val="0"/>
        <w:keepLines w:val="0"/>
        <w:pageBreakBefore w:val="0"/>
        <w:tabs>
          <w:tab w:val="left" w:pos="567"/>
          <w:tab w:val="left" w:pos="709"/>
        </w:tabs>
        <w:kinsoku/>
        <w:wordWrap/>
        <w:overflowPunct/>
        <w:topLinePunct w:val="0"/>
        <w:autoSpaceDE/>
        <w:autoSpaceDN/>
        <w:bidi w:val="0"/>
        <w:adjustRightInd/>
        <w:snapToGrid/>
        <w:spacing w:line="540" w:lineRule="exact"/>
        <w:ind w:leftChars="0" w:firstLine="506" w:firstLineChars="200"/>
        <w:textAlignment w:val="baseline"/>
        <w:outlineLvl w:val="0"/>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sz w:val="28"/>
          <w:szCs w:val="28"/>
        </w:rPr>
        <w:t>一、培训内容</w:t>
      </w:r>
    </w:p>
    <w:p>
      <w:pPr>
        <w:keepNext w:val="0"/>
        <w:keepLines w:val="0"/>
        <w:pageBreakBefore w:val="0"/>
        <w:kinsoku/>
        <w:wordWrap/>
        <w:overflowPunct/>
        <w:topLinePunct w:val="0"/>
        <w:autoSpaceDE/>
        <w:autoSpaceDN/>
        <w:bidi w:val="0"/>
        <w:adjustRightInd/>
        <w:snapToGrid/>
        <w:spacing w:line="480" w:lineRule="exact"/>
        <w:ind w:firstLine="506" w:firstLineChars="200"/>
        <w:jc w:val="left"/>
        <w:rPr>
          <w:rFonts w:hint="default" w:ascii="仿宋" w:hAnsi="仿宋" w:eastAsia="仿宋" w:cs="仿宋"/>
          <w:b/>
          <w:bCs/>
          <w:color w:val="000000"/>
          <w:w w:val="90"/>
          <w:kern w:val="2"/>
          <w:sz w:val="28"/>
          <w:szCs w:val="28"/>
          <w:lang w:val="en-US" w:eastAsia="zh-CN" w:bidi="ar-SA"/>
        </w:rPr>
      </w:pPr>
      <w:r>
        <w:rPr>
          <w:rFonts w:hint="eastAsia" w:ascii="仿宋" w:hAnsi="仿宋" w:eastAsia="仿宋" w:cs="仿宋"/>
          <w:b/>
          <w:bCs/>
          <w:color w:val="000000"/>
          <w:w w:val="90"/>
          <w:kern w:val="2"/>
          <w:sz w:val="28"/>
          <w:szCs w:val="28"/>
          <w:lang w:val="en-US" w:eastAsia="zh-CN" w:bidi="ar-SA"/>
        </w:rPr>
        <w:t>第一部分：</w:t>
      </w:r>
      <w:r>
        <w:rPr>
          <w:rFonts w:hint="eastAsia" w:ascii="仿宋" w:hAnsi="仿宋" w:eastAsia="仿宋" w:cs="仿宋"/>
          <w:b/>
          <w:bCs/>
          <w:color w:val="000000"/>
          <w:spacing w:val="10"/>
          <w:kern w:val="2"/>
          <w:sz w:val="28"/>
          <w:szCs w:val="28"/>
          <w:shd w:val="clear" w:color="auto" w:fill="auto"/>
          <w:lang w:val="en-US" w:eastAsia="zh-CN" w:bidi="ar-SA"/>
        </w:rPr>
        <w:t>建筑施工安全法制建设与强制性通用规范解读</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1.企业主要负责人和安全生产管理人员安全生产方面的基本职责与常见的刑事法律风险；</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2.第一责任人的责任主体和主体责任的认知误区；</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3.法律法规对第一责任人的主体责任规定；</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4.典型的安全事故追责案件辩护实录及精解；</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5.刑辩律师视角下企业主要负责人和安全生产管理人员应如何规避安全事故引发的刑事法律风险；</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6.国标《建筑与市政施工现场安全卫生与职业健康通用规范》GB 55034-2022规范解析。</w:t>
      </w:r>
    </w:p>
    <w:p>
      <w:pPr>
        <w:pStyle w:val="14"/>
        <w:keepNext w:val="0"/>
        <w:keepLines w:val="0"/>
        <w:pageBreakBefore w:val="0"/>
        <w:numPr>
          <w:ilvl w:val="0"/>
          <w:numId w:val="0"/>
        </w:numPr>
        <w:kinsoku/>
        <w:wordWrap/>
        <w:overflowPunct/>
        <w:topLinePunct w:val="0"/>
        <w:autoSpaceDE/>
        <w:autoSpaceDN/>
        <w:bidi w:val="0"/>
        <w:adjustRightInd/>
        <w:snapToGrid/>
        <w:spacing w:line="480" w:lineRule="exact"/>
        <w:ind w:firstLine="506" w:firstLineChars="200"/>
        <w:rPr>
          <w:rFonts w:hint="default" w:ascii="仿宋" w:hAnsi="仿宋" w:eastAsia="仿宋" w:cs="仿宋"/>
          <w:b/>
          <w:bCs/>
          <w:color w:val="000000"/>
          <w:w w:val="90"/>
          <w:kern w:val="2"/>
          <w:sz w:val="28"/>
          <w:szCs w:val="28"/>
          <w:lang w:val="en-US" w:eastAsia="zh-CN" w:bidi="ar-SA"/>
        </w:rPr>
      </w:pPr>
      <w:r>
        <w:rPr>
          <w:rFonts w:hint="eastAsia" w:ascii="仿宋" w:hAnsi="仿宋" w:eastAsia="仿宋" w:cs="仿宋"/>
          <w:b/>
          <w:bCs/>
          <w:color w:val="000000"/>
          <w:w w:val="90"/>
          <w:kern w:val="2"/>
          <w:sz w:val="28"/>
          <w:szCs w:val="28"/>
          <w:lang w:val="en-US" w:eastAsia="zh-CN" w:bidi="ar-SA"/>
        </w:rPr>
        <w:t>第二部分：危大工程安全管控实务</w:t>
      </w:r>
    </w:p>
    <w:p>
      <w:pPr>
        <w:keepNext w:val="0"/>
        <w:keepLines w:val="0"/>
        <w:pageBreakBefore w:val="0"/>
        <w:shd w:val="clear" w:color="auto" w:fill="FFFFFF"/>
        <w:kinsoku/>
        <w:wordWrap/>
        <w:overflowPunct/>
        <w:topLinePunct w:val="0"/>
        <w:autoSpaceDE/>
        <w:autoSpaceDN/>
        <w:bidi w:val="0"/>
        <w:adjustRightInd/>
        <w:snapToGrid/>
        <w:spacing w:line="480" w:lineRule="exact"/>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  </w:t>
      </w:r>
      <w:r>
        <w:rPr>
          <w:rFonts w:hint="eastAsia" w:ascii="仿宋" w:hAnsi="仿宋" w:eastAsia="仿宋" w:cs="仿宋"/>
          <w:b/>
          <w:bCs/>
          <w:color w:val="000000"/>
          <w:spacing w:val="10"/>
          <w:kern w:val="2"/>
          <w:sz w:val="28"/>
          <w:szCs w:val="28"/>
          <w:shd w:val="clear" w:color="auto" w:fill="auto"/>
          <w:lang w:val="en-US" w:eastAsia="zh-CN" w:bidi="ar-SA"/>
        </w:rPr>
        <w:t>（一）建设工程安全风险分级管控与关键技术实务操作</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1.深基坑工程设计施工中的安全问题与管控</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（1）深基坑工程的特点及重点；</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（2）深基坑工程的概念设计；</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（3）深基坑工程的施工方法；</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（4）基坑支护结构设计与施工；</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（5）深基坑设计及施工安全问题与管控案例及分析；</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2.建筑施工脚手架安全技术标准及案例分析</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（1）专项施工方案及论证；</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（2）安全技术标准及监管要点；</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3.建筑施工高处作业吊篮安全管理的标准及案例分析</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（1）高处作业吊篮施工安全监管现状；</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（2）高处作业吊篮相关标准解读；</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（3）高处作业吊篮事故案例分析；</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4.模板支架应用技术。</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Chars="0" w:firstLine="301"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spacing w:val="10"/>
          <w:kern w:val="2"/>
          <w:sz w:val="28"/>
          <w:szCs w:val="28"/>
          <w:shd w:val="clear" w:color="auto" w:fill="auto"/>
          <w:lang w:val="en-US" w:eastAsia="zh-CN" w:bidi="ar-SA"/>
        </w:rPr>
        <w:t>（二）</w:t>
      </w:r>
      <w:r>
        <w:rPr>
          <w:rFonts w:hint="eastAsia" w:ascii="仿宋" w:hAnsi="仿宋" w:eastAsia="仿宋" w:cs="仿宋"/>
          <w:b/>
          <w:bCs/>
          <w:color w:val="000000"/>
          <w:w w:val="90"/>
          <w:kern w:val="2"/>
          <w:sz w:val="28"/>
          <w:szCs w:val="28"/>
        </w:rPr>
        <w:t>建设施工过程中安全隐患排查治理</w:t>
      </w:r>
    </w:p>
    <w:p>
      <w:pPr>
        <w:keepNext w:val="0"/>
        <w:keepLines w:val="0"/>
        <w:pageBreakBefore w:val="0"/>
        <w:shd w:val="clear" w:color="auto" w:fill="FFFFFF"/>
        <w:kinsoku/>
        <w:wordWrap/>
        <w:overflowPunct/>
        <w:topLinePunct w:val="0"/>
        <w:autoSpaceDE/>
        <w:autoSpaceDN/>
        <w:bidi w:val="0"/>
        <w:adjustRightInd/>
        <w:snapToGrid/>
        <w:spacing w:line="480" w:lineRule="exact"/>
        <w:ind w:left="838" w:leftChars="285" w:hanging="240" w:hangingChars="8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1.住建部及各地对于建筑施工安全隐患排查与治理的规范性文件解读；</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2.建设施工工程中安全隐患种类划分；</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3.建设项目安全隐患排查的常用方法；</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4.建设施工过程中安全隐患排查治理的技术应用与创新。</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Chars="0" w:firstLine="301"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spacing w:val="10"/>
          <w:kern w:val="2"/>
          <w:sz w:val="28"/>
          <w:szCs w:val="28"/>
          <w:shd w:val="clear" w:color="auto" w:fill="auto"/>
          <w:lang w:val="en-US" w:eastAsia="zh-CN" w:bidi="ar-SA"/>
        </w:rPr>
        <w:t>（三）</w:t>
      </w:r>
      <w:r>
        <w:rPr>
          <w:rFonts w:hint="eastAsia" w:ascii="仿宋" w:hAnsi="仿宋" w:eastAsia="仿宋" w:cs="仿宋"/>
          <w:b/>
          <w:bCs/>
          <w:color w:val="000000"/>
          <w:w w:val="90"/>
          <w:kern w:val="2"/>
          <w:sz w:val="28"/>
          <w:szCs w:val="28"/>
        </w:rPr>
        <w:t>危大工程安全管理实务</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1.建设工程超过一定规模的危险性较大的分部分项范围；</w:t>
      </w:r>
    </w:p>
    <w:p>
      <w:pPr>
        <w:keepNext w:val="0"/>
        <w:keepLines w:val="0"/>
        <w:pageBreakBefore w:val="0"/>
        <w:shd w:val="clear" w:color="auto" w:fill="FFFFFF"/>
        <w:kinsoku/>
        <w:wordWrap/>
        <w:overflowPunct/>
        <w:topLinePunct w:val="0"/>
        <w:autoSpaceDE/>
        <w:autoSpaceDN/>
        <w:bidi w:val="0"/>
        <w:adjustRightInd/>
        <w:snapToGrid/>
        <w:spacing w:line="480" w:lineRule="exact"/>
        <w:ind w:left="838" w:leftChars="285" w:hanging="240" w:hangingChars="8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2.危大工程专项施工方案编制、审核、实施及验收中存在的疑点、难点问题解析；</w:t>
      </w:r>
    </w:p>
    <w:p>
      <w:pPr>
        <w:keepNext w:val="0"/>
        <w:keepLines w:val="0"/>
        <w:pageBreakBefore w:val="0"/>
        <w:shd w:val="clear" w:color="auto" w:fill="FFFFFF"/>
        <w:kinsoku/>
        <w:wordWrap/>
        <w:overflowPunct/>
        <w:topLinePunct w:val="0"/>
        <w:autoSpaceDE/>
        <w:autoSpaceDN/>
        <w:bidi w:val="0"/>
        <w:adjustRightInd/>
        <w:snapToGrid/>
        <w:spacing w:line="480" w:lineRule="exact"/>
        <w:ind w:left="833" w:leftChars="284" w:hanging="237" w:hangingChars="79"/>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3.建设各方工程技术风险的控制职责及各阶段的风险控制要点深度解析；</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4.危大工程安全违法行为查处、事故问责与刑事责任追究；</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5.安全事故预防与安全管控措施，经验交流等；</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6.大型工程勘察、设计、施工各阶段的风险控制要点；</w:t>
      </w:r>
    </w:p>
    <w:p>
      <w:pPr>
        <w:keepNext w:val="0"/>
        <w:keepLines w:val="0"/>
        <w:pageBreakBefore w:val="0"/>
        <w:shd w:val="clear" w:color="auto" w:fill="FFFFFF"/>
        <w:kinsoku/>
        <w:wordWrap/>
        <w:overflowPunct/>
        <w:topLinePunct w:val="0"/>
        <w:autoSpaceDE/>
        <w:autoSpaceDN/>
        <w:bidi w:val="0"/>
        <w:adjustRightInd/>
        <w:snapToGrid/>
        <w:spacing w:line="480" w:lineRule="exact"/>
        <w:ind w:left="838" w:leftChars="285" w:hanging="240" w:hangingChars="8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7.大型工程技术风险评估报告、总结报告、工作月报等格式要求与要点。</w:t>
      </w:r>
    </w:p>
    <w:p>
      <w:pPr>
        <w:spacing w:line="480" w:lineRule="exact"/>
        <w:ind w:firstLine="506" w:firstLineChars="200"/>
        <w:jc w:val="left"/>
        <w:rPr>
          <w:rFonts w:hint="eastAsia" w:ascii="仿宋" w:hAnsi="仿宋" w:eastAsia="仿宋" w:cs="仿宋"/>
          <w:b/>
          <w:bCs/>
          <w:color w:val="000000"/>
          <w:w w:val="90"/>
          <w:kern w:val="2"/>
          <w:sz w:val="28"/>
          <w:szCs w:val="28"/>
          <w:lang w:val="en-US" w:eastAsia="zh-CN" w:bidi="ar-SA"/>
        </w:rPr>
      </w:pPr>
      <w:r>
        <w:rPr>
          <w:rFonts w:hint="eastAsia" w:ascii="仿宋" w:hAnsi="仿宋" w:eastAsia="仿宋" w:cs="仿宋"/>
          <w:b/>
          <w:bCs/>
          <w:color w:val="000000"/>
          <w:w w:val="90"/>
          <w:kern w:val="2"/>
          <w:sz w:val="28"/>
          <w:szCs w:val="28"/>
          <w:lang w:val="en-US" w:eastAsia="zh-CN" w:bidi="ar-SA"/>
        </w:rPr>
        <w:t>第三部分：危大事故应急处理</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（一）应急预案管理</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1.应急预案的分类</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2.应急预案的编制</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3.应急预案的修订</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4.应急预案的应急预案的评审、备案和公布</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5.应急预案的培训和演练</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（二）应急管理处置</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1.应急处置概述</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2.事故灾难应急处置</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（1）火灾应急处置</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（2）触电事故应急处置</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（3）高处坠落应急处置</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（4）建筑物倒塌应急处置</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（5）中毒应急处置</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（6）意外伤害应急处置</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3.其他灾害应急处置</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（三）事故应急救援</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 应急救援队伍</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 应急救源实施</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 现场应急救援技能</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（四）事故消除或减小特例</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 非生产安全事故</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 非责任事故</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 无总包管理责任事故</w:t>
      </w:r>
    </w:p>
    <w:p>
      <w:pPr>
        <w:pStyle w:val="14"/>
        <w:keepNext w:val="0"/>
        <w:keepLines w:val="0"/>
        <w:pageBreakBefore w:val="0"/>
        <w:numPr>
          <w:ilvl w:val="0"/>
          <w:numId w:val="0"/>
        </w:numPr>
        <w:kinsoku/>
        <w:wordWrap/>
        <w:overflowPunct/>
        <w:topLinePunct w:val="0"/>
        <w:autoSpaceDE/>
        <w:autoSpaceDN/>
        <w:bidi w:val="0"/>
        <w:adjustRightInd/>
        <w:snapToGrid/>
        <w:spacing w:line="480" w:lineRule="exact"/>
        <w:ind w:firstLine="506" w:firstLineChars="200"/>
        <w:rPr>
          <w:rFonts w:hint="eastAsia" w:ascii="仿宋" w:hAnsi="仿宋" w:eastAsia="仿宋" w:cs="仿宋"/>
          <w:b/>
          <w:bCs/>
          <w:color w:val="000000"/>
          <w:w w:val="90"/>
          <w:kern w:val="2"/>
          <w:sz w:val="28"/>
          <w:szCs w:val="28"/>
          <w:lang w:val="en-US" w:eastAsia="zh-CN" w:bidi="ar-SA"/>
        </w:rPr>
      </w:pPr>
      <w:r>
        <w:rPr>
          <w:rFonts w:hint="eastAsia" w:ascii="仿宋" w:hAnsi="仿宋" w:eastAsia="仿宋" w:cs="仿宋"/>
          <w:b/>
          <w:bCs/>
          <w:color w:val="000000"/>
          <w:w w:val="90"/>
          <w:kern w:val="2"/>
          <w:sz w:val="28"/>
          <w:szCs w:val="28"/>
          <w:lang w:val="en-US" w:eastAsia="zh-CN" w:bidi="ar-SA"/>
        </w:rPr>
        <w:t>第四部分：建筑施工安全双重预防体系建设</w:t>
      </w:r>
    </w:p>
    <w:p>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（一）双重预防组织体系建设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1.成立组织机构；</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2.制定工作方案；</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3.明确岗位职责；</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4.完善工作制度；</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微软雅黑" w:hAnsi="微软雅黑" w:eastAsia="微软雅黑" w:cs="微软雅黑"/>
          <w:sz w:val="24"/>
          <w:szCs w:val="24"/>
        </w:rPr>
      </w:pPr>
      <w:r>
        <w:rPr>
          <w:rFonts w:hint="eastAsia" w:ascii="仿宋" w:hAnsi="仿宋" w:eastAsia="仿宋" w:cs="仿宋"/>
          <w:color w:val="000000"/>
          <w:spacing w:val="10"/>
          <w:kern w:val="2"/>
          <w:sz w:val="28"/>
          <w:szCs w:val="28"/>
          <w:shd w:val="clear" w:color="auto" w:fill="auto"/>
          <w:lang w:val="en-US" w:eastAsia="zh-CN" w:bidi="ar-SA"/>
        </w:rPr>
        <w:t>5.保障工作经费。</w:t>
      </w:r>
    </w:p>
    <w:p>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（二）双重预防体系教育培训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1.制定培训计划；</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2.明确培训内容；</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3.分层级开展培训。</w:t>
      </w:r>
    </w:p>
    <w:p>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（三）全过程的风险管控管理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1.风险点确定；</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2.危险源辨识与分析；</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3.风险评价；</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4.风险控制措施；</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5.风险分级管控；</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微软雅黑" w:hAnsi="微软雅黑" w:eastAsia="微软雅黑" w:cs="微软雅黑"/>
          <w:sz w:val="24"/>
          <w:szCs w:val="24"/>
        </w:rPr>
      </w:pPr>
      <w:r>
        <w:rPr>
          <w:rFonts w:hint="eastAsia" w:ascii="仿宋" w:hAnsi="仿宋" w:eastAsia="仿宋" w:cs="仿宋"/>
          <w:color w:val="000000"/>
          <w:spacing w:val="10"/>
          <w:kern w:val="2"/>
          <w:sz w:val="28"/>
          <w:szCs w:val="28"/>
          <w:shd w:val="clear" w:color="auto" w:fill="auto"/>
          <w:lang w:val="en-US" w:eastAsia="zh-CN" w:bidi="ar-SA"/>
        </w:rPr>
        <w:t>6.风险告知。</w:t>
      </w:r>
    </w:p>
    <w:p>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（四）双重预防体系过程管控</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1.管控要求；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2.综合管控；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3.专业管控；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4.动态管控；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5.风险隐患公示；</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微软雅黑" w:hAnsi="微软雅黑" w:eastAsia="微软雅黑" w:cs="微软雅黑"/>
          <w:sz w:val="24"/>
          <w:szCs w:val="24"/>
        </w:rPr>
      </w:pPr>
      <w:r>
        <w:rPr>
          <w:rFonts w:hint="eastAsia" w:ascii="仿宋" w:hAnsi="仿宋" w:eastAsia="仿宋" w:cs="仿宋"/>
          <w:color w:val="000000"/>
          <w:spacing w:val="10"/>
          <w:kern w:val="2"/>
          <w:sz w:val="28"/>
          <w:szCs w:val="28"/>
          <w:shd w:val="clear" w:color="auto" w:fill="auto"/>
          <w:lang w:val="en-US" w:eastAsia="zh-CN" w:bidi="ar-SA"/>
        </w:rPr>
        <w:t>6.信息上报。</w:t>
      </w:r>
    </w:p>
    <w:p>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（五）双重预防体系持续改进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1.评估；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2.更新；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3.沟通；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4.考核。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default"/>
          <w:lang w:val="en-US" w:eastAsia="zh-CN"/>
        </w:rPr>
      </w:pPr>
      <w:r>
        <w:rPr>
          <w:rFonts w:hint="eastAsia" w:ascii="仿宋" w:hAnsi="仿宋" w:eastAsia="仿宋" w:cs="仿宋"/>
          <w:color w:val="000000"/>
          <w:spacing w:val="10"/>
          <w:kern w:val="2"/>
          <w:sz w:val="28"/>
          <w:szCs w:val="28"/>
          <w:shd w:val="clear" w:color="auto" w:fill="auto"/>
          <w:lang w:val="en-US" w:eastAsia="zh-CN" w:bidi="ar-SA"/>
        </w:rPr>
        <w:t xml:space="preserve">（六）双重预防体系的信息化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Chars="0" w:firstLine="506" w:firstLineChars="2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二、培训对象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各建设工程质量安全监督主管领导和有关人员；各建设单位主要安全负责人、技术、安全、法务、相关部门负责人员、专职安全生产管理人员；监理单位项目总监和安全监理工程师；设计院总工程师、技术、安全、法务负责人等。</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Chars="0" w:firstLine="506" w:firstLineChars="2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三、授课师资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rPr>
          <w:rFonts w:hint="eastAsia" w:ascii="仿宋" w:hAnsi="仿宋" w:eastAsia="仿宋" w:cs="仿宋"/>
          <w:b/>
          <w:bCs/>
          <w:color w:val="000000"/>
          <w:w w:val="90"/>
          <w:kern w:val="2"/>
          <w:sz w:val="28"/>
          <w:szCs w:val="28"/>
          <w:lang w:val="en-US" w:eastAsia="zh-CN"/>
        </w:rPr>
      </w:pPr>
      <w:r>
        <w:rPr>
          <w:rFonts w:hint="eastAsia" w:ascii="仿宋" w:hAnsi="仿宋" w:eastAsia="仿宋" w:cs="仿宋"/>
          <w:color w:val="000000"/>
          <w:spacing w:val="10"/>
          <w:kern w:val="2"/>
          <w:sz w:val="28"/>
          <w:szCs w:val="28"/>
          <w:shd w:val="clear" w:color="auto" w:fill="auto"/>
          <w:lang w:val="en-US" w:eastAsia="zh-CN"/>
        </w:rPr>
        <w:t>届时邀请住建部有关部门、北京建筑大学、建设工程质量监督站等有关部门具有丰富实践经验的专家授课。培训将结合经典案例分析，进行现场答疑和互动交流。</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Chars="0" w:firstLine="506" w:firstLineChars="200"/>
        <w:jc w:val="both"/>
        <w:rPr>
          <w:rFonts w:hint="eastAsia" w:ascii="仿宋" w:hAnsi="仿宋" w:eastAsia="仿宋" w:cs="仿宋"/>
          <w:b/>
          <w:bCs/>
          <w:color w:val="000000"/>
          <w:w w:val="90"/>
          <w:kern w:val="2"/>
          <w:sz w:val="28"/>
          <w:szCs w:val="28"/>
          <w:lang w:val="en-US" w:eastAsia="zh-CN"/>
        </w:rPr>
      </w:pPr>
      <w:r>
        <w:rPr>
          <w:rFonts w:hint="eastAsia" w:ascii="仿宋" w:hAnsi="仿宋" w:eastAsia="仿宋" w:cs="仿宋"/>
          <w:b/>
          <w:bCs/>
          <w:color w:val="000000"/>
          <w:w w:val="90"/>
          <w:kern w:val="2"/>
          <w:sz w:val="28"/>
          <w:szCs w:val="28"/>
          <w:lang w:val="en-US" w:eastAsia="zh-CN"/>
        </w:rPr>
        <w:t>四、</w:t>
      </w:r>
      <w:r>
        <w:rPr>
          <w:rFonts w:hint="eastAsia" w:ascii="仿宋" w:hAnsi="仿宋" w:eastAsia="仿宋" w:cs="仿宋"/>
          <w:b/>
          <w:bCs/>
          <w:color w:val="000000"/>
          <w:w w:val="90"/>
          <w:kern w:val="2"/>
          <w:sz w:val="28"/>
          <w:szCs w:val="28"/>
        </w:rPr>
        <w:t>培训时间</w:t>
      </w:r>
    </w:p>
    <w:p>
      <w:pPr>
        <w:spacing w:line="500" w:lineRule="exact"/>
        <w:ind w:firstLine="600" w:firstLineChars="200"/>
        <w:rPr>
          <w:rFonts w:hint="eastAsia" w:ascii="仿宋" w:hAnsi="仿宋" w:eastAsia="仿宋" w:cs="仿宋"/>
          <w:color w:val="auto"/>
          <w:spacing w:val="10"/>
          <w:sz w:val="28"/>
          <w:szCs w:val="28"/>
          <w:lang w:val="en-US" w:eastAsia="zh-CN"/>
        </w:rPr>
      </w:pPr>
      <w:r>
        <w:rPr>
          <w:rFonts w:hint="eastAsia" w:ascii="仿宋" w:hAnsi="仿宋" w:eastAsia="仿宋" w:cs="仿宋"/>
          <w:color w:val="auto"/>
          <w:spacing w:val="10"/>
          <w:sz w:val="28"/>
          <w:szCs w:val="28"/>
          <w:lang w:val="en-US" w:eastAsia="zh-CN"/>
        </w:rPr>
        <w:t>2024年8月16日—8月19日   重庆市 （16日全天报到）</w:t>
      </w:r>
    </w:p>
    <w:p>
      <w:pPr>
        <w:spacing w:line="500" w:lineRule="exact"/>
        <w:ind w:firstLine="600" w:firstLineChars="200"/>
        <w:rPr>
          <w:rFonts w:hint="eastAsia" w:ascii="仿宋" w:hAnsi="仿宋" w:eastAsia="仿宋" w:cs="仿宋"/>
          <w:color w:val="auto"/>
          <w:spacing w:val="10"/>
          <w:sz w:val="28"/>
          <w:szCs w:val="28"/>
          <w:lang w:val="en-US" w:eastAsia="zh-CN"/>
        </w:rPr>
      </w:pPr>
      <w:r>
        <w:rPr>
          <w:rFonts w:hint="eastAsia" w:ascii="仿宋" w:hAnsi="仿宋" w:eastAsia="仿宋" w:cs="仿宋"/>
          <w:color w:val="auto"/>
          <w:spacing w:val="10"/>
          <w:sz w:val="28"/>
          <w:szCs w:val="28"/>
          <w:lang w:val="en-US" w:eastAsia="zh-CN"/>
        </w:rPr>
        <w:t>2024年8月23日—8月26日   昆明市 （23日全天报到）</w:t>
      </w:r>
    </w:p>
    <w:p>
      <w:pPr>
        <w:spacing w:line="500" w:lineRule="exact"/>
        <w:ind w:firstLine="600" w:firstLineChars="200"/>
        <w:rPr>
          <w:rFonts w:hint="eastAsia" w:ascii="仿宋" w:hAnsi="仿宋" w:eastAsia="仿宋" w:cs="仿宋"/>
          <w:color w:val="auto"/>
          <w:spacing w:val="10"/>
          <w:sz w:val="28"/>
          <w:szCs w:val="28"/>
          <w:lang w:val="en-US" w:eastAsia="zh-CN"/>
        </w:rPr>
      </w:pPr>
      <w:r>
        <w:rPr>
          <w:rFonts w:hint="eastAsia" w:ascii="仿宋" w:hAnsi="仿宋" w:eastAsia="仿宋" w:cs="仿宋"/>
          <w:color w:val="auto"/>
          <w:spacing w:val="10"/>
          <w:sz w:val="28"/>
          <w:szCs w:val="28"/>
          <w:lang w:val="en-US" w:eastAsia="zh-CN"/>
        </w:rPr>
        <w:t>2024年9月06日—9月09日   成都市 （06日全天报到）</w:t>
      </w:r>
    </w:p>
    <w:p>
      <w:pPr>
        <w:spacing w:line="500" w:lineRule="exact"/>
        <w:ind w:firstLine="600" w:firstLineChars="200"/>
        <w:rPr>
          <w:rFonts w:hint="eastAsia" w:ascii="仿宋" w:hAnsi="仿宋" w:eastAsia="仿宋" w:cs="仿宋"/>
          <w:color w:val="auto"/>
          <w:spacing w:val="10"/>
          <w:sz w:val="28"/>
          <w:szCs w:val="28"/>
          <w:lang w:val="en-US" w:eastAsia="zh-CN"/>
        </w:rPr>
      </w:pPr>
      <w:r>
        <w:rPr>
          <w:rFonts w:hint="eastAsia" w:ascii="仿宋" w:hAnsi="仿宋" w:eastAsia="仿宋" w:cs="仿宋"/>
          <w:color w:val="auto"/>
          <w:spacing w:val="10"/>
          <w:sz w:val="28"/>
          <w:szCs w:val="28"/>
          <w:lang w:val="en-US" w:eastAsia="zh-CN"/>
        </w:rPr>
        <w:t>2024年9月20日—9月23日   南宁市 （20日全天报到）</w:t>
      </w:r>
    </w:p>
    <w:p>
      <w:pPr>
        <w:spacing w:line="500" w:lineRule="exact"/>
        <w:ind w:firstLine="600" w:firstLineChars="200"/>
        <w:rPr>
          <w:rFonts w:hint="eastAsia" w:ascii="仿宋" w:hAnsi="仿宋" w:eastAsia="仿宋" w:cs="仿宋"/>
          <w:color w:val="auto"/>
          <w:spacing w:val="10"/>
          <w:sz w:val="28"/>
          <w:szCs w:val="28"/>
          <w:lang w:val="en-US" w:eastAsia="zh-CN"/>
        </w:rPr>
      </w:pPr>
      <w:r>
        <w:rPr>
          <w:rFonts w:hint="eastAsia" w:ascii="仿宋" w:hAnsi="仿宋" w:eastAsia="仿宋" w:cs="仿宋"/>
          <w:color w:val="auto"/>
          <w:spacing w:val="10"/>
          <w:sz w:val="28"/>
          <w:szCs w:val="28"/>
          <w:lang w:val="en-US" w:eastAsia="zh-CN"/>
        </w:rPr>
        <w:t>2024年10月18日—10月21日  南京市 （18日全天报到）</w:t>
      </w:r>
    </w:p>
    <w:p>
      <w:pPr>
        <w:spacing w:line="500" w:lineRule="exact"/>
        <w:ind w:firstLine="600" w:firstLineChars="200"/>
        <w:rPr>
          <w:rFonts w:hint="eastAsia" w:ascii="仿宋" w:hAnsi="仿宋" w:eastAsia="仿宋" w:cs="仿宋"/>
          <w:color w:val="auto"/>
          <w:spacing w:val="10"/>
          <w:sz w:val="28"/>
          <w:szCs w:val="28"/>
          <w:lang w:val="en-US" w:eastAsia="zh-CN"/>
        </w:rPr>
      </w:pPr>
      <w:r>
        <w:rPr>
          <w:rFonts w:hint="eastAsia" w:ascii="仿宋" w:hAnsi="仿宋" w:eastAsia="仿宋" w:cs="仿宋"/>
          <w:color w:val="auto"/>
          <w:spacing w:val="10"/>
          <w:sz w:val="28"/>
          <w:szCs w:val="28"/>
          <w:lang w:val="en-US" w:eastAsia="zh-CN"/>
        </w:rPr>
        <w:t>2024年10月24日—10月27日  厦门市 （26日全天报到）</w:t>
      </w:r>
    </w:p>
    <w:p>
      <w:pPr>
        <w:keepNext w:val="0"/>
        <w:keepLines w:val="0"/>
        <w:pageBreakBefore w:val="0"/>
        <w:tabs>
          <w:tab w:val="left" w:pos="567"/>
          <w:tab w:val="left" w:pos="709"/>
        </w:tabs>
        <w:kinsoku/>
        <w:wordWrap/>
        <w:overflowPunct/>
        <w:topLinePunct w:val="0"/>
        <w:autoSpaceDE/>
        <w:autoSpaceDN/>
        <w:bidi w:val="0"/>
        <w:adjustRightInd/>
        <w:snapToGrid/>
        <w:spacing w:line="480" w:lineRule="exact"/>
        <w:ind w:leftChars="0" w:firstLine="506" w:firstLineChars="200"/>
        <w:textAlignment w:val="baseline"/>
        <w:outlineLvl w:val="0"/>
        <w:rPr>
          <w:rFonts w:hint="eastAsia" w:ascii="仿宋" w:hAnsi="仿宋" w:eastAsia="仿宋" w:cs="仿宋"/>
          <w:b/>
          <w:bCs/>
          <w:color w:val="000000"/>
          <w:w w:val="90"/>
          <w:sz w:val="28"/>
          <w:szCs w:val="28"/>
        </w:rPr>
      </w:pPr>
      <w:r>
        <w:rPr>
          <w:rFonts w:hint="eastAsia" w:ascii="仿宋" w:hAnsi="仿宋" w:eastAsia="仿宋" w:cs="仿宋"/>
          <w:b/>
          <w:bCs/>
          <w:color w:val="000000"/>
          <w:w w:val="90"/>
          <w:sz w:val="28"/>
          <w:szCs w:val="28"/>
        </w:rPr>
        <w:t>五、收费标准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A.3880元/人（含培训、资料、电子课件、场地及培训期间午餐），住宿统一安排，费用自理。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B.5880元/人（含培训、资料、电子课件、场地、证书及培训期间午餐），住宿统一安排，费用自理。证书由我会颁发《安全总监》或《安全管理工程师》”。所需资料:二寸蓝底免冠彩色照片、身份证正反面、学历证书复印件等电子版材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C.50000元/单位，不限参会人数，并赠送价值50000元的《国际工程全过程咨询实施规程》标准项目编号：T/CAIEC 0066-2024，或《投融资建设项目管理咨询标准》编号：T/CAIEC 0065-2024，免费参编单位和参编人员一名。</w:t>
      </w:r>
    </w:p>
    <w:p>
      <w:pPr>
        <w:spacing w:line="500" w:lineRule="exact"/>
        <w:ind w:firstLine="560" w:firstLineChars="200"/>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宋体"/>
          <w:kern w:val="0"/>
          <w:sz w:val="28"/>
          <w:szCs w:val="28"/>
          <w:shd w:val="clear" w:color="auto" w:fill="auto"/>
          <w:lang w:val="en-US" w:eastAsia="zh-CN" w:bidi="ar-SA"/>
        </w:rPr>
        <w:t>D.以上内容线上培训费用：25000元一个学习账号，单位投屏播放，统一观看，支持在线问答。本课程也可以采取定制内容学习、请专家到政府、企业内部培训，40000元/天（含课酬、专家与助教交通费、资料费等），场地由培训单位提供。</w:t>
      </w:r>
    </w:p>
    <w:p>
      <w:pPr>
        <w:spacing w:line="500" w:lineRule="exact"/>
        <w:rPr>
          <w:rFonts w:hint="eastAsia" w:ascii="仿宋" w:hAnsi="仿宋" w:eastAsia="仿宋" w:cs="仿宋"/>
          <w:b/>
          <w:bCs/>
          <w:snapToGrid w:val="0"/>
          <w:color w:val="auto"/>
          <w:kern w:val="20"/>
          <w:position w:val="-4"/>
          <w:sz w:val="28"/>
          <w:szCs w:val="28"/>
          <w:lang w:eastAsia="zh-CN"/>
        </w:rPr>
      </w:pPr>
      <w:r>
        <w:rPr>
          <w:rFonts w:hint="eastAsia" w:ascii="仿宋" w:hAnsi="仿宋" w:eastAsia="仿宋" w:cs="仿宋"/>
          <w:b/>
          <w:bCs/>
          <w:snapToGrid w:val="0"/>
          <w:color w:val="auto"/>
          <w:kern w:val="20"/>
          <w:position w:val="-4"/>
          <w:sz w:val="28"/>
          <w:szCs w:val="28"/>
          <w:lang w:val="en-US" w:eastAsia="zh-CN"/>
        </w:rPr>
        <w:t>六</w:t>
      </w:r>
      <w:r>
        <w:rPr>
          <w:rFonts w:hint="eastAsia" w:ascii="仿宋" w:hAnsi="仿宋" w:eastAsia="仿宋" w:cs="仿宋"/>
          <w:b/>
          <w:bCs/>
          <w:snapToGrid w:val="0"/>
          <w:color w:val="auto"/>
          <w:kern w:val="20"/>
          <w:position w:val="-4"/>
          <w:sz w:val="28"/>
          <w:szCs w:val="28"/>
        </w:rPr>
        <w:t>、联系方式</w:t>
      </w:r>
      <w:r>
        <w:rPr>
          <w:rFonts w:hint="eastAsia" w:ascii="仿宋" w:hAnsi="仿宋" w:eastAsia="仿宋" w:cs="仿宋"/>
          <w:b/>
          <w:bCs/>
          <w:snapToGrid w:val="0"/>
          <w:color w:val="auto"/>
          <w:kern w:val="20"/>
          <w:position w:val="-4"/>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81" w:firstLineChars="100"/>
        <w:textAlignment w:val="auto"/>
        <w:outlineLvl w:val="9"/>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 xml:space="preserve">电话：010-56709266、59793346    </w:t>
      </w:r>
      <w:r>
        <w:rPr>
          <w:rFonts w:hint="eastAsia" w:ascii="仿宋_GB2312" w:hAnsi="仿宋_GB2312" w:eastAsia="仿宋_GB2312" w:cs="仿宋_GB2312"/>
          <w:b/>
          <w:bCs/>
          <w:color w:val="auto"/>
          <w:sz w:val="28"/>
          <w:szCs w:val="28"/>
        </w:rPr>
        <w:t>联系人</w:t>
      </w:r>
      <w:r>
        <w:rPr>
          <w:rFonts w:hint="eastAsia" w:ascii="仿宋_GB2312" w:hAnsi="仿宋_GB2312" w:eastAsia="仿宋_GB2312" w:cs="仿宋_GB2312"/>
          <w:b/>
          <w:bCs/>
          <w:color w:val="auto"/>
          <w:sz w:val="28"/>
          <w:szCs w:val="28"/>
          <w:lang w:eastAsia="zh-CN"/>
        </w:rPr>
        <w:t>：唐老师</w:t>
      </w:r>
      <w:r>
        <w:rPr>
          <w:rFonts w:hint="eastAsia" w:ascii="仿宋_GB2312" w:hAnsi="仿宋_GB2312" w:eastAsia="仿宋_GB2312" w:cs="仿宋_GB2312"/>
          <w:b/>
          <w:bCs/>
          <w:color w:val="auto"/>
          <w:sz w:val="28"/>
          <w:szCs w:val="28"/>
          <w:lang w:val="en-US" w:eastAsia="zh-CN"/>
        </w:rPr>
        <w:t>18611114717</w:t>
      </w:r>
    </w:p>
    <w:p>
      <w:pPr>
        <w:spacing w:line="440" w:lineRule="exact"/>
        <w:ind w:firstLine="281" w:firstLineChars="100"/>
        <w:rPr>
          <w:rFonts w:ascii="仿宋" w:hAnsi="仿宋" w:eastAsia="仿宋"/>
          <w:color w:val="000000" w:themeColor="text1"/>
          <w:spacing w:val="8"/>
          <w:sz w:val="28"/>
          <w:szCs w:val="28"/>
          <w14:textFill>
            <w14:solidFill>
              <w14:schemeClr w14:val="tx1"/>
            </w14:solidFill>
          </w14:textFill>
        </w:rPr>
      </w:pPr>
      <w:r>
        <w:rPr>
          <w:rFonts w:hint="eastAsia" w:ascii="仿宋_GB2312" w:hAnsi="仿宋_GB2312" w:eastAsia="仿宋_GB2312" w:cs="仿宋_GB2312"/>
          <w:b/>
          <w:bCs/>
          <w:color w:val="auto"/>
          <w:sz w:val="28"/>
          <w:szCs w:val="28"/>
          <w:lang w:val="en-US" w:eastAsia="zh-CN"/>
        </w:rPr>
        <w:t xml:space="preserve">传真：010-56709277、59793349    </w:t>
      </w:r>
      <w:r>
        <w:rPr>
          <w:rFonts w:hint="eastAsia" w:ascii="仿宋_GB2312" w:hAnsi="仿宋_GB2312" w:eastAsia="仿宋_GB2312" w:cs="仿宋_GB2312"/>
          <w:b/>
          <w:bCs/>
          <w:color w:val="auto"/>
          <w:sz w:val="28"/>
          <w:szCs w:val="28"/>
        </w:rPr>
        <w:t>报名邮箱：</w:t>
      </w:r>
      <w:r>
        <w:rPr>
          <w:rFonts w:hint="eastAsia" w:ascii="仿宋_GB2312" w:hAnsi="仿宋_GB2312" w:eastAsia="仿宋_GB2312" w:cs="仿宋_GB2312"/>
          <w:b/>
          <w:bCs/>
          <w:color w:val="auto"/>
          <w:sz w:val="28"/>
          <w:szCs w:val="28"/>
          <w:lang w:val="en-US" w:eastAsia="zh-CN"/>
        </w:rPr>
        <w:t>huiwuzu999@163.com</w:t>
      </w:r>
    </w:p>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rPr>
          <w:rFonts w:hint="eastAsia" w:ascii="仿宋" w:hAnsi="仿宋" w:eastAsia="仿宋"/>
          <w:bCs/>
          <w:color w:val="000000"/>
          <w:w w:val="90"/>
          <w:sz w:val="28"/>
          <w:szCs w:val="28"/>
        </w:rPr>
      </w:pPr>
      <w:r>
        <w:drawing>
          <wp:anchor distT="0" distB="0" distL="114300" distR="114300" simplePos="0" relativeHeight="251661312" behindDoc="1" locked="0" layoutInCell="1" allowOverlap="1">
            <wp:simplePos x="0" y="0"/>
            <wp:positionH relativeFrom="column">
              <wp:posOffset>3289935</wp:posOffset>
            </wp:positionH>
            <wp:positionV relativeFrom="paragraph">
              <wp:posOffset>292735</wp:posOffset>
            </wp:positionV>
            <wp:extent cx="1562100" cy="1667510"/>
            <wp:effectExtent l="0" t="0" r="12700" b="889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1562100" cy="166751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37" w:firstLineChars="253"/>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bCs/>
          <w:color w:val="000000"/>
          <w:w w:val="90"/>
          <w:sz w:val="28"/>
          <w:szCs w:val="28"/>
        </w:rPr>
        <w:t xml:space="preserve">附件：报名回执表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5100" w:firstLineChars="17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中国国际工程咨询协会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default"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 xml:space="preserve">                               二〇二四六月十八日</w:t>
      </w:r>
    </w:p>
    <w:p>
      <w:pPr>
        <w:keepNext w:val="0"/>
        <w:keepLines w:val="0"/>
        <w:pageBreakBefore w:val="0"/>
        <w:tabs>
          <w:tab w:val="left" w:pos="567"/>
          <w:tab w:val="left" w:pos="709"/>
        </w:tabs>
        <w:kinsoku/>
        <w:wordWrap/>
        <w:overflowPunct/>
        <w:topLinePunct w:val="0"/>
        <w:autoSpaceDE/>
        <w:autoSpaceDN/>
        <w:bidi w:val="0"/>
        <w:adjustRightInd/>
        <w:snapToGrid/>
        <w:spacing w:line="400" w:lineRule="exact"/>
        <w:ind w:firstLine="253" w:firstLineChars="100"/>
        <w:jc w:val="center"/>
        <w:textAlignment w:val="baseline"/>
        <w:outlineLvl w:val="0"/>
        <w:rPr>
          <w:rFonts w:ascii="宋体" w:hAnsi="宋体"/>
          <w:b/>
          <w:w w:val="90"/>
          <w:sz w:val="28"/>
          <w:szCs w:val="28"/>
        </w:rPr>
      </w:pPr>
    </w:p>
    <w:p>
      <w:pPr>
        <w:pStyle w:val="8"/>
        <w:ind w:left="0" w:leftChars="0" w:firstLine="0" w:firstLineChars="0"/>
        <w:rPr>
          <w:rFonts w:ascii="宋体" w:hAnsi="宋体"/>
          <w:b/>
          <w:w w:val="90"/>
          <w:sz w:val="28"/>
          <w:szCs w:val="28"/>
        </w:rPr>
      </w:pPr>
    </w:p>
    <w:p>
      <w:pPr>
        <w:pStyle w:val="8"/>
        <w:ind w:left="0" w:leftChars="0" w:firstLine="0" w:firstLineChars="0"/>
        <w:rPr>
          <w:rFonts w:ascii="宋体" w:hAnsi="宋体"/>
          <w:b/>
          <w:w w:val="90"/>
          <w:sz w:val="28"/>
          <w:szCs w:val="28"/>
        </w:rPr>
      </w:pPr>
    </w:p>
    <w:p>
      <w:pPr>
        <w:tabs>
          <w:tab w:val="left" w:pos="567"/>
          <w:tab w:val="left" w:pos="709"/>
        </w:tabs>
        <w:spacing w:line="240" w:lineRule="auto"/>
        <w:jc w:val="both"/>
        <w:textAlignment w:val="baseline"/>
        <w:outlineLvl w:val="0"/>
        <w:rPr>
          <w:rFonts w:hint="eastAsia" w:ascii="仿宋" w:hAnsi="仿宋" w:eastAsia="仿宋" w:cs="仿宋_GB2312"/>
          <w:b/>
          <w:bCs/>
          <w:color w:val="000000"/>
          <w:sz w:val="32"/>
          <w:szCs w:val="32"/>
          <w:lang w:val="en-US" w:eastAsia="zh-CN"/>
        </w:rPr>
      </w:pPr>
    </w:p>
    <w:p>
      <w:pPr>
        <w:tabs>
          <w:tab w:val="left" w:pos="567"/>
          <w:tab w:val="left" w:pos="709"/>
        </w:tabs>
        <w:spacing w:line="240" w:lineRule="auto"/>
        <w:jc w:val="both"/>
        <w:textAlignment w:val="baseline"/>
        <w:outlineLvl w:val="0"/>
        <w:rPr>
          <w:rFonts w:hint="eastAsia" w:ascii="仿宋" w:hAnsi="仿宋" w:eastAsia="仿宋" w:cs="仿宋_GB2312"/>
          <w:b/>
          <w:bCs/>
          <w:color w:val="000000"/>
          <w:sz w:val="32"/>
          <w:szCs w:val="32"/>
          <w:lang w:val="en-US" w:eastAsia="zh-CN"/>
        </w:rPr>
      </w:pPr>
    </w:p>
    <w:p>
      <w:pPr>
        <w:tabs>
          <w:tab w:val="left" w:pos="567"/>
          <w:tab w:val="left" w:pos="709"/>
        </w:tabs>
        <w:spacing w:line="240" w:lineRule="auto"/>
        <w:jc w:val="both"/>
        <w:textAlignment w:val="baseline"/>
        <w:outlineLvl w:val="0"/>
        <w:rPr>
          <w:rFonts w:hint="eastAsia" w:ascii="仿宋" w:hAnsi="仿宋" w:eastAsia="仿宋" w:cs="仿宋_GB2312"/>
          <w:b/>
          <w:bCs/>
          <w:color w:val="000000"/>
          <w:sz w:val="32"/>
          <w:szCs w:val="32"/>
          <w:lang w:val="en-US" w:eastAsia="zh-CN"/>
        </w:rPr>
      </w:pPr>
    </w:p>
    <w:p>
      <w:pPr>
        <w:tabs>
          <w:tab w:val="left" w:pos="567"/>
          <w:tab w:val="left" w:pos="709"/>
        </w:tabs>
        <w:spacing w:line="240" w:lineRule="auto"/>
        <w:jc w:val="both"/>
        <w:textAlignment w:val="baseline"/>
        <w:outlineLvl w:val="0"/>
        <w:rPr>
          <w:rFonts w:hint="eastAsia" w:ascii="仿宋" w:hAnsi="仿宋" w:eastAsia="仿宋" w:cs="仿宋_GB2312"/>
          <w:b/>
          <w:bCs/>
          <w:color w:val="000000"/>
          <w:sz w:val="32"/>
          <w:szCs w:val="32"/>
          <w:lang w:val="en-US" w:eastAsia="zh-CN"/>
        </w:rPr>
      </w:pPr>
      <w:bookmarkStart w:id="0" w:name="_GoBack"/>
      <w:bookmarkEnd w:id="0"/>
    </w:p>
    <w:p>
      <w:pPr>
        <w:tabs>
          <w:tab w:val="left" w:pos="567"/>
          <w:tab w:val="left" w:pos="709"/>
        </w:tabs>
        <w:spacing w:line="240" w:lineRule="auto"/>
        <w:jc w:val="center"/>
        <w:textAlignment w:val="baseline"/>
        <w:outlineLvl w:val="0"/>
        <w:rPr>
          <w:rFonts w:hint="eastAsia" w:ascii="仿宋" w:hAnsi="仿宋" w:eastAsia="仿宋" w:cs="仿宋_GB2312"/>
          <w:b/>
          <w:bCs/>
          <w:color w:val="000000"/>
          <w:sz w:val="32"/>
          <w:szCs w:val="32"/>
        </w:rPr>
      </w:pPr>
      <w:r>
        <w:rPr>
          <w:rFonts w:hint="eastAsia" w:ascii="仿宋" w:hAnsi="仿宋" w:eastAsia="仿宋" w:cs="仿宋_GB2312"/>
          <w:b/>
          <w:bCs/>
          <w:color w:val="000000"/>
          <w:sz w:val="32"/>
          <w:szCs w:val="32"/>
          <w:lang w:val="en-US" w:eastAsia="zh-CN"/>
        </w:rPr>
        <w:t>危大工程安全管控、安全事故应急处置与建筑施工安全双重预防机制建设专题培训班</w:t>
      </w:r>
      <w:r>
        <w:rPr>
          <w:rFonts w:hint="eastAsia" w:ascii="仿宋" w:hAnsi="仿宋" w:eastAsia="仿宋" w:cs="仿宋_GB2312"/>
          <w:b/>
          <w:bCs/>
          <w:color w:val="000000"/>
          <w:sz w:val="32"/>
          <w:szCs w:val="32"/>
        </w:rPr>
        <w:t>报名回执表</w:t>
      </w:r>
    </w:p>
    <w:tbl>
      <w:tblPr>
        <w:tblStyle w:val="9"/>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性别</w:t>
            </w:r>
          </w:p>
        </w:tc>
        <w:tc>
          <w:tcPr>
            <w:tcW w:w="1293"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单住□      合住□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证书申报</w:t>
            </w:r>
          </w:p>
        </w:tc>
        <w:tc>
          <w:tcPr>
            <w:tcW w:w="8159" w:type="dxa"/>
            <w:gridSpan w:val="5"/>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left"/>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kern w:val="0"/>
                <w:sz w:val="28"/>
                <w:szCs w:val="28"/>
                <w:lang w:val="zh-CN"/>
              </w:rPr>
              <w:t xml:space="preserve">安全总监□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lang w:val="zh-CN"/>
              </w:rPr>
              <w:t xml:space="preserve">安全管理工程师□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转账□      现场□</w:t>
            </w: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收款信息</w:t>
            </w:r>
          </w:p>
        </w:tc>
        <w:tc>
          <w:tcPr>
            <w:tcW w:w="8159" w:type="dxa"/>
            <w:gridSpan w:val="5"/>
          </w:tcPr>
          <w:p>
            <w:pPr>
              <w:widowControl/>
              <w:spacing w:line="360" w:lineRule="exac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名</w:t>
            </w:r>
            <w:r>
              <w:rPr>
                <w:rFonts w:hint="eastAsia" w:ascii="仿宋" w:hAnsi="仿宋" w:eastAsia="仿宋" w:cs="仿宋"/>
                <w:b/>
                <w:bCs/>
                <w:color w:val="auto"/>
                <w:kern w:val="0"/>
                <w:sz w:val="24"/>
                <w:szCs w:val="24"/>
                <w:lang w:val="en-US" w:eastAsia="zh-CN"/>
              </w:rPr>
              <w:t xml:space="preserve">    </w:t>
            </w:r>
            <w:r>
              <w:rPr>
                <w:rFonts w:hint="eastAsia" w:ascii="仿宋" w:hAnsi="仿宋" w:eastAsia="仿宋" w:cs="仿宋"/>
                <w:b/>
                <w:bCs/>
                <w:color w:val="auto"/>
                <w:kern w:val="0"/>
                <w:sz w:val="24"/>
                <w:szCs w:val="24"/>
              </w:rPr>
              <w:t>称：中招采（北京）标准化技术研究院</w:t>
            </w:r>
          </w:p>
          <w:p>
            <w:pPr>
              <w:widowControl/>
              <w:spacing w:line="360" w:lineRule="exac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eastAsia="zh-CN"/>
              </w:rPr>
              <w:t>银行账</w:t>
            </w:r>
            <w:r>
              <w:rPr>
                <w:rFonts w:hint="eastAsia" w:ascii="仿宋" w:hAnsi="仿宋" w:eastAsia="仿宋" w:cs="仿宋"/>
                <w:b/>
                <w:bCs/>
                <w:color w:val="auto"/>
                <w:kern w:val="0"/>
                <w:sz w:val="24"/>
                <w:szCs w:val="24"/>
              </w:rPr>
              <w:t>号：150 761 913</w:t>
            </w:r>
          </w:p>
          <w:p>
            <w:pPr>
              <w:keepNext w:val="0"/>
              <w:keepLines w:val="0"/>
              <w:pageBreakBefore w:val="0"/>
              <w:widowControl w:val="0"/>
              <w:tabs>
                <w:tab w:val="left" w:pos="567"/>
                <w:tab w:val="left" w:pos="709"/>
              </w:tabs>
              <w:kinsoku/>
              <w:wordWrap/>
              <w:overflowPunct/>
              <w:topLinePunct w:val="0"/>
              <w:autoSpaceDE/>
              <w:autoSpaceDN/>
              <w:bidi w:val="0"/>
              <w:adjustRightInd/>
              <w:snapToGrid/>
              <w:spacing w:line="44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bCs/>
                <w:color w:val="auto"/>
                <w:kern w:val="0"/>
                <w:sz w:val="24"/>
                <w:szCs w:val="24"/>
              </w:rPr>
              <w:t>开 户 行：中国民生银行北京西客站支行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本</w:t>
            </w:r>
            <w:r>
              <w:rPr>
                <w:rFonts w:ascii="仿宋" w:hAnsi="仿宋" w:eastAsia="仿宋" w:cs="仿宋"/>
                <w:bCs/>
                <w:color w:val="000000" w:themeColor="text1"/>
                <w:sz w:val="28"/>
                <w:szCs w:val="28"/>
                <w14:textFill>
                  <w14:solidFill>
                    <w14:schemeClr w14:val="tx1"/>
                  </w14:solidFill>
                </w14:textFill>
              </w:rPr>
              <w:t>课程可</w:t>
            </w:r>
            <w:r>
              <w:rPr>
                <w:rFonts w:hint="eastAsia" w:ascii="仿宋" w:hAnsi="仿宋" w:eastAsia="仿宋" w:cs="仿宋"/>
                <w:bCs/>
                <w:color w:val="000000" w:themeColor="text1"/>
                <w:sz w:val="28"/>
                <w:szCs w:val="28"/>
                <w:lang w:val="en-US" w:eastAsia="zh-CN"/>
                <w14:textFill>
                  <w14:solidFill>
                    <w14:schemeClr w14:val="tx1"/>
                  </w14:solidFill>
                </w14:textFill>
              </w:rPr>
              <w:t>根</w:t>
            </w:r>
            <w:r>
              <w:rPr>
                <w:rFonts w:ascii="仿宋" w:hAnsi="仿宋" w:eastAsia="仿宋" w:cs="仿宋"/>
                <w:bCs/>
                <w:color w:val="000000" w:themeColor="text1"/>
                <w:sz w:val="28"/>
                <w:szCs w:val="28"/>
                <w14:textFill>
                  <w14:solidFill>
                    <w14:schemeClr w14:val="tx1"/>
                  </w14:solidFill>
                </w14:textFill>
              </w:rPr>
              <w:t>据</w:t>
            </w:r>
            <w:r>
              <w:rPr>
                <w:rFonts w:hint="eastAsia" w:ascii="仿宋" w:hAnsi="仿宋" w:eastAsia="仿宋" w:cs="仿宋"/>
                <w:bCs/>
                <w:color w:val="000000" w:themeColor="text1"/>
                <w:sz w:val="28"/>
                <w:szCs w:val="28"/>
                <w:lang w:val="en-US" w:eastAsia="zh-CN"/>
                <w14:textFill>
                  <w14:solidFill>
                    <w14:schemeClr w14:val="tx1"/>
                  </w14:solidFill>
                </w14:textFill>
              </w:rPr>
              <w:t>单位实际</w:t>
            </w:r>
            <w:r>
              <w:rPr>
                <w:rFonts w:ascii="仿宋" w:hAnsi="仿宋" w:eastAsia="仿宋" w:cs="仿宋"/>
                <w:bCs/>
                <w:color w:val="000000" w:themeColor="text1"/>
                <w:sz w:val="28"/>
                <w:szCs w:val="28"/>
                <w14:textFill>
                  <w14:solidFill>
                    <w14:schemeClr w14:val="tx1"/>
                  </w14:solidFill>
                </w14:textFill>
              </w:rPr>
              <w:t>需</w:t>
            </w:r>
          </w:p>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求</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提供</w:t>
            </w:r>
            <w:r>
              <w:rPr>
                <w:rFonts w:ascii="仿宋" w:hAnsi="仿宋" w:eastAsia="仿宋" w:cs="仿宋"/>
                <w:bCs/>
                <w:color w:val="000000" w:themeColor="text1"/>
                <w:sz w:val="28"/>
                <w:szCs w:val="28"/>
                <w14:textFill>
                  <w14:solidFill>
                    <w14:schemeClr w14:val="tx1"/>
                  </w14:solidFill>
                </w14:textFill>
              </w:rPr>
              <w:t>内部培训</w:t>
            </w:r>
            <w:r>
              <w:rPr>
                <w:rFonts w:hint="eastAsia" w:ascii="仿宋" w:hAnsi="仿宋" w:eastAsia="仿宋" w:cs="仿宋"/>
                <w:bCs/>
                <w:color w:val="000000" w:themeColor="text1"/>
                <w:sz w:val="28"/>
                <w:szCs w:val="28"/>
                <w:lang w:eastAsia="zh-CN"/>
                <w14:textFill>
                  <w14:solidFill>
                    <w14:schemeClr w14:val="tx1"/>
                  </w14:solidFill>
                </w14:textFill>
              </w:rPr>
              <w:t>。</w:t>
            </w:r>
          </w:p>
        </w:tc>
        <w:tc>
          <w:tcPr>
            <w:tcW w:w="4060" w:type="dxa"/>
            <w:gridSpan w:val="2"/>
            <w:vAlign w:val="center"/>
          </w:tcPr>
          <w:p>
            <w:pPr>
              <w:tabs>
                <w:tab w:val="left" w:pos="567"/>
                <w:tab w:val="left" w:pos="709"/>
              </w:tabs>
              <w:spacing w:line="300" w:lineRule="exact"/>
              <w:ind w:firstLine="280" w:firstLineChars="1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参加</w:t>
            </w:r>
            <w:r>
              <w:rPr>
                <w:rFonts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盖章</w:t>
            </w:r>
            <w:r>
              <w:rPr>
                <w:rFonts w:hint="eastAsia" w:ascii="仿宋" w:hAnsi="仿宋" w:eastAsia="仿宋" w:cs="仿宋"/>
                <w:bCs/>
                <w:color w:val="000000" w:themeColor="text1"/>
                <w:sz w:val="28"/>
                <w:szCs w:val="28"/>
                <w:lang w:eastAsia="zh-CN"/>
                <w14:textFill>
                  <w14:solidFill>
                    <w14:schemeClr w14:val="tx1"/>
                  </w14:solidFill>
                </w14:textFill>
              </w:rPr>
              <w:t>）</w:t>
            </w:r>
          </w:p>
          <w:p>
            <w:pPr>
              <w:pStyle w:val="8"/>
              <w:tabs>
                <w:tab w:val="left" w:pos="-1440"/>
              </w:tabs>
              <w:rPr>
                <w:rFonts w:hint="default"/>
              </w:rPr>
            </w:pPr>
          </w:p>
          <w:p>
            <w:pPr>
              <w:tabs>
                <w:tab w:val="left" w:pos="567"/>
                <w:tab w:val="left" w:pos="709"/>
              </w:tabs>
              <w:spacing w:line="300" w:lineRule="exact"/>
              <w:ind w:firstLine="280" w:firstLineChars="100"/>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4</w:t>
            </w:r>
            <w:r>
              <w:rPr>
                <w:rFonts w:ascii="仿宋" w:hAnsi="仿宋" w:eastAsia="仿宋" w:cs="仿宋"/>
                <w:bCs/>
                <w:color w:val="000000" w:themeColor="text1"/>
                <w:sz w:val="28"/>
                <w:szCs w:val="28"/>
                <w14:textFill>
                  <w14:solidFill>
                    <w14:schemeClr w14:val="tx1"/>
                  </w14:solidFill>
                </w14:textFill>
              </w:rPr>
              <w:t>年  月  日</w:t>
            </w:r>
          </w:p>
        </w:tc>
      </w:tr>
    </w:tbl>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 xml:space="preserve">电话：010-56709266、59793346    </w:t>
      </w:r>
      <w:r>
        <w:rPr>
          <w:rFonts w:hint="eastAsia" w:ascii="仿宋_GB2312" w:hAnsi="仿宋_GB2312" w:eastAsia="仿宋_GB2312" w:cs="仿宋_GB2312"/>
          <w:b/>
          <w:bCs/>
          <w:color w:val="auto"/>
          <w:sz w:val="28"/>
          <w:szCs w:val="28"/>
        </w:rPr>
        <w:t>联系人</w:t>
      </w:r>
      <w:r>
        <w:rPr>
          <w:rFonts w:hint="eastAsia" w:ascii="仿宋_GB2312" w:hAnsi="仿宋_GB2312" w:eastAsia="仿宋_GB2312" w:cs="仿宋_GB2312"/>
          <w:b/>
          <w:bCs/>
          <w:color w:val="auto"/>
          <w:sz w:val="28"/>
          <w:szCs w:val="28"/>
          <w:lang w:eastAsia="zh-CN"/>
        </w:rPr>
        <w:t>：唐老师</w:t>
      </w:r>
      <w:r>
        <w:rPr>
          <w:rFonts w:hint="eastAsia" w:ascii="仿宋_GB2312" w:hAnsi="仿宋_GB2312" w:eastAsia="仿宋_GB2312" w:cs="仿宋_GB2312"/>
          <w:b/>
          <w:bCs/>
          <w:color w:val="auto"/>
          <w:sz w:val="28"/>
          <w:szCs w:val="28"/>
          <w:lang w:val="en-US" w:eastAsia="zh-CN"/>
        </w:rPr>
        <w:t>18611114717</w:t>
      </w:r>
    </w:p>
    <w:p>
      <w:pPr>
        <w:spacing w:line="440" w:lineRule="exact"/>
        <w:rPr>
          <w:rFonts w:ascii="仿宋" w:hAnsi="仿宋" w:eastAsia="仿宋"/>
          <w:color w:val="000000" w:themeColor="text1"/>
          <w:spacing w:val="8"/>
          <w:sz w:val="28"/>
          <w:szCs w:val="28"/>
          <w14:textFill>
            <w14:solidFill>
              <w14:schemeClr w14:val="tx1"/>
            </w14:solidFill>
          </w14:textFill>
        </w:rPr>
      </w:pPr>
      <w:r>
        <w:rPr>
          <w:rFonts w:hint="eastAsia" w:ascii="仿宋_GB2312" w:hAnsi="仿宋_GB2312" w:eastAsia="仿宋_GB2312" w:cs="仿宋_GB2312"/>
          <w:b/>
          <w:bCs/>
          <w:color w:val="auto"/>
          <w:sz w:val="28"/>
          <w:szCs w:val="28"/>
          <w:lang w:val="en-US" w:eastAsia="zh-CN"/>
        </w:rPr>
        <w:t xml:space="preserve">传真：010-56709277、59793349    </w:t>
      </w:r>
      <w:r>
        <w:rPr>
          <w:rFonts w:hint="eastAsia" w:ascii="仿宋_GB2312" w:hAnsi="仿宋_GB2312" w:eastAsia="仿宋_GB2312" w:cs="仿宋_GB2312"/>
          <w:b/>
          <w:bCs/>
          <w:color w:val="auto"/>
          <w:sz w:val="28"/>
          <w:szCs w:val="28"/>
        </w:rPr>
        <w:t>报名邮箱：</w:t>
      </w:r>
      <w:r>
        <w:rPr>
          <w:rFonts w:hint="eastAsia" w:ascii="仿宋_GB2312" w:hAnsi="仿宋_GB2312" w:eastAsia="仿宋_GB2312" w:cs="仿宋_GB2312"/>
          <w:b/>
          <w:bCs/>
          <w:color w:val="auto"/>
          <w:sz w:val="28"/>
          <w:szCs w:val="28"/>
          <w:lang w:val="en-US" w:eastAsia="zh-CN"/>
        </w:rPr>
        <w:t>huiwuzu999@163.com</w:t>
      </w:r>
    </w:p>
    <w:p>
      <w:pPr>
        <w:spacing w:line="400" w:lineRule="exact"/>
        <w:rPr>
          <w:rFonts w:ascii="仿宋" w:hAnsi="仿宋" w:eastAsia="仿宋" w:cs="仿宋_GB2312"/>
          <w:bCs/>
          <w:color w:val="000000"/>
          <w:sz w:val="28"/>
          <w:szCs w:val="28"/>
        </w:rPr>
      </w:pPr>
    </w:p>
    <w:sectPr>
      <w:footerReference r:id="rId3" w:type="default"/>
      <w:pgSz w:w="11906" w:h="16838"/>
      <w:pgMar w:top="1270" w:right="1366" w:bottom="1100" w:left="142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BoyU3yNgIAAGAEAAAOAAAAAAAAAAEAIAAAACA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YTBlZTRhNTVlYWY2ZTFjNTE3NTQxOWUyM2QyMzkifQ=="/>
    <w:docVar w:name="KSO_WPS_MARK_KEY" w:val="04948db4-c2c6-4cef-bd05-440a987e6d40"/>
  </w:docVars>
  <w:rsids>
    <w:rsidRoot w:val="00262547"/>
    <w:rsid w:val="000429A6"/>
    <w:rsid w:val="000635BD"/>
    <w:rsid w:val="00066FC8"/>
    <w:rsid w:val="00086FD1"/>
    <w:rsid w:val="000D623B"/>
    <w:rsid w:val="00252A19"/>
    <w:rsid w:val="00262547"/>
    <w:rsid w:val="00277DD1"/>
    <w:rsid w:val="002F0B09"/>
    <w:rsid w:val="002F6C5F"/>
    <w:rsid w:val="003A6EAE"/>
    <w:rsid w:val="00442A90"/>
    <w:rsid w:val="004B3B4B"/>
    <w:rsid w:val="004E5835"/>
    <w:rsid w:val="00503116"/>
    <w:rsid w:val="00625061"/>
    <w:rsid w:val="00734CF6"/>
    <w:rsid w:val="007921F3"/>
    <w:rsid w:val="007A06B4"/>
    <w:rsid w:val="007E5692"/>
    <w:rsid w:val="00861FC2"/>
    <w:rsid w:val="009E2C08"/>
    <w:rsid w:val="00A07D70"/>
    <w:rsid w:val="00B55B6B"/>
    <w:rsid w:val="00B66847"/>
    <w:rsid w:val="00B97CF5"/>
    <w:rsid w:val="00BE182B"/>
    <w:rsid w:val="00C57CC7"/>
    <w:rsid w:val="00C82A2D"/>
    <w:rsid w:val="00CB2F51"/>
    <w:rsid w:val="00CC29D9"/>
    <w:rsid w:val="00D35C76"/>
    <w:rsid w:val="00D36F84"/>
    <w:rsid w:val="00D870D9"/>
    <w:rsid w:val="00DA7144"/>
    <w:rsid w:val="00DE1821"/>
    <w:rsid w:val="00E14F97"/>
    <w:rsid w:val="00EC7C83"/>
    <w:rsid w:val="00F20FDA"/>
    <w:rsid w:val="00F820DE"/>
    <w:rsid w:val="01BA6E1F"/>
    <w:rsid w:val="03B3582F"/>
    <w:rsid w:val="03CE231F"/>
    <w:rsid w:val="046223BE"/>
    <w:rsid w:val="063F1274"/>
    <w:rsid w:val="07097292"/>
    <w:rsid w:val="07D01B5E"/>
    <w:rsid w:val="07D45C0F"/>
    <w:rsid w:val="086B2BCC"/>
    <w:rsid w:val="08C2594B"/>
    <w:rsid w:val="094B11BC"/>
    <w:rsid w:val="0A971D96"/>
    <w:rsid w:val="0B30198C"/>
    <w:rsid w:val="0E767C02"/>
    <w:rsid w:val="101133B7"/>
    <w:rsid w:val="105129C5"/>
    <w:rsid w:val="107C6D27"/>
    <w:rsid w:val="1149633E"/>
    <w:rsid w:val="149061D5"/>
    <w:rsid w:val="14AE254B"/>
    <w:rsid w:val="14F2095A"/>
    <w:rsid w:val="15AA6BE9"/>
    <w:rsid w:val="173533D7"/>
    <w:rsid w:val="1F9A714F"/>
    <w:rsid w:val="1FB12AFA"/>
    <w:rsid w:val="22D84291"/>
    <w:rsid w:val="232178B1"/>
    <w:rsid w:val="23F80E16"/>
    <w:rsid w:val="24743B45"/>
    <w:rsid w:val="24DC4D6F"/>
    <w:rsid w:val="26E522F3"/>
    <w:rsid w:val="27F96D69"/>
    <w:rsid w:val="281612B4"/>
    <w:rsid w:val="2944586D"/>
    <w:rsid w:val="2B7546E9"/>
    <w:rsid w:val="2C2354FA"/>
    <w:rsid w:val="2C9F5E1F"/>
    <w:rsid w:val="2DC203B6"/>
    <w:rsid w:val="2E58122D"/>
    <w:rsid w:val="2F555843"/>
    <w:rsid w:val="30ED12C3"/>
    <w:rsid w:val="32D4488F"/>
    <w:rsid w:val="3391591B"/>
    <w:rsid w:val="33A41AA3"/>
    <w:rsid w:val="343F5187"/>
    <w:rsid w:val="357B0FAE"/>
    <w:rsid w:val="3699743B"/>
    <w:rsid w:val="37610C7D"/>
    <w:rsid w:val="379813FB"/>
    <w:rsid w:val="37C82AE4"/>
    <w:rsid w:val="39491CE4"/>
    <w:rsid w:val="3A2B124D"/>
    <w:rsid w:val="3AD429C2"/>
    <w:rsid w:val="3D2A7B71"/>
    <w:rsid w:val="3D7229E8"/>
    <w:rsid w:val="3E664B6D"/>
    <w:rsid w:val="3FEF1EF3"/>
    <w:rsid w:val="437B6926"/>
    <w:rsid w:val="438651D3"/>
    <w:rsid w:val="446529ED"/>
    <w:rsid w:val="44A616A1"/>
    <w:rsid w:val="451E56DB"/>
    <w:rsid w:val="458E7036"/>
    <w:rsid w:val="460D2589"/>
    <w:rsid w:val="471843AC"/>
    <w:rsid w:val="47415467"/>
    <w:rsid w:val="4777325F"/>
    <w:rsid w:val="4B6556D7"/>
    <w:rsid w:val="4B8359A5"/>
    <w:rsid w:val="4BE0656F"/>
    <w:rsid w:val="4DD354BD"/>
    <w:rsid w:val="50957218"/>
    <w:rsid w:val="50C81726"/>
    <w:rsid w:val="5236594B"/>
    <w:rsid w:val="527F2630"/>
    <w:rsid w:val="5453405A"/>
    <w:rsid w:val="54683335"/>
    <w:rsid w:val="55067F3A"/>
    <w:rsid w:val="57CA5049"/>
    <w:rsid w:val="57E15B41"/>
    <w:rsid w:val="5AC66506"/>
    <w:rsid w:val="5BDF1AF2"/>
    <w:rsid w:val="5C3816D7"/>
    <w:rsid w:val="5CD2597C"/>
    <w:rsid w:val="5FB47DE5"/>
    <w:rsid w:val="600F05EB"/>
    <w:rsid w:val="615D0EE2"/>
    <w:rsid w:val="638A686D"/>
    <w:rsid w:val="63B84051"/>
    <w:rsid w:val="648D71A0"/>
    <w:rsid w:val="64A102C0"/>
    <w:rsid w:val="657137AC"/>
    <w:rsid w:val="65CF4766"/>
    <w:rsid w:val="660B5224"/>
    <w:rsid w:val="66EB6240"/>
    <w:rsid w:val="674E429C"/>
    <w:rsid w:val="67684FD9"/>
    <w:rsid w:val="68DB306A"/>
    <w:rsid w:val="699279AE"/>
    <w:rsid w:val="69DE4C53"/>
    <w:rsid w:val="6AC501A8"/>
    <w:rsid w:val="6B5FAEE0"/>
    <w:rsid w:val="6BAB44AE"/>
    <w:rsid w:val="6DE0518A"/>
    <w:rsid w:val="6F7A39B4"/>
    <w:rsid w:val="6FEC567C"/>
    <w:rsid w:val="707F6656"/>
    <w:rsid w:val="7102558A"/>
    <w:rsid w:val="713F0DB2"/>
    <w:rsid w:val="715E40C3"/>
    <w:rsid w:val="71D41821"/>
    <w:rsid w:val="72002506"/>
    <w:rsid w:val="72A23D76"/>
    <w:rsid w:val="74953ACF"/>
    <w:rsid w:val="74E27C24"/>
    <w:rsid w:val="755144A5"/>
    <w:rsid w:val="75A16B17"/>
    <w:rsid w:val="75DA632B"/>
    <w:rsid w:val="767F63B8"/>
    <w:rsid w:val="769B49DF"/>
    <w:rsid w:val="76C03B43"/>
    <w:rsid w:val="78415CB0"/>
    <w:rsid w:val="78CC06D3"/>
    <w:rsid w:val="791D53D0"/>
    <w:rsid w:val="796B7EBB"/>
    <w:rsid w:val="79C96EB1"/>
    <w:rsid w:val="79E20DA5"/>
    <w:rsid w:val="7CDE6F23"/>
    <w:rsid w:val="7D597B1F"/>
    <w:rsid w:val="7ED25187"/>
    <w:rsid w:val="7EFE5871"/>
    <w:rsid w:val="7F5260B2"/>
    <w:rsid w:val="7FAF0DB9"/>
    <w:rsid w:val="7FC06014"/>
    <w:rsid w:val="E6A27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cs="Times New Roman"/>
      <w:b/>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unhideWhenUsed/>
    <w:qFormat/>
    <w:uiPriority w:val="99"/>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cs="Times New Roman"/>
      <w:kern w:val="0"/>
      <w:sz w:val="24"/>
    </w:rPr>
  </w:style>
  <w:style w:type="paragraph" w:styleId="8">
    <w:name w:val="Body Text First Indent 2"/>
    <w:basedOn w:val="4"/>
    <w:qFormat/>
    <w:uiPriority w:val="99"/>
    <w:pPr>
      <w:widowControl w:val="0"/>
      <w:spacing w:after="0" w:line="360" w:lineRule="auto"/>
      <w:ind w:left="176" w:leftChars="0" w:firstLine="420" w:firstLineChars="200"/>
    </w:pPr>
    <w:rPr>
      <w:rFonts w:ascii="仿宋" w:eastAsia="仿宋"/>
      <w:kern w:val="2"/>
      <w:sz w:val="24"/>
      <w:szCs w:val="24"/>
      <w:shd w:val="clear" w:color="auto" w:fill="auto"/>
    </w:rPr>
  </w:style>
  <w:style w:type="character" w:styleId="11">
    <w:name w:val="Strong"/>
    <w:basedOn w:val="10"/>
    <w:qFormat/>
    <w:uiPriority w:val="22"/>
    <w:rPr>
      <w:rFonts w:cs="Times New Roman"/>
      <w:b/>
      <w:bCs/>
    </w:rPr>
  </w:style>
  <w:style w:type="character" w:styleId="12">
    <w:name w:val="Emphasis"/>
    <w:basedOn w:val="10"/>
    <w:qFormat/>
    <w:uiPriority w:val="20"/>
    <w:rPr>
      <w:i/>
      <w:iCs/>
    </w:rPr>
  </w:style>
  <w:style w:type="character" w:styleId="13">
    <w:name w:val="Hyperlink"/>
    <w:basedOn w:val="10"/>
    <w:qFormat/>
    <w:uiPriority w:val="0"/>
    <w:rPr>
      <w:color w:val="0000FF"/>
      <w:u w:val="single"/>
    </w:rPr>
  </w:style>
  <w:style w:type="paragraph" w:styleId="14">
    <w:name w:val="List Paragraph"/>
    <w:basedOn w:val="1"/>
    <w:qFormat/>
    <w:uiPriority w:val="34"/>
    <w:pPr>
      <w:ind w:firstLine="420" w:firstLineChars="200"/>
    </w:pPr>
  </w:style>
  <w:style w:type="character" w:customStyle="1" w:styleId="15">
    <w:name w:val="页眉 Char"/>
    <w:basedOn w:val="10"/>
    <w:link w:val="6"/>
    <w:qFormat/>
    <w:uiPriority w:val="0"/>
    <w:rPr>
      <w:rFonts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2771</Words>
  <Characters>3085</Characters>
  <Lines>25</Lines>
  <Paragraphs>7</Paragraphs>
  <TotalTime>0</TotalTime>
  <ScaleCrop>false</ScaleCrop>
  <LinksUpToDate>false</LinksUpToDate>
  <CharactersWithSpaces>3300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2020-12-27T01:41:00Z</dcterms:created>
  <dc:creator>Administrator</dc:creator>
  <cp:lastModifiedBy>恭喜发财</cp:lastModifiedBy>
  <dcterms:modified xsi:type="dcterms:W3CDTF">2024-06-26T07:53:23Z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5F1DBA97EF87B33EDE34756690BA31E1_43</vt:lpwstr>
  </property>
</Properties>
</file>