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eastAsia="微软雅黑"/>
          <w:b/>
          <w:color w:val="000000"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培训时间/地点：</w:t>
      </w:r>
      <w:r>
        <w:rPr>
          <w:rFonts w:eastAsia="微软雅黑"/>
          <w:b/>
          <w:color w:val="000000"/>
          <w:szCs w:val="21"/>
        </w:rPr>
        <w:t>2024年</w:t>
      </w:r>
      <w:bookmarkStart w:id="0" w:name="_GoBack"/>
      <w:r>
        <w:rPr>
          <w:rFonts w:hint="eastAsia" w:eastAsia="微软雅黑"/>
          <w:b/>
          <w:color w:val="000000"/>
          <w:szCs w:val="21"/>
        </w:rPr>
        <w:t>10</w:t>
      </w:r>
      <w:r>
        <w:rPr>
          <w:rFonts w:eastAsia="微软雅黑"/>
          <w:b/>
          <w:color w:val="000000"/>
          <w:szCs w:val="21"/>
        </w:rPr>
        <w:t>月</w:t>
      </w:r>
      <w:r>
        <w:rPr>
          <w:rFonts w:hint="eastAsia" w:eastAsia="微软雅黑"/>
          <w:b/>
          <w:color w:val="000000"/>
          <w:szCs w:val="21"/>
        </w:rPr>
        <w:t>16</w:t>
      </w:r>
      <w:r>
        <w:rPr>
          <w:rFonts w:eastAsia="微软雅黑"/>
          <w:b/>
          <w:color w:val="000000"/>
          <w:szCs w:val="21"/>
        </w:rPr>
        <w:t>~1</w:t>
      </w:r>
      <w:r>
        <w:rPr>
          <w:rFonts w:hint="eastAsia" w:eastAsia="微软雅黑"/>
          <w:b/>
          <w:color w:val="000000"/>
          <w:szCs w:val="21"/>
        </w:rPr>
        <w:t>8</w:t>
      </w:r>
      <w:r>
        <w:rPr>
          <w:rFonts w:eastAsia="微软雅黑"/>
          <w:b/>
          <w:color w:val="000000"/>
          <w:szCs w:val="21"/>
        </w:rPr>
        <w:t>日（星期</w:t>
      </w:r>
      <w:r>
        <w:rPr>
          <w:rFonts w:hint="eastAsia" w:eastAsia="微软雅黑"/>
          <w:b/>
          <w:color w:val="000000"/>
          <w:szCs w:val="21"/>
        </w:rPr>
        <w:t>三</w:t>
      </w:r>
      <w:r>
        <w:rPr>
          <w:rFonts w:eastAsia="微软雅黑"/>
          <w:b/>
          <w:color w:val="000000"/>
          <w:szCs w:val="21"/>
        </w:rPr>
        <w:t xml:space="preserve"> ~ 星期</w:t>
      </w:r>
      <w:r>
        <w:rPr>
          <w:rFonts w:hint="eastAsia" w:eastAsia="微软雅黑"/>
          <w:b/>
          <w:color w:val="000000"/>
          <w:szCs w:val="21"/>
        </w:rPr>
        <w:t>五</w:t>
      </w:r>
      <w:r>
        <w:rPr>
          <w:rFonts w:eastAsia="微软雅黑"/>
          <w:b/>
          <w:color w:val="000000"/>
          <w:szCs w:val="21"/>
        </w:rPr>
        <w:t>）/</w:t>
      </w:r>
      <w:r>
        <w:rPr>
          <w:rFonts w:hint="eastAsia" w:eastAsia="微软雅黑"/>
          <w:b/>
          <w:color w:val="000000"/>
          <w:szCs w:val="21"/>
        </w:rPr>
        <w:t>上 海</w:t>
      </w:r>
    </w:p>
    <w:bookmarkEnd w:id="0"/>
    <w:p>
      <w:p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￥4000/人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不包含学员往返培训场地的交通费用、住宿费用、早餐及晚餐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课程介绍：</w:t>
      </w:r>
    </w:p>
    <w:p>
      <w:pPr>
        <w:spacing w:line="480" w:lineRule="exact"/>
        <w:ind w:firstLine="420" w:firstLineChars="200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焊接作为一个特殊的工艺过程，由于其材料特性的差异性、工艺参数的复杂性和过程控制的不确定性，长期以来一直视为汽车零部件制造业的薄弱环节，并将很大程度上直接导致整车产品质量的下降和召回风险的上升。</w:t>
      </w:r>
    </w:p>
    <w:p>
      <w:pPr>
        <w:spacing w:line="480" w:lineRule="exact"/>
        <w:ind w:firstLine="420" w:firstLineChars="200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美国汽车工业行动集团AIAG的特别工作小组（焊接工作组）2010年3月发布了焊接系统评估（Welding System Assessment：WSA）CQI-15标准第一版，2020年1月发布了第二版。CQI-15标准作为客户和产品标准补充要求。</w:t>
      </w:r>
    </w:p>
    <w:p>
      <w:pPr>
        <w:spacing w:line="480" w:lineRule="exact"/>
        <w:ind w:firstLine="420" w:firstLineChars="200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该标准定义了焊接管理系统的基本要求，提供了焊接制造过程审核的共同方法, 以达成持续改进、缺陷预防和降低供应链的变差和浪费。</w:t>
      </w:r>
    </w:p>
    <w:p>
      <w:pPr>
        <w:spacing w:line="480" w:lineRule="exact"/>
        <w:ind w:firstLine="420" w:firstLineChars="200"/>
        <w:rPr>
          <w:rFonts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WSA用以评估一家企业达到评估标准的能力，达到客户的要求、行业规定和企业自定的标准。WSA也可以在企业与其供应商之间使用。</w:t>
      </w:r>
    </w:p>
    <w:p>
      <w:pPr>
        <w:spacing w:line="480" w:lineRule="exact"/>
        <w:ind w:firstLine="420" w:firstLineChars="200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color w:val="000000"/>
          <w:szCs w:val="21"/>
        </w:rPr>
        <w:t>美国戴姆勒克莱斯勒、福特、通用等主机厂在其特殊要求中均对热处理系统评审提出要求，凡是焊接供应商都必须按CQI-15要求进行评估</w:t>
      </w:r>
      <w:r>
        <w:rPr>
          <w:rFonts w:eastAsia="微软雅黑"/>
          <w:color w:val="000000"/>
          <w:szCs w:val="21"/>
        </w:rPr>
        <w:t>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课程目标：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全面了解焊接系统审核（CQI－15 第二版）要求和相关技术标准的要求；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获得有效建立焊接管理体系的思路和方法；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掌握运用过程方法有效实施焊接这一特殊过程审核的审核技巧；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提高对焊接产品和过程的风险防范意识。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课程收益：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全面理解CQI－15焊接系统的要求, 识别和满足顾客特殊要求；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获得有效实施CQI-15的方法和思路；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学习焊接过程控制的有效方法；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识别焊接过程失效模式并采取预防行动；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降低焊接产品的风险；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借助于AIAG推荐的方法和工具策划和改进焊接系统，从焊接质量策划、现场管理和物料处理以及焊接设备控制等角度推进组织的整体提升</w:t>
      </w:r>
      <w:r>
        <w:rPr>
          <w:rFonts w:eastAsia="微软雅黑"/>
        </w:rPr>
        <w:t>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焊接工厂特种工艺审核员；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焊接产品与工艺设计师；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现场质量控制工程师；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生产管理人员；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hint="eastAsia" w:eastAsia="微软雅黑"/>
        </w:rPr>
        <w:t>负责焊接零件采购和供应商管理的人员（SQE）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预备知识：</w:t>
      </w:r>
    </w:p>
    <w:p>
      <w:pPr>
        <w:numPr>
          <w:ilvl w:val="0"/>
          <w:numId w:val="1"/>
        </w:numPr>
        <w:spacing w:line="480" w:lineRule="exact"/>
        <w:rPr>
          <w:rFonts w:eastAsia="微软雅黑"/>
          <w:b/>
          <w:color w:val="000000"/>
        </w:rPr>
      </w:pPr>
      <w:r>
        <w:rPr>
          <w:rFonts w:hint="eastAsia" w:eastAsia="微软雅黑"/>
          <w:b/>
          <w:color w:val="000000"/>
        </w:rPr>
        <w:t xml:space="preserve">有关焊接基础知识和生产过程的知识 </w:t>
      </w:r>
    </w:p>
    <w:p>
      <w:pPr>
        <w:numPr>
          <w:ilvl w:val="0"/>
          <w:numId w:val="1"/>
        </w:numPr>
        <w:spacing w:line="480" w:lineRule="exact"/>
        <w:rPr>
          <w:rFonts w:eastAsia="微软雅黑"/>
          <w:b/>
          <w:color w:val="000000"/>
        </w:rPr>
      </w:pPr>
      <w:r>
        <w:rPr>
          <w:rFonts w:hint="eastAsia" w:eastAsia="微软雅黑"/>
          <w:b/>
          <w:color w:val="000000"/>
        </w:rPr>
        <w:t xml:space="preserve">ISO9001:2008或IATF16949:2009质量管理体系知识 </w:t>
      </w:r>
    </w:p>
    <w:p>
      <w:pPr>
        <w:numPr>
          <w:ilvl w:val="0"/>
          <w:numId w:val="1"/>
        </w:numPr>
        <w:spacing w:line="480" w:lineRule="exact"/>
        <w:rPr>
          <w:rFonts w:eastAsia="微软雅黑"/>
          <w:b/>
          <w:color w:val="000000"/>
        </w:rPr>
      </w:pPr>
      <w:r>
        <w:rPr>
          <w:rFonts w:hint="eastAsia" w:eastAsia="微软雅黑"/>
          <w:b/>
          <w:color w:val="000000"/>
        </w:rPr>
        <w:t>汽车行业的核心工具（APQP\FMEA\MSA\SPC\PPAP）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spacing w:line="480" w:lineRule="exact"/>
        <w:ind w:firstLine="420" w:firstLineChars="200"/>
        <w:rPr>
          <w:rFonts w:eastAsia="微软雅黑"/>
        </w:rPr>
      </w:pPr>
      <w:r>
        <w:rPr>
          <w:rFonts w:eastAsia="微软雅黑"/>
        </w:rPr>
        <w:t>知识讲解、案例分析讨论、角色演练、小组讨论、互动交流、游戏感悟、头脑风暴、强调学员参与。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tbl>
      <w:tblPr>
        <w:tblStyle w:val="17"/>
        <w:tblW w:w="10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3" w:type="dxa"/>
          <w:left w:w="144" w:type="dxa"/>
          <w:bottom w:w="43" w:type="dxa"/>
          <w:right w:w="144" w:type="dxa"/>
        </w:tblCellMar>
      </w:tblPr>
      <w:tblGrid>
        <w:gridCol w:w="5362"/>
        <w:gridCol w:w="5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44" w:type="dxa"/>
            <w:bottom w:w="43" w:type="dxa"/>
            <w:right w:w="144" w:type="dxa"/>
          </w:tblCellMar>
        </w:tblPrEx>
        <w:trPr>
          <w:cantSplit/>
          <w:trHeight w:val="316" w:hRule="atLeast"/>
          <w:jc w:val="center"/>
        </w:trPr>
        <w:tc>
          <w:tcPr>
            <w:tcW w:w="10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"/>
              </w:tabs>
              <w:spacing w:line="280" w:lineRule="exact"/>
              <w:jc w:val="center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44" w:type="dxa"/>
            <w:bottom w:w="43" w:type="dxa"/>
            <w:right w:w="144" w:type="dxa"/>
          </w:tblCellMar>
        </w:tblPrEx>
        <w:trPr>
          <w:cantSplit/>
          <w:trHeight w:val="3101" w:hRule="atLeast"/>
          <w:jc w:val="center"/>
        </w:trPr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342"/>
              </w:tabs>
              <w:spacing w:line="280" w:lineRule="exact"/>
              <w:ind w:left="441" w:leftChars="210" w:firstLine="1235" w:firstLineChars="588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第一单元 总 览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 《焊接系统评估》这门课重点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 全面理解、正确运用</w:t>
            </w:r>
            <w:r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CQI-15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第二单元 CQI-15简介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 CQI-15是顾客特殊要求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2.2 CQI-15主要内容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2.3 </w:t>
            </w:r>
            <w:r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CQI-15 评估流程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2.4 CQI-15第二版主要变化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案例：主机厂的CQI-15要求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讨论1：CQI-15评估与IATF16949认证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342"/>
              </w:tabs>
              <w:spacing w:line="280" w:lineRule="exact"/>
              <w:ind w:left="441" w:leftChars="210" w:firstLine="1235" w:firstLineChars="588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CQI-15与汽车行业过程方法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1.4.1过程风险分析工具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第三单元 </w:t>
            </w: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焊接基础知识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焊接原理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3.2典型焊接工艺技术与应用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3.3 焊接常见缺陷及原因分析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讨论2：用PFMEA对焊接过程进行风险分析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练习1：焊接过程的主要特点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44" w:type="dxa"/>
            <w:bottom w:w="43" w:type="dxa"/>
            <w:right w:w="144" w:type="dxa"/>
          </w:tblCellMar>
        </w:tblPrEx>
        <w:trPr>
          <w:cantSplit/>
          <w:trHeight w:val="394" w:hRule="atLeast"/>
          <w:jc w:val="center"/>
        </w:trPr>
        <w:tc>
          <w:tcPr>
            <w:tcW w:w="10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"/>
              </w:tabs>
              <w:spacing w:line="280" w:lineRule="exact"/>
              <w:jc w:val="center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44" w:type="dxa"/>
            <w:bottom w:w="43" w:type="dxa"/>
            <w:right w:w="144" w:type="dxa"/>
          </w:tblCellMar>
        </w:tblPrEx>
        <w:trPr>
          <w:cantSplit/>
          <w:trHeight w:val="7028" w:hRule="atLeast"/>
          <w:jc w:val="center"/>
        </w:trPr>
        <w:tc>
          <w:tcPr>
            <w:tcW w:w="53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 午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第四单元 </w:t>
            </w:r>
            <w:r>
              <w:rPr>
                <w:rFonts w:eastAsia="微软雅黑"/>
                <w:b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CQI-15条款详解及运用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条款解读，审核证据，审核方法和思路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4.1焊接系统过程评估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条款1.2：焊接技术人员要求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条款1.3设备与设施的充分性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条款1.4：焊接电源的能力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焊接电源的能力的衡量指标，以及如何评价其是否满足实际生产负荷及工艺的需要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2) 电源输出波动与精度的衡量方法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3) 对电源冷却水的相关要求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条款1.6：车间工作环境，介绍典型的有损于焊接质量的现场因素与问题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条款1.7：预防性维护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如何进行预防性维护的闭环式控制？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2) (还将补充预测性维护)焊接过程应从哪里获得相关的数据用于预测性维护？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4.2文件要求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条款2.1：责任矩阵，从焊接质量保证的角度，介绍焊接责任矩阵中应当包含哪些焊接方面的工作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条款2.2：先期质量策划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条款2.4：焊接FMEA，</w:t>
            </w:r>
          </w:p>
          <w:p>
            <w:pPr>
              <w:pStyle w:val="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PFMEA相关：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典型焊接过程失效模式(PFMEA)、起因与预防措施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讨论3：设备的预防性维护与预知性维护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条款2.10：焊接设备备件的管理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有效的备件的控制计划（比传统的做法更全面、更有效）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2) 如何进行备件的闭环管理和控制，如何进行控制失效时的原因分析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条款2.12： 焊接作业指导书，典型焊接方法/过程的紧急情况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条款2.13</w:t>
            </w:r>
            <w:r>
              <w:rPr>
                <w:rFonts w:hint="eastAsia"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焊接工艺程序（WPS）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条款2.14</w:t>
            </w:r>
            <w:r>
              <w:rPr>
                <w:rFonts w:hint="eastAsia"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焊接工装/工具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条款2.16-2.17</w:t>
            </w:r>
            <w:r>
              <w:rPr>
                <w:rFonts w:hint="eastAsia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焊接单元的设置与换型控制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4.3过程策划/质量文件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条款3.1</w:t>
            </w:r>
            <w:r>
              <w:rPr>
                <w:rFonts w:hint="eastAsia"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焊接过程的控制计划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jc w:val="both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焊接工艺参数的控制方法选择的依据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552"/>
              <w:jc w:val="both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2) 焊接过程控制计划案例分享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textAlignment w:val="top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条款3.9</w:t>
            </w:r>
            <w:r>
              <w:rPr>
                <w:rFonts w:hint="eastAsia"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焊接操作求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630" w:firstLineChars="300"/>
              <w:textAlignment w:val="top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关于焊接参数的报警：报警的参数举例、报警限的设置依据和方法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210" w:firstLineChars="100"/>
              <w:textAlignment w:val="top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条款3.10</w:t>
            </w:r>
            <w:r>
              <w:rPr>
                <w:rFonts w:hint="eastAsia"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焊接过程的一致性/能力研究，</w:t>
            </w:r>
          </w:p>
          <w:p>
            <w:pPr>
              <w:tabs>
                <w:tab w:val="left" w:pos="342"/>
              </w:tabs>
              <w:spacing w:line="28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练习2</w:t>
            </w:r>
            <w:r>
              <w:rPr>
                <w:rFonts w:hint="eastAsia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焊接工艺程序（WPS）的要求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280" w:lineRule="exact"/>
              <w:ind w:firstLine="210" w:firstLineChars="100"/>
              <w:textAlignment w:val="top"/>
              <w:rPr>
                <w:rFonts w:ascii="Times New Roman" w:hAnsi="Times New Roman" w:eastAsia="微软雅黑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widowControl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17"/>
        <w:tblW w:w="10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3" w:type="dxa"/>
          <w:left w:w="144" w:type="dxa"/>
          <w:bottom w:w="43" w:type="dxa"/>
          <w:right w:w="144" w:type="dxa"/>
        </w:tblCellMar>
      </w:tblPr>
      <w:tblGrid>
        <w:gridCol w:w="5362"/>
        <w:gridCol w:w="5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0" w:hRule="atLeast"/>
          <w:jc w:val="center"/>
        </w:trPr>
        <w:tc>
          <w:tcPr>
            <w:tcW w:w="10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"/>
              </w:tabs>
              <w:spacing w:line="320" w:lineRule="exact"/>
              <w:jc w:val="center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44" w:type="dxa"/>
            <w:bottom w:w="43" w:type="dxa"/>
            <w:right w:w="144" w:type="dxa"/>
          </w:tblCellMar>
        </w:tblPrEx>
        <w:trPr>
          <w:cantSplit/>
          <w:trHeight w:val="2583" w:hRule="atLeast"/>
          <w:jc w:val="center"/>
        </w:trPr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上 午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4.4生产监控/文件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条款4.1</w:t>
            </w:r>
            <w:r>
              <w:rPr>
                <w:rFonts w:hint="eastAsia"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焊接设备的认证和校准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焊接设备（系统）有哪些认证？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52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2) 焊接设备应校准什么特性？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条款4.2：焊接工装的防错控制，将补充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28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焊接工装的基本功能应包括哪些方面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28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2) 焊接工装应当实现定位特性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条款4.3：焊接报警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条款4.6：焊接易损件的管理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条款4.7：焊接参数的监控频率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条款4.10：焊接(产品特性)的检测方法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28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宏观金相检验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28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2) 焊缝尺寸的检测(焊缝专用测量尺)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28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3) 焊缝(件)外观的检验（检查项目）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28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4) 无损检测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28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5) 力学性能检测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528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6) 耐蚀性检测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4.5返工、返修或报废程序与报告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480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1) 焊接返修的潜在风险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 w:line="320" w:lineRule="exact"/>
              <w:ind w:firstLine="480"/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2) 返工与返修控制程序的要点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讨论4：焊接控制系统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下  午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第五单元 </w:t>
            </w: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作业审核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5.1</w:t>
            </w:r>
            <w:r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作业审核概述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5.2典型的焊接方法及控制变量（可依情况删减）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A-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熔化极气体保护焊(GMAW)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B-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激光焊(LBW)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C-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拉弧焊(Drawn Arc Welding)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D-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电阻焊(Resi stance Welding)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摩擦焊(Friction Welding)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F-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感应焊(Induction Welding)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G-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紧固件凸焊(Fastener Project Welding）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H-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磁激电弧对焊(MIAB)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第六单元 </w:t>
            </w: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CQI-15评估演练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</w:t>
            </w:r>
            <w:r>
              <w:rPr>
                <w:rFonts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CQI-15运用过程方法的评估思路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6.2特殊过程评估技巧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案例：评估演练</w:t>
            </w:r>
          </w:p>
          <w:p>
            <w:pPr>
              <w:tabs>
                <w:tab w:val="left" w:pos="342"/>
              </w:tabs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复习总结、考试</w:t>
            </w:r>
          </w:p>
          <w:p>
            <w:pPr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结束</w:t>
            </w:r>
          </w:p>
        </w:tc>
      </w:tr>
    </w:tbl>
    <w:p>
      <w:pPr>
        <w:widowControl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沈</w:t>
      </w:r>
      <w:r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>
      <w:pPr>
        <w:spacing w:line="480" w:lineRule="exact"/>
        <w:ind w:firstLine="420" w:firstLineChars="200"/>
        <w:rPr>
          <w:rFonts w:eastAsia="微软雅黑"/>
          <w:snapToGrid w:val="0"/>
          <w:szCs w:val="21"/>
        </w:rPr>
      </w:pPr>
      <w:r>
        <w:rPr>
          <w:rFonts w:hint="eastAsia" w:eastAsia="微软雅黑"/>
          <w:snapToGrid w:val="0"/>
          <w:szCs w:val="21"/>
        </w:rPr>
        <w:t>首批质量、环境、职业健康安全国家注册咨询师；热处理、电镀、喷涂、注塑高级管理专家；20多年汽车行业工作、培训咨询经验；硕士；现任多家公司热处理、电镀、喷涂、注塑管理顾问。</w:t>
      </w:r>
    </w:p>
    <w:p>
      <w:pPr>
        <w:spacing w:line="480" w:lineRule="exact"/>
        <w:rPr>
          <w:rFonts w:eastAsia="微软雅黑"/>
          <w:b/>
          <w:bCs/>
          <w:sz w:val="24"/>
          <w:szCs w:val="21"/>
        </w:rPr>
      </w:pPr>
      <w:r>
        <w:rPr>
          <w:rFonts w:hint="eastAsia" w:eastAsia="微软雅黑"/>
          <w:b/>
          <w:bCs/>
          <w:sz w:val="24"/>
          <w:szCs w:val="21"/>
        </w:rPr>
        <w:t>工作经历</w:t>
      </w:r>
      <w:r>
        <w:rPr>
          <w:rFonts w:eastAsia="微软雅黑"/>
          <w:b/>
          <w:bCs/>
          <w:sz w:val="24"/>
          <w:szCs w:val="21"/>
        </w:rPr>
        <w:t>：</w:t>
      </w:r>
    </w:p>
    <w:p>
      <w:pPr>
        <w:shd w:val="clear" w:color="auto" w:fill="FFFFFF"/>
        <w:spacing w:line="480" w:lineRule="exact"/>
        <w:ind w:firstLine="420" w:firstLineChars="200"/>
        <w:rPr>
          <w:rFonts w:eastAsia="微软雅黑"/>
          <w:kern w:val="0"/>
          <w:szCs w:val="21"/>
        </w:rPr>
      </w:pPr>
      <w:r>
        <w:rPr>
          <w:rFonts w:hint="eastAsia" w:eastAsia="微软雅黑"/>
          <w:kern w:val="0"/>
          <w:szCs w:val="21"/>
        </w:rPr>
        <w:t>1995年-2000年，在一著名汽车零部件公司先后担任热处理车间主任、制造部部长及营运副总。组织制订热处理工艺；主导对热处理设备实施TPM管理；负责公司质量管理体系策划并于1996年底通过ISO9001认证，成为行业第七家通过认证的企业。</w:t>
      </w:r>
    </w:p>
    <w:p>
      <w:pPr>
        <w:shd w:val="clear" w:color="auto" w:fill="FFFFFF"/>
        <w:spacing w:line="480" w:lineRule="exact"/>
        <w:ind w:firstLine="420" w:firstLineChars="200"/>
        <w:rPr>
          <w:rFonts w:eastAsia="微软雅黑"/>
          <w:kern w:val="0"/>
          <w:szCs w:val="21"/>
        </w:rPr>
      </w:pPr>
      <w:r>
        <w:rPr>
          <w:rFonts w:hint="eastAsia" w:eastAsia="微软雅黑"/>
          <w:kern w:val="0"/>
          <w:szCs w:val="21"/>
        </w:rPr>
        <w:t>2000年-2010年，从事ISO9001、VDA、QS9000、ISO/TS16949标准咨询以及APQP、FMEA、MSA、SPC、PPAP手册的培训。为各行业中的300多家企业提供了培训咨询服务，包括众多涉及热处理、电镀、涂装、注塑等的优秀企业。</w:t>
      </w:r>
    </w:p>
    <w:p>
      <w:pPr>
        <w:shd w:val="clear" w:color="auto" w:fill="FFFFFF"/>
        <w:spacing w:line="480" w:lineRule="exact"/>
        <w:ind w:firstLine="420" w:firstLineChars="200"/>
        <w:rPr>
          <w:rFonts w:eastAsia="微软雅黑"/>
          <w:kern w:val="0"/>
          <w:szCs w:val="21"/>
        </w:rPr>
      </w:pPr>
      <w:r>
        <w:rPr>
          <w:rFonts w:hint="eastAsia" w:eastAsia="微软雅黑"/>
          <w:kern w:val="0"/>
          <w:szCs w:val="21"/>
        </w:rPr>
        <w:t>2010-至今，CQI-9、CQI-11、CQI-12、CQI-23等培训咨询，依据CQI要求对顾客现有的热处理、电镀、涂装、注塑等系统进行诊断，编写诊断报告；针对薄弱环节分层次进行培训；辅导顾客完善CQI管理体系；指导企业进行系统的自我评估。学员累计已超过2000人，代表客户有：麦格纳、采埃孚、博格华纳、捷豹路虎、上汽通用、舍弗勒（中国）、李尔、博世、广州本田、长安福特、奇瑞、天合汽车、格特拉克、菲亚特克莱斯勒、安庆帝伯、上海延锋、观致汽车、中信戴卡、海斯坦普、东风汽车、礼恩派国际、本特勒、上海伟世通、敏孚、上汽通用东岳、蔚来汽车、申源特钢、皮尔轴承、日立电梯(上海)、东方特钢、梅山钢铁、上海博泽、无锡威孚、克恩－里伯斯、吉利汽车、莫仕连接器、星电高科、莱顿汽车、伍尔特、斯凯孚、上美塑胶、均胜集团等。</w:t>
      </w:r>
    </w:p>
    <w:p>
      <w:pPr>
        <w:spacing w:line="480" w:lineRule="exact"/>
        <w:rPr>
          <w:rFonts w:eastAsia="微软雅黑"/>
          <w:b/>
          <w:bCs/>
          <w:sz w:val="24"/>
          <w:szCs w:val="21"/>
        </w:rPr>
      </w:pPr>
      <w:r>
        <w:rPr>
          <w:rFonts w:hint="eastAsia" w:eastAsia="微软雅黑"/>
          <w:b/>
          <w:bCs/>
          <w:sz w:val="24"/>
          <w:szCs w:val="21"/>
        </w:rPr>
        <w:t>学员评价</w:t>
      </w:r>
      <w:r>
        <w:rPr>
          <w:rFonts w:eastAsia="微软雅黑"/>
          <w:b/>
          <w:bCs/>
          <w:sz w:val="24"/>
          <w:szCs w:val="21"/>
        </w:rPr>
        <w:t>：</w:t>
      </w:r>
    </w:p>
    <w:p>
      <w:pPr>
        <w:spacing w:line="480" w:lineRule="exact"/>
        <w:ind w:firstLine="420" w:firstLineChars="200"/>
        <w:rPr>
          <w:rFonts w:eastAsia="微软雅黑"/>
        </w:rPr>
      </w:pPr>
      <w:r>
        <w:rPr>
          <w:rFonts w:hint="eastAsia" w:eastAsia="微软雅黑"/>
        </w:rPr>
        <w:t>左手控制计划，右手乌龟图”的“α”审核技巧让我受用无穷；</w:t>
      </w:r>
    </w:p>
    <w:p>
      <w:pPr>
        <w:spacing w:line="480" w:lineRule="exact"/>
        <w:ind w:firstLine="420" w:firstLineChars="200"/>
        <w:rPr>
          <w:rFonts w:eastAsia="微软雅黑"/>
        </w:rPr>
      </w:pPr>
      <w:r>
        <w:rPr>
          <w:rFonts w:hint="eastAsia" w:eastAsia="微软雅黑"/>
        </w:rPr>
        <w:t>20多年的经历，讲的都是现场、眼睛看到的事情，不假大空；</w:t>
      </w:r>
    </w:p>
    <w:p>
      <w:pPr>
        <w:spacing w:line="480" w:lineRule="exact"/>
        <w:ind w:firstLine="420" w:firstLineChars="200"/>
        <w:rPr>
          <w:rFonts w:eastAsia="微软雅黑"/>
        </w:rPr>
      </w:pPr>
      <w:r>
        <w:rPr>
          <w:rFonts w:hint="eastAsia" w:eastAsia="微软雅黑"/>
        </w:rPr>
        <w:t>从咨询师角度解读标准，告诉了我是“用”标准，不是“做”标准；</w:t>
      </w:r>
    </w:p>
    <w:p>
      <w:pPr>
        <w:spacing w:line="480" w:lineRule="exact"/>
        <w:ind w:firstLine="420" w:firstLineChars="200"/>
        <w:rPr>
          <w:rFonts w:eastAsia="微软雅黑"/>
        </w:rPr>
      </w:pPr>
      <w:r>
        <w:rPr>
          <w:rFonts w:hint="eastAsia" w:eastAsia="微软雅黑"/>
        </w:rPr>
        <w:t>从“点、线、面”学铁-碳相图及高温测试，我才搞清楚“产品是过程的结果”这一“常识”；</w:t>
      </w:r>
    </w:p>
    <w:p>
      <w:pPr>
        <w:spacing w:line="480" w:lineRule="exact"/>
        <w:ind w:firstLine="420" w:firstLineChars="200"/>
        <w:rPr>
          <w:rFonts w:eastAsia="微软雅黑"/>
        </w:rPr>
      </w:pPr>
      <w:r>
        <w:rPr>
          <w:rFonts w:hint="eastAsia" w:eastAsia="微软雅黑"/>
        </w:rPr>
        <w:t>CQI全系列共406条，每一条都建有证据库，牛的老师后必有牛的公司！</w:t>
      </w:r>
    </w:p>
    <w:p>
      <w:pPr>
        <w:spacing w:line="480" w:lineRule="exact"/>
        <w:rPr>
          <w:rFonts w:eastAsia="微软雅黑"/>
          <w:b/>
          <w:bCs/>
          <w:sz w:val="24"/>
          <w:szCs w:val="21"/>
        </w:rPr>
      </w:pPr>
      <w:r>
        <w:rPr>
          <w:rFonts w:eastAsia="微软雅黑"/>
          <w:b/>
          <w:bCs/>
          <w:sz w:val="24"/>
          <w:szCs w:val="21"/>
        </w:rPr>
        <w:t>核心课程一览：</w:t>
      </w:r>
    </w:p>
    <w:p>
      <w:pPr>
        <w:numPr>
          <w:ilvl w:val="0"/>
          <w:numId w:val="3"/>
        </w:numPr>
        <w:spacing w:line="480" w:lineRule="exact"/>
        <w:ind w:left="0" w:firstLine="0"/>
        <w:rPr>
          <w:rFonts w:eastAsia="微软雅黑"/>
        </w:rPr>
      </w:pPr>
      <w:r>
        <w:rPr>
          <w:rFonts w:hint="eastAsia" w:eastAsia="微软雅黑"/>
        </w:rPr>
        <w:t>CQI-9，CQI-11，CQI-12，CQI-23培训咨询</w:t>
      </w:r>
    </w:p>
    <w:p>
      <w:pPr>
        <w:numPr>
          <w:ilvl w:val="0"/>
          <w:numId w:val="3"/>
        </w:numPr>
        <w:spacing w:line="480" w:lineRule="exact"/>
        <w:ind w:left="0" w:firstLine="0"/>
        <w:rPr>
          <w:rFonts w:eastAsia="微软雅黑"/>
        </w:rPr>
      </w:pPr>
      <w:r>
        <w:rPr>
          <w:rFonts w:eastAsia="微软雅黑"/>
        </w:rPr>
        <w:t>热处理工艺</w:t>
      </w:r>
    </w:p>
    <w:p>
      <w:pPr>
        <w:numPr>
          <w:ilvl w:val="0"/>
          <w:numId w:val="3"/>
        </w:numPr>
        <w:spacing w:line="480" w:lineRule="exact"/>
        <w:ind w:left="0" w:firstLine="0"/>
        <w:rPr>
          <w:rFonts w:eastAsia="微软雅黑"/>
        </w:rPr>
      </w:pPr>
      <w:r>
        <w:rPr>
          <w:rFonts w:eastAsia="微软雅黑"/>
        </w:rPr>
        <w:t>涂装基础</w:t>
      </w:r>
    </w:p>
    <w:p>
      <w:pPr>
        <w:numPr>
          <w:ilvl w:val="0"/>
          <w:numId w:val="3"/>
        </w:numPr>
        <w:spacing w:line="480" w:lineRule="exact"/>
        <w:ind w:left="0" w:firstLine="0"/>
        <w:rPr>
          <w:rFonts w:eastAsia="微软雅黑"/>
        </w:rPr>
      </w:pPr>
      <w:r>
        <w:rPr>
          <w:rFonts w:eastAsia="微软雅黑"/>
        </w:rPr>
        <w:t>全面生产性维护（TPM）</w:t>
      </w:r>
    </w:p>
    <w:p>
      <w:pPr>
        <w:spacing w:line="480" w:lineRule="exact"/>
        <w:rPr>
          <w:rFonts w:eastAsia="微软雅黑"/>
          <w:b/>
          <w:bCs/>
          <w:sz w:val="24"/>
          <w:szCs w:val="21"/>
        </w:rPr>
      </w:pPr>
      <w:r>
        <w:rPr>
          <w:rFonts w:hint="eastAsia" w:eastAsia="微软雅黑"/>
          <w:b/>
          <w:bCs/>
          <w:sz w:val="24"/>
          <w:szCs w:val="21"/>
        </w:rPr>
        <w:t>成功案例：</w:t>
      </w:r>
    </w:p>
    <w:p>
      <w:pPr>
        <w:spacing w:line="480" w:lineRule="exact"/>
        <w:rPr>
          <w:rFonts w:eastAsia="微软雅黑"/>
          <w:b/>
        </w:rPr>
      </w:pPr>
      <w:r>
        <w:rPr>
          <w:rFonts w:hint="eastAsia" w:eastAsia="微软雅黑"/>
          <w:b/>
        </w:rPr>
        <w:t>案例1：CQI是IATF16949的细化、专业化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若IATF16949基础好，CQI应是锦上添花、不是无中生有的事情。但实际情况并非这样。我有一个顾客：排名前三的轴承公司；工艺为：淬火，回火；现在的主要问题：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（1）SQA到供方（提供Gcr15高碳铬轴承钢)现场审核，不知如何审？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（2）热处理车间的工艺文件不规范；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（3）顾客验厂时，提的问题理解不了，持别是一些专业术语。提交的整改报告满足不了顾客要求。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顾客要求：8个月内，建立特殊过程管控体系并通过它的顾客验厂。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为了圆满完成这个项目，我们团队主要工作：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基础培训：各层级理解自己的职责及相关要求；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现场诊断：了解与标准的差距，并将差距做为改进的目标；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分层培训：通过看视频、顾客案例的讨论理解条款的意图；从“点、线、面”解读铁碳相图，更容易的掌握热处理基础知识；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在公司原有基础上，结合过程表细化、专业化PFMEA、CP及作业文件；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培训并演练“左手控制计划，右手乌龟图”的“α”审核技巧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项目结果：一次通过了顾客验厂审核</w:t>
      </w:r>
    </w:p>
    <w:p>
      <w:pPr>
        <w:spacing w:line="480" w:lineRule="exact"/>
        <w:rPr>
          <w:rFonts w:eastAsia="微软雅黑"/>
        </w:rPr>
      </w:pPr>
    </w:p>
    <w:p>
      <w:pPr>
        <w:spacing w:line="480" w:lineRule="exact"/>
        <w:rPr>
          <w:rFonts w:eastAsia="微软雅黑"/>
          <w:b/>
        </w:rPr>
      </w:pPr>
      <w:r>
        <w:rPr>
          <w:rFonts w:hint="eastAsia" w:eastAsia="微软雅黑"/>
          <w:b/>
        </w:rPr>
        <w:t>案例2：突破“审核的人懂 被审核的人不懂”的怪圈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我们有家世界500强顾客，自己不做涂装(CQI-12)，但依据CQI-19（次级供应商管理）它的供应商要做。他们SQA参加了CQI-12公开课培训后，将审核要求发他们的供应商并要求完成封面表（自审报告）。SQA收到的封面表根本就不满足要求，多次电话沟通、现场讨论后发现供方与他们不在一个“频道”。最后，顾客采纳我们的建议：在顾客公司内训，供应商的相关人员参与；培训结束两周后，再挑一、两家供应商实战演练。这样审核方与被审核方对条款要求、审核方法有了统一理解。至今，我们为这家顾客提供了12次培训。</w:t>
      </w:r>
    </w:p>
    <w:p>
      <w:pPr>
        <w:spacing w:line="480" w:lineRule="exact"/>
        <w:rPr>
          <w:rFonts w:eastAsia="微软雅黑"/>
        </w:rPr>
      </w:pPr>
    </w:p>
    <w:p>
      <w:pPr>
        <w:spacing w:line="480" w:lineRule="exact"/>
        <w:rPr>
          <w:rFonts w:eastAsia="微软雅黑"/>
          <w:b/>
        </w:rPr>
      </w:pPr>
      <w:r>
        <w:rPr>
          <w:rFonts w:hint="eastAsia" w:eastAsia="微软雅黑"/>
          <w:b/>
        </w:rPr>
        <w:t>案例3：多个标准有效整合</w:t>
      </w:r>
    </w:p>
    <w:p>
      <w:pPr>
        <w:spacing w:line="480" w:lineRule="exact"/>
        <w:rPr>
          <w:rFonts w:eastAsia="微软雅黑"/>
        </w:rPr>
      </w:pPr>
      <w:r>
        <w:rPr>
          <w:rFonts w:hint="eastAsia" w:eastAsia="微软雅黑"/>
        </w:rPr>
        <w:t>一家做塑胶产品的外资顾客，它涉及到注塑（CQI-23）、电镀（CQI-11）及涂装（CQI-12）等，三个标准中有些共性的部份，若三个标准单独做，从时间、费用及效率上都会有浪费。我们课前调研得知，受训人员80%以上相同。我们最后将这三个标准整合起来一起培训，不但节约了费用、更将整个产品过程结合了起来。CQI多标整合正成为一种新趋势！</w:t>
      </w:r>
    </w:p>
    <w:sectPr>
      <w:headerReference r:id="rId3" w:type="default"/>
      <w:footerReference r:id="rId4" w:type="default"/>
      <w:pgSz w:w="11906" w:h="16838"/>
      <w:pgMar w:top="1440" w:right="1080" w:bottom="153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-834390</wp:posOffset>
              </wp:positionH>
              <wp:positionV relativeFrom="paragraph">
                <wp:posOffset>1905</wp:posOffset>
              </wp:positionV>
              <wp:extent cx="7705725" cy="584835"/>
              <wp:effectExtent l="0" t="0" r="5715" b="1905"/>
              <wp:wrapTight wrapText="bothSides">
                <wp:wrapPolygon>
                  <wp:start x="0" y="0"/>
                  <wp:lineTo x="0" y="21154"/>
                  <wp:lineTo x="21420" y="21154"/>
                  <wp:lineTo x="21420" y="0"/>
                  <wp:lineTo x="0" y="0"/>
                </wp:wrapPolygon>
              </wp:wrapTight>
              <wp:docPr id="1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584835"/>
                      </a:xfrm>
                      <a:prstGeom prst="rect">
                        <a:avLst/>
                      </a:prstGeom>
                      <a:solidFill>
                        <a:srgbClr val="AF0D1C">
                          <a:alpha val="850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0" o:spid="_x0000_s1026" o:spt="1" style="position:absolute;left:0pt;margin-left:-65.7pt;margin-top:0.15pt;height:46.05pt;width:606.75pt;mso-wrap-distance-left:9pt;mso-wrap-distance-right:9pt;z-index:-251655168;mso-width-relative:page;mso-height-relative:page;" fillcolor="#AF0D1C" filled="t" stroked="f" coordsize="21600,21600" wrapcoords="0 0 0 21154 21420 21154 21420 0 0 0" o:gfxdata="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T3ktDXAAAACQEAAA8AAAAAAAAAAQAgAAAAIgAAAGRycy9kb3ducmV2Lnht&#10;bFBLAQIUABQAAAAIAIdO4kDIQhR/MwIAAFMEAAAOAAAAAAAAAAEAIAAAACYBAABkcnMvZTJvRG9j&#10;LnhtbFBLBQYAAAAABgAGAFkBAADLBQAAAAA=&#10;">
              <v:fill on="t" opacity="55706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  <w10:wrap type="tigh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5850255</wp:posOffset>
              </wp:positionH>
              <wp:positionV relativeFrom="paragraph">
                <wp:posOffset>228600</wp:posOffset>
              </wp:positionV>
              <wp:extent cx="381000" cy="198120"/>
              <wp:effectExtent l="1905" t="0" r="0" b="1905"/>
              <wp:wrapNone/>
              <wp:docPr id="3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color w:val="FFFFFF"/>
                              <w:szCs w:val="21"/>
                            </w:rPr>
                          </w:pPr>
                          <w:r>
                            <w:rPr>
                              <w:b/>
                              <w:color w:val="FFFFFF"/>
                              <w:szCs w:val="21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t>6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zCs w:val="21"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t>6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460.65pt;margin-top:18pt;height:15.6pt;width:30pt;mso-position-horizontal-relative:margin;z-index:251659264;mso-width-relative:page;mso-height-relative:page;" filled="f" stroked="f" coordsize="21600,21600" o:gfxdata="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I5VZNgAAAAJAQAADwAAAAAAAAABACAA&#10;AAAiAAAAZHJzL2Rvd25yZXYueG1sUEsBAhQAFAAAAAgAh07iQPw7SbQNAgAABQQAAA4AAAAAAAAA&#10;AQAgAAAAJ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b/>
                        <w:color w:val="FFFFFF"/>
                        <w:szCs w:val="21"/>
                      </w:rPr>
                    </w:pPr>
                    <w:r>
                      <w:rPr>
                        <w:b/>
                        <w:color w:val="FFFFFF"/>
                        <w:szCs w:val="21"/>
                        <w:lang w:val="zh-CN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zCs w:val="21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zCs w:val="21"/>
                      </w:rPr>
                      <w:t>6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zCs w:val="21"/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zCs w:val="21"/>
                      </w:rPr>
                      <w:instrText xml:space="preserve"> NUMPAGES  </w:instrTex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zCs w:val="21"/>
                      </w:rPr>
                      <w:t>6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  <w:r>
      <w:rPr>
        <w:rFonts w:hint="eastAsia" w:hAnsi="微软雅黑" w:eastAsia="微软雅黑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5121910</wp:posOffset>
              </wp:positionH>
              <wp:positionV relativeFrom="paragraph">
                <wp:posOffset>372110</wp:posOffset>
              </wp:positionV>
              <wp:extent cx="1166495" cy="407670"/>
              <wp:effectExtent l="0" t="635" r="0" b="127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exact"/>
                            <w:jc w:val="right"/>
                            <w:rPr>
                              <w:rFonts w:eastAsia="微软雅黑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eastAsia="微软雅黑"/>
                              <w:b/>
                              <w:color w:val="FFFFFF"/>
                              <w:sz w:val="24"/>
                              <w:szCs w:val="24"/>
                            </w:rPr>
                            <w:t>公开课课纲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03.3pt;margin-top:29.3pt;height:32.1pt;width:91.85pt;z-index:251662336;mso-width-relative:page;mso-height-relative:page;" filled="f" stroked="f" coordsize="21600,21600" o:gfxdata="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grYTfXAAAACgEAAA8A&#10;AAAAAAAAAQAgAAAAIgAAAGRycy9kb3ducmV2LnhtbFBLAQIUABQAAAAIAIdO4kAExoyzGAIAABUE&#10;AAAOAAAAAAAAAAEAIAAAACYBAABkcnMvZTJvRG9jLnhtbFBLBQYAAAAABgAGAFkBAACw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exact"/>
                      <w:jc w:val="right"/>
                      <w:rPr>
                        <w:rFonts w:eastAsia="微软雅黑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hint="eastAsia" w:eastAsia="微软雅黑"/>
                        <w:b/>
                        <w:color w:val="FFFFFF"/>
                        <w:sz w:val="24"/>
                        <w:szCs w:val="24"/>
                      </w:rPr>
                      <w:t>公开课课纲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579120</wp:posOffset>
              </wp:positionH>
              <wp:positionV relativeFrom="paragraph">
                <wp:posOffset>-186690</wp:posOffset>
              </wp:positionV>
              <wp:extent cx="5045710" cy="659765"/>
              <wp:effectExtent l="0" t="3810" r="4445" b="3175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571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0" w:beforeLines="50" w:after="120" w:afterLines="50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/>
                              <w:sz w:val="44"/>
                            </w:rPr>
                            <w:t>特殊工艺：焊接系统评估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left:45.6pt;margin-top:-14.7pt;height:51.95pt;width:397.3pt;z-index:251661312;mso-width-relative:page;mso-height-relative:page;" filled="f" stroked="f" coordsize="21600,21600" o:gfxdata="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Gy++w1wAAAAkB&#10;AAAPAAAAAAAAAAEAIAAAACIAAABkcnMvZG93bnJldi54bWxQSwECFAAUAAAACACHTuJAKlvMpRwC&#10;AAAkBAAADgAAAAAAAAABACAAAAAmAQAAZHJzL2Uyb0RvYy54bWxQSwUGAAAAAAYABgBZAQAAtAUA&#10;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="120" w:beforeLines="50" w:after="120" w:afterLines="50"/>
                      <w:jc w:val="center"/>
                      <w:rPr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/>
                        <w:sz w:val="44"/>
                      </w:rPr>
                      <w:t>特殊工艺：焊接系统评估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-541020</wp:posOffset>
              </wp:positionV>
              <wp:extent cx="7593330" cy="1394460"/>
              <wp:effectExtent l="0" t="1905" r="7620" b="3810"/>
              <wp:wrapTight wrapText="bothSides">
                <wp:wrapPolygon>
                  <wp:start x="21593" y="0"/>
                  <wp:lineTo x="0" y="0"/>
                  <wp:lineTo x="0" y="21600"/>
                  <wp:lineTo x="21593" y="21600"/>
                  <wp:lineTo x="7" y="21600"/>
                  <wp:lineTo x="21600" y="21600"/>
                  <wp:lineTo x="21600" y="0"/>
                  <wp:lineTo x="7" y="0"/>
                  <wp:lineTo x="21593" y="0"/>
                </wp:wrapPolygon>
              </wp:wrapTight>
              <wp:docPr id="5" name="矩形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3330" cy="1394460"/>
                      </a:xfrm>
                      <a:prstGeom prst="rect">
                        <a:avLst/>
                      </a:prstGeom>
                      <a:solidFill>
                        <a:srgbClr val="17365D">
                          <a:alpha val="89999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32" o:spid="_x0000_s1026" o:spt="1" style="position:absolute;left:0pt;margin-left:-54pt;margin-top:-42.6pt;height:109.8pt;width:597.9pt;mso-wrap-distance-left:9pt;mso-wrap-distance-right:9pt;z-index:-251656192;mso-width-relative:page;mso-height-relative:page;" fillcolor="#17365D" filled="t" stroked="f" coordsize="21600,21600" wrapcoords="21593 0 0 0 0 21600 21593 21600 7 21600 21600 21600 21600 0 7 0 21593 0" o:gfxdata="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eN8oG2gAAAA0BAAAPAAAAAAAAAAEAIAAAACIAAABkcnMv&#10;ZG93bnJldi54bWxQSwECFAAUAAAACACHTuJAgjLZezoCAABiBAAADgAAAAAAAAABACAAAAApAQAA&#10;ZHJzL2Uyb0RvYy54bWxQSwUGAAAAAAYABgBZAQAA1QUAAAAA&#10;">
              <v:fill on="t" opacity="58981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06CA1"/>
    <w:multiLevelType w:val="multilevel"/>
    <w:tmpl w:val="08606CA1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F0842BC"/>
    <w:multiLevelType w:val="multilevel"/>
    <w:tmpl w:val="6F0842BC"/>
    <w:lvl w:ilvl="0" w:tentative="0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2" w:hanging="420"/>
      </w:pPr>
    </w:lvl>
    <w:lvl w:ilvl="2" w:tentative="0">
      <w:start w:val="1"/>
      <w:numFmt w:val="lowerRoman"/>
      <w:lvlText w:val="%3."/>
      <w:lvlJc w:val="right"/>
      <w:pPr>
        <w:ind w:left="1812" w:hanging="420"/>
      </w:pPr>
    </w:lvl>
    <w:lvl w:ilvl="3" w:tentative="0">
      <w:start w:val="1"/>
      <w:numFmt w:val="decimal"/>
      <w:lvlText w:val="%4."/>
      <w:lvlJc w:val="left"/>
      <w:pPr>
        <w:ind w:left="2232" w:hanging="420"/>
      </w:pPr>
    </w:lvl>
    <w:lvl w:ilvl="4" w:tentative="0">
      <w:start w:val="1"/>
      <w:numFmt w:val="lowerLetter"/>
      <w:lvlText w:val="%5)"/>
      <w:lvlJc w:val="left"/>
      <w:pPr>
        <w:ind w:left="2652" w:hanging="420"/>
      </w:pPr>
    </w:lvl>
    <w:lvl w:ilvl="5" w:tentative="0">
      <w:start w:val="1"/>
      <w:numFmt w:val="lowerRoman"/>
      <w:lvlText w:val="%6."/>
      <w:lvlJc w:val="right"/>
      <w:pPr>
        <w:ind w:left="3072" w:hanging="420"/>
      </w:pPr>
    </w:lvl>
    <w:lvl w:ilvl="6" w:tentative="0">
      <w:start w:val="1"/>
      <w:numFmt w:val="decimal"/>
      <w:lvlText w:val="%7."/>
      <w:lvlJc w:val="left"/>
      <w:pPr>
        <w:ind w:left="3492" w:hanging="420"/>
      </w:pPr>
    </w:lvl>
    <w:lvl w:ilvl="7" w:tentative="0">
      <w:start w:val="1"/>
      <w:numFmt w:val="lowerLetter"/>
      <w:lvlText w:val="%8)"/>
      <w:lvlJc w:val="left"/>
      <w:pPr>
        <w:ind w:left="3912" w:hanging="420"/>
      </w:pPr>
    </w:lvl>
    <w:lvl w:ilvl="8" w:tentative="0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2ExOGY5NDQxYmM1NmJlNzk5NmNiZmE0OWVkNTYifQ=="/>
  </w:docVars>
  <w:rsids>
    <w:rsidRoot w:val="00172A27"/>
    <w:rsid w:val="0000341B"/>
    <w:rsid w:val="000045FC"/>
    <w:rsid w:val="00023314"/>
    <w:rsid w:val="00093C81"/>
    <w:rsid w:val="000975DB"/>
    <w:rsid w:val="00124800"/>
    <w:rsid w:val="00160F0B"/>
    <w:rsid w:val="00165DE2"/>
    <w:rsid w:val="00172A27"/>
    <w:rsid w:val="00185D35"/>
    <w:rsid w:val="001A2682"/>
    <w:rsid w:val="001F290A"/>
    <w:rsid w:val="00216A52"/>
    <w:rsid w:val="00260BAA"/>
    <w:rsid w:val="00261CDF"/>
    <w:rsid w:val="00263ED8"/>
    <w:rsid w:val="00287DC4"/>
    <w:rsid w:val="002A3556"/>
    <w:rsid w:val="002F4A04"/>
    <w:rsid w:val="00322E6B"/>
    <w:rsid w:val="00336015"/>
    <w:rsid w:val="00340F5D"/>
    <w:rsid w:val="003536C6"/>
    <w:rsid w:val="003553D0"/>
    <w:rsid w:val="003577A2"/>
    <w:rsid w:val="003A7F64"/>
    <w:rsid w:val="003B1928"/>
    <w:rsid w:val="003B704C"/>
    <w:rsid w:val="003D2CA4"/>
    <w:rsid w:val="00407BC8"/>
    <w:rsid w:val="00432EC4"/>
    <w:rsid w:val="004809F5"/>
    <w:rsid w:val="004B564E"/>
    <w:rsid w:val="004D2282"/>
    <w:rsid w:val="004E33A1"/>
    <w:rsid w:val="004F2C5C"/>
    <w:rsid w:val="00562617"/>
    <w:rsid w:val="00581986"/>
    <w:rsid w:val="00583AC3"/>
    <w:rsid w:val="00590E2A"/>
    <w:rsid w:val="005A055D"/>
    <w:rsid w:val="005B0872"/>
    <w:rsid w:val="00613749"/>
    <w:rsid w:val="00661C73"/>
    <w:rsid w:val="0067197A"/>
    <w:rsid w:val="00687135"/>
    <w:rsid w:val="00694734"/>
    <w:rsid w:val="006A7F22"/>
    <w:rsid w:val="006B3C93"/>
    <w:rsid w:val="006E2A46"/>
    <w:rsid w:val="006E48F9"/>
    <w:rsid w:val="006F7B86"/>
    <w:rsid w:val="00702153"/>
    <w:rsid w:val="007070B4"/>
    <w:rsid w:val="00750A14"/>
    <w:rsid w:val="00756790"/>
    <w:rsid w:val="007B1A9D"/>
    <w:rsid w:val="007B5D60"/>
    <w:rsid w:val="007C278B"/>
    <w:rsid w:val="007E5EAE"/>
    <w:rsid w:val="007F2913"/>
    <w:rsid w:val="008256AA"/>
    <w:rsid w:val="00843CE6"/>
    <w:rsid w:val="00847323"/>
    <w:rsid w:val="0085594E"/>
    <w:rsid w:val="00857E8B"/>
    <w:rsid w:val="0086068C"/>
    <w:rsid w:val="00874842"/>
    <w:rsid w:val="00877927"/>
    <w:rsid w:val="00877A30"/>
    <w:rsid w:val="008D1133"/>
    <w:rsid w:val="008D3DFA"/>
    <w:rsid w:val="008D7087"/>
    <w:rsid w:val="00914261"/>
    <w:rsid w:val="009D0656"/>
    <w:rsid w:val="009E13AC"/>
    <w:rsid w:val="00A32A72"/>
    <w:rsid w:val="00A3303F"/>
    <w:rsid w:val="00A53C21"/>
    <w:rsid w:val="00A577C5"/>
    <w:rsid w:val="00A63DFF"/>
    <w:rsid w:val="00A862A0"/>
    <w:rsid w:val="00AD2BD8"/>
    <w:rsid w:val="00AE0C5B"/>
    <w:rsid w:val="00AE5B4E"/>
    <w:rsid w:val="00B0202D"/>
    <w:rsid w:val="00B05875"/>
    <w:rsid w:val="00B10824"/>
    <w:rsid w:val="00B611CB"/>
    <w:rsid w:val="00B926D7"/>
    <w:rsid w:val="00BB38C5"/>
    <w:rsid w:val="00BF3FF3"/>
    <w:rsid w:val="00C036BE"/>
    <w:rsid w:val="00C61BE0"/>
    <w:rsid w:val="00C854FC"/>
    <w:rsid w:val="00CB3686"/>
    <w:rsid w:val="00CF40C1"/>
    <w:rsid w:val="00CF41C1"/>
    <w:rsid w:val="00D16B23"/>
    <w:rsid w:val="00D33D22"/>
    <w:rsid w:val="00DA0B52"/>
    <w:rsid w:val="00DA70BC"/>
    <w:rsid w:val="00DB3EDE"/>
    <w:rsid w:val="00DD6868"/>
    <w:rsid w:val="00DE5D01"/>
    <w:rsid w:val="00DE6351"/>
    <w:rsid w:val="00E00F02"/>
    <w:rsid w:val="00E04C9B"/>
    <w:rsid w:val="00E1579A"/>
    <w:rsid w:val="00E95574"/>
    <w:rsid w:val="00E97F3E"/>
    <w:rsid w:val="00F05371"/>
    <w:rsid w:val="00F05B6D"/>
    <w:rsid w:val="00F236BE"/>
    <w:rsid w:val="00F95D21"/>
    <w:rsid w:val="00FA01DD"/>
    <w:rsid w:val="00FA3B7B"/>
    <w:rsid w:val="00FA5C70"/>
    <w:rsid w:val="00FD4819"/>
    <w:rsid w:val="00FE7DC1"/>
    <w:rsid w:val="017621F9"/>
    <w:rsid w:val="07D70922"/>
    <w:rsid w:val="09381459"/>
    <w:rsid w:val="0958526D"/>
    <w:rsid w:val="09BD6B8A"/>
    <w:rsid w:val="09F23CE8"/>
    <w:rsid w:val="0AFA120A"/>
    <w:rsid w:val="0C3537FB"/>
    <w:rsid w:val="0C7F1C11"/>
    <w:rsid w:val="0F2E22AB"/>
    <w:rsid w:val="107F18A9"/>
    <w:rsid w:val="10F20DDB"/>
    <w:rsid w:val="12183A8E"/>
    <w:rsid w:val="13EB653A"/>
    <w:rsid w:val="14F67573"/>
    <w:rsid w:val="17C77B0F"/>
    <w:rsid w:val="189C4843"/>
    <w:rsid w:val="19574DA2"/>
    <w:rsid w:val="1B7D79D2"/>
    <w:rsid w:val="1BE31B4D"/>
    <w:rsid w:val="1D533889"/>
    <w:rsid w:val="1D5522D4"/>
    <w:rsid w:val="1E2206E9"/>
    <w:rsid w:val="1E8F4FAF"/>
    <w:rsid w:val="1EB00B68"/>
    <w:rsid w:val="1F8C08F2"/>
    <w:rsid w:val="21D04826"/>
    <w:rsid w:val="23040234"/>
    <w:rsid w:val="23AB191E"/>
    <w:rsid w:val="24B30F5E"/>
    <w:rsid w:val="24C34C80"/>
    <w:rsid w:val="25D10AE5"/>
    <w:rsid w:val="25E40DB9"/>
    <w:rsid w:val="25F82EB2"/>
    <w:rsid w:val="26FA7220"/>
    <w:rsid w:val="275C1C24"/>
    <w:rsid w:val="286B0F53"/>
    <w:rsid w:val="29110139"/>
    <w:rsid w:val="297561D3"/>
    <w:rsid w:val="2B32788A"/>
    <w:rsid w:val="2B683643"/>
    <w:rsid w:val="2BFE25AD"/>
    <w:rsid w:val="2C484B1E"/>
    <w:rsid w:val="2CE0731C"/>
    <w:rsid w:val="2D021266"/>
    <w:rsid w:val="2D1C2F78"/>
    <w:rsid w:val="2DDD43CD"/>
    <w:rsid w:val="2E4A06F4"/>
    <w:rsid w:val="32E35FC5"/>
    <w:rsid w:val="331F61ED"/>
    <w:rsid w:val="352765C3"/>
    <w:rsid w:val="35513819"/>
    <w:rsid w:val="35BE11FB"/>
    <w:rsid w:val="36331012"/>
    <w:rsid w:val="390A2655"/>
    <w:rsid w:val="3CAF11F3"/>
    <w:rsid w:val="3D2953BB"/>
    <w:rsid w:val="3DA4799F"/>
    <w:rsid w:val="3EB31986"/>
    <w:rsid w:val="3FBD15DC"/>
    <w:rsid w:val="4077339B"/>
    <w:rsid w:val="426D4684"/>
    <w:rsid w:val="44BC5F98"/>
    <w:rsid w:val="459B1F40"/>
    <w:rsid w:val="46295027"/>
    <w:rsid w:val="469D17EC"/>
    <w:rsid w:val="46BF20A2"/>
    <w:rsid w:val="47606B0B"/>
    <w:rsid w:val="47C61B5C"/>
    <w:rsid w:val="47FC3417"/>
    <w:rsid w:val="49612AC8"/>
    <w:rsid w:val="4ABC313C"/>
    <w:rsid w:val="4AF30483"/>
    <w:rsid w:val="4CBB2F60"/>
    <w:rsid w:val="4FDC618E"/>
    <w:rsid w:val="559646C4"/>
    <w:rsid w:val="56245862"/>
    <w:rsid w:val="564B6B40"/>
    <w:rsid w:val="56DC5010"/>
    <w:rsid w:val="573B510F"/>
    <w:rsid w:val="575C65BB"/>
    <w:rsid w:val="57A63BE7"/>
    <w:rsid w:val="58556DFB"/>
    <w:rsid w:val="58A1423A"/>
    <w:rsid w:val="605B3923"/>
    <w:rsid w:val="60832368"/>
    <w:rsid w:val="61154893"/>
    <w:rsid w:val="618371CB"/>
    <w:rsid w:val="61B21CE6"/>
    <w:rsid w:val="62F05CEE"/>
    <w:rsid w:val="634459FB"/>
    <w:rsid w:val="66A27570"/>
    <w:rsid w:val="66B35C38"/>
    <w:rsid w:val="68211269"/>
    <w:rsid w:val="685B471E"/>
    <w:rsid w:val="68926F62"/>
    <w:rsid w:val="6896041E"/>
    <w:rsid w:val="695E7BE1"/>
    <w:rsid w:val="6A082FA0"/>
    <w:rsid w:val="6A2A6341"/>
    <w:rsid w:val="6A5C6141"/>
    <w:rsid w:val="6BA00665"/>
    <w:rsid w:val="6C666467"/>
    <w:rsid w:val="6D694AFE"/>
    <w:rsid w:val="6D7A78B9"/>
    <w:rsid w:val="6DFB76B0"/>
    <w:rsid w:val="6FA4093E"/>
    <w:rsid w:val="711605ED"/>
    <w:rsid w:val="713472B0"/>
    <w:rsid w:val="71B4365D"/>
    <w:rsid w:val="723536EF"/>
    <w:rsid w:val="745436E9"/>
    <w:rsid w:val="75D60C7F"/>
    <w:rsid w:val="769E4528"/>
    <w:rsid w:val="781A4D19"/>
    <w:rsid w:val="7ACE03F8"/>
    <w:rsid w:val="7B9F58E0"/>
    <w:rsid w:val="7CCF01D0"/>
    <w:rsid w:val="7DDC3A2D"/>
    <w:rsid w:val="7E212EDA"/>
    <w:rsid w:val="7E6C6CF7"/>
    <w:rsid w:val="7F6015C4"/>
    <w:rsid w:val="7F6D75EE"/>
    <w:rsid w:val="7F9248A7"/>
    <w:rsid w:val="7F9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left="220" w:firstLine="660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480" w:lineRule="exact"/>
      <w:ind w:left="360"/>
      <w:outlineLvl w:val="1"/>
    </w:pPr>
    <w:rPr>
      <w:sz w:val="30"/>
    </w:rPr>
  </w:style>
  <w:style w:type="paragraph" w:styleId="4">
    <w:name w:val="heading 3"/>
    <w:basedOn w:val="1"/>
    <w:next w:val="1"/>
    <w:autoRedefine/>
    <w:qFormat/>
    <w:uiPriority w:val="0"/>
    <w:pPr>
      <w:keepNext/>
      <w:ind w:left="-358" w:leftChars="-171" w:hanging="1"/>
      <w:outlineLvl w:val="2"/>
    </w:pPr>
    <w:rPr>
      <w:b/>
      <w:i/>
      <w:sz w:val="30"/>
      <w:u w:val="thick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rPr>
      <w:sz w:val="28"/>
    </w:rPr>
  </w:style>
  <w:style w:type="paragraph" w:styleId="7">
    <w:name w:val="Body Text Indent"/>
    <w:basedOn w:val="1"/>
    <w:uiPriority w:val="0"/>
    <w:pPr>
      <w:spacing w:before="156" w:beforeLines="50" w:line="440" w:lineRule="exact"/>
      <w:ind w:firstLine="480" w:firstLineChars="200"/>
    </w:pPr>
    <w:rPr>
      <w:sz w:val="24"/>
    </w:rPr>
  </w:style>
  <w:style w:type="paragraph" w:styleId="8">
    <w:name w:val="Block Text"/>
    <w:basedOn w:val="1"/>
    <w:qFormat/>
    <w:uiPriority w:val="0"/>
    <w:pPr>
      <w:spacing w:line="720" w:lineRule="exact"/>
      <w:ind w:left="-359" w:leftChars="-171" w:right="-244" w:rightChars="-244" w:firstLine="560" w:firstLineChars="200"/>
      <w:jc w:val="left"/>
    </w:pPr>
    <w:rPr>
      <w:rFonts w:ascii="宋体" w:hAnsi="宋体"/>
      <w:sz w:val="28"/>
    </w:rPr>
  </w:style>
  <w:style w:type="paragraph" w:styleId="9">
    <w:name w:val="Date"/>
    <w:basedOn w:val="1"/>
    <w:next w:val="1"/>
    <w:autoRedefine/>
    <w:qFormat/>
    <w:uiPriority w:val="0"/>
    <w:rPr>
      <w:rFonts w:ascii="宋体"/>
      <w:sz w:val="28"/>
    </w:rPr>
  </w:style>
  <w:style w:type="paragraph" w:styleId="10">
    <w:name w:val="Body Text Indent 2"/>
    <w:basedOn w:val="1"/>
    <w:autoRedefine/>
    <w:qFormat/>
    <w:uiPriority w:val="0"/>
    <w:pPr>
      <w:spacing w:before="100" w:after="100" w:line="440" w:lineRule="exact"/>
      <w:ind w:firstLine="480" w:firstLineChars="200"/>
    </w:pPr>
    <w:rPr>
      <w:sz w:val="24"/>
    </w:rPr>
  </w:style>
  <w:style w:type="paragraph" w:styleId="11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Indent 3"/>
    <w:basedOn w:val="1"/>
    <w:autoRedefine/>
    <w:qFormat/>
    <w:uiPriority w:val="0"/>
    <w:pPr>
      <w:spacing w:line="500" w:lineRule="exact"/>
      <w:ind w:firstLine="482" w:firstLineChars="200"/>
    </w:pPr>
    <w:rPr>
      <w:b/>
      <w:sz w:val="24"/>
    </w:rPr>
  </w:style>
  <w:style w:type="paragraph" w:styleId="14">
    <w:name w:val="Body Text 2"/>
    <w:basedOn w:val="1"/>
    <w:autoRedefine/>
    <w:qFormat/>
    <w:uiPriority w:val="0"/>
    <w:rPr>
      <w:rFonts w:ascii="黑体" w:eastAsia="黑体"/>
      <w:b/>
      <w:sz w:val="28"/>
    </w:rPr>
  </w:style>
  <w:style w:type="paragraph" w:styleId="15">
    <w:name w:val="HTML Preformatted"/>
    <w:basedOn w:val="1"/>
    <w:autoRedefine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lang w:eastAsia="en-US"/>
    </w:rPr>
  </w:style>
  <w:style w:type="character" w:styleId="19">
    <w:name w:val="Strong"/>
    <w:autoRedefine/>
    <w:qFormat/>
    <w:uiPriority w:val="0"/>
    <w:rPr>
      <w:b/>
    </w:rPr>
  </w:style>
  <w:style w:type="character" w:styleId="20">
    <w:name w:val="page number"/>
    <w:autoRedefine/>
    <w:qFormat/>
    <w:uiPriority w:val="0"/>
  </w:style>
  <w:style w:type="character" w:styleId="21">
    <w:name w:val="FollowedHyperlink"/>
    <w:autoRedefine/>
    <w:qFormat/>
    <w:uiPriority w:val="0"/>
    <w:rPr>
      <w:color w:val="800080"/>
      <w:u w:val="single"/>
    </w:rPr>
  </w:style>
  <w:style w:type="character" w:styleId="22">
    <w:name w:val="Emphasis"/>
    <w:autoRedefine/>
    <w:qFormat/>
    <w:uiPriority w:val="20"/>
    <w:rPr>
      <w:i/>
      <w:iCs/>
    </w:rPr>
  </w:style>
  <w:style w:type="character" w:styleId="23">
    <w:name w:val="Hyperlink"/>
    <w:autoRedefine/>
    <w:qFormat/>
    <w:uiPriority w:val="0"/>
    <w:rPr>
      <w:color w:val="0000FF"/>
      <w:u w:val="single"/>
    </w:rPr>
  </w:style>
  <w:style w:type="character" w:styleId="24">
    <w:name w:val="annotation reference"/>
    <w:autoRedefine/>
    <w:qFormat/>
    <w:uiPriority w:val="0"/>
    <w:rPr>
      <w:sz w:val="21"/>
    </w:rPr>
  </w:style>
  <w:style w:type="character" w:customStyle="1" w:styleId="25">
    <w:name w:val="页脚 Char"/>
    <w:link w:val="11"/>
    <w:autoRedefine/>
    <w:qFormat/>
    <w:uiPriority w:val="99"/>
    <w:rPr>
      <w:kern w:val="2"/>
      <w:sz w:val="18"/>
    </w:rPr>
  </w:style>
  <w:style w:type="character" w:customStyle="1" w:styleId="26">
    <w:name w:val="9a1"/>
    <w:autoRedefine/>
    <w:qFormat/>
    <w:uiPriority w:val="0"/>
  </w:style>
  <w:style w:type="character" w:customStyle="1" w:styleId="27">
    <w:name w:val="9pt21"/>
    <w:autoRedefine/>
    <w:qFormat/>
    <w:uiPriority w:val="0"/>
    <w:rPr>
      <w:color w:val="333333"/>
      <w:sz w:val="18"/>
    </w:rPr>
  </w:style>
  <w:style w:type="paragraph" w:customStyle="1" w:styleId="28">
    <w:name w:val="Normal_2"/>
    <w:basedOn w:val="1"/>
    <w:autoRedefine/>
    <w:qFormat/>
    <w:uiPriority w:val="0"/>
    <w:pPr>
      <w:spacing w:line="360" w:lineRule="exact"/>
    </w:pPr>
    <w:rPr>
      <w:sz w:val="24"/>
    </w:rPr>
  </w:style>
  <w:style w:type="paragraph" w:customStyle="1" w:styleId="29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lang w:val="en-US" w:eastAsia="zh-CN" w:bidi="ar-SA"/>
    </w:rPr>
  </w:style>
  <w:style w:type="paragraph" w:customStyle="1" w:styleId="3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Achievement"/>
    <w:basedOn w:val="6"/>
    <w:autoRedefine/>
    <w:qFormat/>
    <w:uiPriority w:val="0"/>
    <w:pPr>
      <w:widowControl/>
      <w:spacing w:after="60" w:line="220" w:lineRule="atLeast"/>
      <w:ind w:left="780" w:hanging="420"/>
    </w:pPr>
    <w:rPr>
      <w:rFonts w:ascii="Arial" w:hAnsi="Arial"/>
      <w:spacing w:val="-5"/>
      <w:kern w:val="0"/>
      <w:sz w:val="20"/>
    </w:rPr>
  </w:style>
  <w:style w:type="paragraph" w:customStyle="1" w:styleId="33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34">
    <w:name w:val="Subject Line"/>
    <w:basedOn w:val="1"/>
    <w:next w:val="6"/>
    <w:autoRedefine/>
    <w:qFormat/>
    <w:uiPriority w:val="0"/>
    <w:pPr>
      <w:widowControl/>
      <w:spacing w:after="220" w:line="220" w:lineRule="atLeast"/>
      <w:jc w:val="left"/>
    </w:pPr>
    <w:rPr>
      <w:rFonts w:ascii="Arial Black" w:hAnsi="Arial Black" w:eastAsia="Times New Roman"/>
      <w:spacing w:val="-10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683</Words>
  <Characters>3895</Characters>
  <Lines>32</Lines>
  <Paragraphs>9</Paragraphs>
  <TotalTime>12</TotalTime>
  <ScaleCrop>false</ScaleCrop>
  <LinksUpToDate>false</LinksUpToDate>
  <CharactersWithSpaces>4569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2024-03-04T07:02:00Z</dcterms:created>
  <dc:creator>ssiwyj</dc:creator>
  <cp:lastModifiedBy>冯婷婷</cp:lastModifiedBy>
  <cp:lastPrinted>2024-03-04T09:31:00Z</cp:lastPrinted>
  <dcterms:modified xsi:type="dcterms:W3CDTF">2024-03-14T05:48:32Z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5336F9791D2D414FBD1B14D32312719C_13</vt:lpwstr>
  </property>
</Properties>
</file>