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8908415</wp:posOffset>
                </wp:positionV>
                <wp:extent cx="5080000" cy="623570"/>
                <wp:effectExtent l="0" t="0" r="0" b="0"/>
                <wp:wrapNone/>
                <wp:docPr id="38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23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jc w:val="righ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上海同砺企业管理咨询有限公司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78.5pt;margin-top:701.45pt;height:49.1pt;width:400pt;z-index:251659264;mso-width-relative:page;mso-height-relative:page;" filled="f" stroked="f" coordsize="21600,21600" o:gfxdata="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6rqrX1QAAAA0BAAAPAAAAAAAAAAEAIAAAACIAAABkcnMvZG93bnJldi54bWxQSwECFAAU&#10;AAAACACHTuJAsvjPBbsBAABn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righ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上海同砺企业管理咨询有限公司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-69850</wp:posOffset>
                </wp:positionV>
                <wp:extent cx="5983605" cy="4449445"/>
                <wp:effectExtent l="19050" t="6350" r="26670" b="1143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449445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5.5pt;height:350.35pt;width:471.15pt;z-index:251660288;mso-width-relative:page;mso-height-relative:page;" coordorigin="5312,3100" coordsize="8615,5698" o:gfxdata="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0"/>
                                <w:szCs w:val="40"/>
                              </w:rPr>
                              <w:t>企业内刊新闻采编与自媒体传播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6432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0"/>
                          <w:szCs w:val="40"/>
                        </w:rPr>
                        <w:t>企业内刊新闻采编与自媒体传播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2336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3360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4384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5408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3600元/人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440" w:lineRule="atLeas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Arial"/>
          <w:kern w:val="0"/>
          <w:szCs w:val="21"/>
        </w:rPr>
        <w:t>中高层管理者、HR、党政办公室，企业文化专员、自媒体运营、管理人员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1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42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1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2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12月13-14日</w:t>
            </w:r>
          </w:p>
        </w:tc>
      </w:tr>
    </w:tbl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毛泽东说：“凡是推翻一个政权必先打造舆论。”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习近平总书记说：“党的新闻舆论工作是党的一项重要工作，是治国理政、定国安邦的大事。”如何让企业战略经营落地，需要通过文化去造势，通过传统媒体和新媒体融合推动企业内部凝心聚力，这个武器媒体联动融合——自媒体！如何用自媒体去传播企业文化呢？在互联网时代需要用创新思维！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“不日新者必日退，明者因时而变，知者随事而制”做好宣传思想工作，比以往任何时候都更加重要而且需要创新。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具有海尔11年资深企业文化实战管理经验的孙海蓝老师，将通过大量实操案例告诉你如何做内刊新闻采编和自媒体管理，包括如何为企业文化服务。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案例教学、互动教学、启发式教学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翻转课堂激发学员互动分享工作经验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通过答疑学员问题便于后续落地实施</w:t>
      </w:r>
    </w:p>
    <w:p>
      <w:pPr>
        <w:pStyle w:val="15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研讨+案例分享+头脑风暴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掌握新闻采编的方法工具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掌握新媒体传播的方法论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如何会起好一个新闻题目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知道好新闻从哪来如何写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>
      <w:pPr>
        <w:pStyle w:val="15"/>
        <w:numPr>
          <w:ilvl w:val="0"/>
          <w:numId w:val="4"/>
        </w:numPr>
        <w:tabs>
          <w:tab w:val="left" w:pos="525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这个课程找了很久，来上这个课程对我触动很大，之前自己在做内刊和采编包括新媒体传播方面发现有很多误区，通过上孙海蓝老师的课程，发现我还需要去建立内部采编体系，如何做好策划搭建好平台，让我们的内刊和微信号做的更好，更让人爱读爱看。</w:t>
      </w:r>
    </w:p>
    <w:p>
      <w:pPr>
        <w:pStyle w:val="15"/>
        <w:tabs>
          <w:tab w:val="left" w:pos="525"/>
        </w:tabs>
        <w:spacing w:line="440" w:lineRule="exact"/>
        <w:ind w:firstLine="0" w:firstLineChars="0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                                          </w:t>
      </w: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 ——上海好侍食品经推课长 杨文静</w:t>
      </w:r>
    </w:p>
    <w:p>
      <w:pPr>
        <w:pStyle w:val="15"/>
        <w:numPr>
          <w:ilvl w:val="0"/>
          <w:numId w:val="4"/>
        </w:numPr>
        <w:tabs>
          <w:tab w:val="left" w:pos="525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学习孙海蓝老师2天的内刊课程，让我感觉对自己的工作更有信心了，发现以前自己存在的问题，明白了为什么找不到合适的素材，为什么文化宣传和战略主题接轨不高，抓手不对，努力白费，孙老师分享了一些标杆企业的做法非常值得学习参考，对工作帮助收获太大了。</w:t>
      </w:r>
    </w:p>
    <w:p>
      <w:pPr>
        <w:pStyle w:val="15"/>
        <w:tabs>
          <w:tab w:val="left" w:pos="525"/>
        </w:tabs>
        <w:spacing w:line="440" w:lineRule="exact"/>
        <w:ind w:firstLine="0" w:firstLineChars="0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                                         </w:t>
      </w: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 ——北京天弘基金文化负责人 文小琛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模块一：能力必备——自身要硬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自媒体小编对企业文化的理解：7化、八感、4有、5度、4一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案例分享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自媒体小编自身的三种基本角色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小编应该具备的6种互联网思维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做好微信应该具备的基本功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自媒体小编的2个核心关键点：身入+心到</w:t>
      </w:r>
    </w:p>
    <w:p>
      <w:pPr>
        <w:numPr>
          <w:ilvl w:val="0"/>
          <w:numId w:val="5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自媒体小编的5狗精神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模块二: 内刊管理——产品思维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内刊定位、自媒体定位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自媒体传播的特点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对内刊的基本管理</w:t>
      </w:r>
    </w:p>
    <w:p>
      <w:pPr>
        <w:numPr>
          <w:ilvl w:val="0"/>
          <w:numId w:val="6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推送内容、时间选择</w:t>
      </w:r>
    </w:p>
    <w:p>
      <w:pPr>
        <w:numPr>
          <w:ilvl w:val="0"/>
          <w:numId w:val="6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同一管控口径</w:t>
      </w:r>
    </w:p>
    <w:p>
      <w:pPr>
        <w:numPr>
          <w:ilvl w:val="0"/>
          <w:numId w:val="6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管理手段，今日头条</w:t>
      </w:r>
    </w:p>
    <w:p>
      <w:pPr>
        <w:numPr>
          <w:ilvl w:val="0"/>
          <w:numId w:val="6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掌握各种自媒体管理和排版工具</w:t>
      </w:r>
    </w:p>
    <w:p>
      <w:pPr>
        <w:numPr>
          <w:ilvl w:val="0"/>
          <w:numId w:val="6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内刊的策划和每期主题设计</w:t>
      </w:r>
    </w:p>
    <w:p>
      <w:pPr>
        <w:numPr>
          <w:ilvl w:val="0"/>
          <w:numId w:val="6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内刊的版面逻辑设计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众多企业案例分享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Arial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模块三：通讯员管理——梯队建设</w:t>
      </w:r>
    </w:p>
    <w:p>
      <w:pPr>
        <w:numPr>
          <w:ilvl w:val="0"/>
          <w:numId w:val="7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一、需要建立的4张表</w:t>
      </w:r>
    </w:p>
    <w:p>
      <w:pPr>
        <w:numPr>
          <w:ilvl w:val="0"/>
          <w:numId w:val="7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二、建立通讯员管理机制</w:t>
      </w:r>
    </w:p>
    <w:p>
      <w:pPr>
        <w:numPr>
          <w:ilvl w:val="0"/>
          <w:numId w:val="7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三、推进通讯员蒲公英计划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众多企业通讯员管理分享</w:t>
      </w:r>
    </w:p>
    <w:p>
      <w:pPr>
        <w:numPr>
          <w:ilvl w:val="0"/>
          <w:numId w:val="7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四、让通讯员知道如何投稿</w:t>
      </w:r>
    </w:p>
    <w:p>
      <w:pPr>
        <w:numPr>
          <w:ilvl w:val="0"/>
          <w:numId w:val="7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五、如何对通讯员进行激励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模块四：造势传播——借势营销</w:t>
      </w:r>
    </w:p>
    <w:p>
      <w:pPr>
        <w:numPr>
          <w:ilvl w:val="0"/>
          <w:numId w:val="8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传播造势三大核心：创意+情感+时机 </w:t>
      </w:r>
    </w:p>
    <w:p>
      <w:pPr>
        <w:numPr>
          <w:ilvl w:val="0"/>
          <w:numId w:val="8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推进传播6借管理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案例演练+辅导案例分享</w:t>
      </w:r>
    </w:p>
    <w:p>
      <w:pPr>
        <w:numPr>
          <w:ilvl w:val="0"/>
          <w:numId w:val="8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如何设计策划企业内部活动</w:t>
      </w:r>
    </w:p>
    <w:p>
      <w:pPr>
        <w:numPr>
          <w:ilvl w:val="0"/>
          <w:numId w:val="9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要学习的五狗精神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案例分享：活动设计</w:t>
      </w:r>
    </w:p>
    <w:p>
      <w:pPr>
        <w:numPr>
          <w:ilvl w:val="0"/>
          <w:numId w:val="9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活动策划的记得要求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痛点、引流、刺激、好奇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案例分享：主题活动策划</w:t>
      </w:r>
    </w:p>
    <w:p>
      <w:pPr>
        <w:numPr>
          <w:ilvl w:val="0"/>
          <w:numId w:val="9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造势策划要明白的道理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案例分享和演练</w:t>
      </w:r>
    </w:p>
    <w:p>
      <w:pPr>
        <w:numPr>
          <w:ilvl w:val="0"/>
          <w:numId w:val="9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做好微信小编的1223原则</w:t>
      </w:r>
    </w:p>
    <w:p>
      <w:pPr>
        <w:numPr>
          <w:ilvl w:val="0"/>
          <w:numId w:val="9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新闻造势点的设计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如何借助热点？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作业演练 案例分享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工具使用：发双微、发语音、发视频（抖音）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模块五：新闻采编 ——实操训练</w:t>
      </w:r>
    </w:p>
    <w:p>
      <w:pPr>
        <w:numPr>
          <w:ilvl w:val="0"/>
          <w:numId w:val="10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关于采编实操手段的训练</w:t>
      </w:r>
    </w:p>
    <w:p>
      <w:pPr>
        <w:spacing w:line="400" w:lineRule="exact"/>
        <w:rPr>
          <w:rFonts w:ascii="微软雅黑" w:hAnsi="微软雅黑" w:eastAsia="微软雅黑" w:cs="Arial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Arial"/>
          <w:b/>
          <w:bCs/>
          <w:color w:val="C00000"/>
          <w:kern w:val="0"/>
          <w:szCs w:val="21"/>
        </w:rPr>
        <w:t>关于新闻采访：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新闻采编的注意的问题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系列案例训练、演练、分享</w:t>
      </w:r>
    </w:p>
    <w:p>
      <w:pPr>
        <w:numPr>
          <w:ilvl w:val="0"/>
          <w:numId w:val="10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关于新闻写作：</w:t>
      </w: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关于题目和内容的提炼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让题目抓人，让文章诱人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题目的提炼：一目知文法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案例分享：一目知文法</w:t>
      </w: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关于通讯、人物的报道写法（适合微信号）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抓导向，抓立意，讲故事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理解意图更重要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鲜活的语言更生动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文章写法的三个一思想</w:t>
      </w: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关于微信号文章写作训练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自媒体的写作特点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自媒体的文字特点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自媒体写作：风格即人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自媒体的写作训练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实操训练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企业微信号的管理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现场实操训练：写法</w:t>
      </w:r>
    </w:p>
    <w:p>
      <w:pPr>
        <w:numPr>
          <w:ilvl w:val="0"/>
          <w:numId w:val="11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如何做舆论引导</w:t>
      </w:r>
    </w:p>
    <w:p>
      <w:pPr>
        <w:numPr>
          <w:ilvl w:val="0"/>
          <w:numId w:val="12"/>
        </w:num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标题抓人眼球</w:t>
      </w:r>
    </w:p>
    <w:p>
      <w:pPr>
        <w:numPr>
          <w:ilvl w:val="0"/>
          <w:numId w:val="12"/>
        </w:num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激发读者欲望</w:t>
      </w:r>
    </w:p>
    <w:p>
      <w:pPr>
        <w:numPr>
          <w:ilvl w:val="0"/>
          <w:numId w:val="12"/>
        </w:num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获得读者信任</w:t>
      </w:r>
    </w:p>
    <w:p>
      <w:pPr>
        <w:numPr>
          <w:ilvl w:val="0"/>
          <w:numId w:val="12"/>
        </w:num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引导下一步操作</w:t>
      </w:r>
    </w:p>
    <w:p>
      <w:pPr>
        <w:numPr>
          <w:ilvl w:val="0"/>
          <w:numId w:val="10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活动推文写作流程</w:t>
      </w:r>
    </w:p>
    <w:p>
      <w:pPr>
        <w:numPr>
          <w:ilvl w:val="0"/>
          <w:numId w:val="13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挖掘活动亮点</w:t>
      </w:r>
    </w:p>
    <w:p>
      <w:pPr>
        <w:numPr>
          <w:ilvl w:val="0"/>
          <w:numId w:val="13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设计推文结构</w:t>
      </w:r>
    </w:p>
    <w:p>
      <w:pPr>
        <w:numPr>
          <w:ilvl w:val="0"/>
          <w:numId w:val="13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内容撰写优化</w:t>
      </w:r>
    </w:p>
    <w:p>
      <w:pPr>
        <w:numPr>
          <w:ilvl w:val="0"/>
          <w:numId w:val="13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呈现亮点突出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案例分享和演练</w:t>
      </w: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关于新闻拍照管理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如何构图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修图软件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案例赏析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模板资源网站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 xml:space="preserve">音乐素材网站 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图片素材网站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素材管理神器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作业演练点评+ 案例分享</w:t>
      </w:r>
    </w:p>
    <w:p>
      <w:pPr>
        <w:spacing w:line="400" w:lineRule="exact"/>
        <w:rPr>
          <w:rFonts w:ascii="微软雅黑" w:hAnsi="微软雅黑" w:eastAsia="微软雅黑" w:cs="Arial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模块五：课程小结——课程收获</w:t>
      </w:r>
    </w:p>
    <w:p>
      <w:pPr>
        <w:numPr>
          <w:ilvl w:val="0"/>
          <w:numId w:val="14"/>
        </w:numPr>
        <w:spacing w:line="400" w:lineRule="exac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我的行动</w:t>
      </w:r>
    </w:p>
    <w:p>
      <w:pPr>
        <w:numPr>
          <w:ilvl w:val="0"/>
          <w:numId w:val="14"/>
        </w:numPr>
        <w:spacing w:line="360" w:lineRule="auto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Arial"/>
          <w:kern w:val="0"/>
          <w:szCs w:val="21"/>
        </w:rPr>
        <w:t>我的计划</w:t>
      </w:r>
    </w:p>
    <w:p>
      <w:pPr>
        <w:spacing w:line="360" w:lineRule="auto"/>
        <w:rPr>
          <w:rFonts w:ascii="微软雅黑" w:hAnsi="微软雅黑" w:eastAsia="微软雅黑" w:cs="Arial"/>
          <w:kern w:val="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spacing w:line="360" w:lineRule="auto"/>
        <w:rPr>
          <w:rFonts w:ascii="微软雅黑" w:hAnsi="微软雅黑" w:eastAsia="微软雅黑" w:cs="微软雅黑"/>
          <w:b/>
          <w:bCs/>
          <w:color w:val="C00000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sz w:val="22"/>
        </w:rPr>
        <w:drawing>
          <wp:anchor distT="0" distB="0" distL="179705" distR="0" simplePos="0" relativeHeight="251668480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52070</wp:posOffset>
            </wp:positionV>
            <wp:extent cx="2307590" cy="2794635"/>
            <wp:effectExtent l="0" t="0" r="6985" b="5715"/>
            <wp:wrapSquare wrapText="bothSides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孙海蓝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海尔资深实战派资深培训师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 xml:space="preserve">中国百强企业优秀讲师 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IPTS国际职业培训师行业协会职业培训师、30强金牌培训师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北大、清华、人大MBA、EMBA企业文化和人力资源授课讲师</w:t>
      </w:r>
    </w:p>
    <w:p>
      <w:pPr>
        <w:pStyle w:val="15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正面管教认证导师、企业陪跑教练。</w:t>
      </w:r>
    </w:p>
    <w:p>
      <w:pPr>
        <w:pStyle w:val="15"/>
        <w:spacing w:line="440" w:lineRule="exact"/>
        <w:ind w:firstLine="0" w:firstLineChars="0"/>
        <w:rPr>
          <w:rFonts w:ascii="微软雅黑" w:hAnsi="微软雅黑" w:eastAsia="微软雅黑" w:cs="微软雅黑"/>
          <w:bCs/>
          <w:szCs w:val="18"/>
        </w:rPr>
      </w:pP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>
      <w:pPr>
        <w:numPr>
          <w:ilvl w:val="0"/>
          <w:numId w:val="16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>
      <w:pPr>
        <w:spacing w:line="440" w:lineRule="exact"/>
        <w:ind w:left="105"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海尔管理实战经验11年，原海尔企业文化体系主创人员、曾任海尔大学高级讲师</w:t>
      </w:r>
    </w:p>
    <w:p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11年工作经历走过企业文化、人力资源、行政 总监、目标管理等中高级管理岗位。企业内部5年讲师经验</w:t>
      </w:r>
    </w:p>
    <w:p>
      <w:pPr>
        <w:numPr>
          <w:ilvl w:val="0"/>
          <w:numId w:val="16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主要研究和培训领域 ：</w:t>
      </w:r>
    </w:p>
    <w:p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企业文化、人力资源、中高层管理技能提升、服务管理、心理辅导</w:t>
      </w:r>
    </w:p>
    <w:p>
      <w:pPr>
        <w:numPr>
          <w:ilvl w:val="0"/>
          <w:numId w:val="16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咨询核心模块：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企业文化、人力资源、6S、培训体系、服务管理体系导入、海尔OEC管理模式</w:t>
      </w:r>
    </w:p>
    <w:p>
      <w:pPr>
        <w:numPr>
          <w:ilvl w:val="0"/>
          <w:numId w:val="16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授课风格：</w:t>
      </w:r>
    </w:p>
    <w:p>
      <w:pPr>
        <w:spacing w:line="38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实用+分享+互动+参与，可以根据企业需求量身定做管理课程。孙老师的课程实用性很强，和企业结合紧密，不忽悠，课程朴实自然，课堂氛围活跃，学员参与很高。孙老师本着学以致用的原则，用心培训，用心分享。</w:t>
      </w:r>
    </w:p>
    <w:p>
      <w:pPr>
        <w:numPr>
          <w:ilvl w:val="0"/>
          <w:numId w:val="16"/>
        </w:numPr>
        <w:spacing w:line="440" w:lineRule="exac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服务客户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caps/>
          <w:szCs w:val="21"/>
        </w:rPr>
      </w:pPr>
      <w:r>
        <w:rPr>
          <w:rFonts w:hint="eastAsia" w:ascii="微软雅黑" w:hAnsi="微软雅黑" w:eastAsia="微软雅黑"/>
          <w:b/>
          <w:caps/>
          <w:szCs w:val="21"/>
        </w:rPr>
        <w:t>通讯业：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移动集团、浙江省电信、江苏省电信、张家港电信、广东电信、广西电信、宁夏移动、广州移动、黑龙江移动、宁波移动、濮阳移动、菏泽移动、河北移动、江西移动、亳州移动、黑龙江移动、宁波移动、黑河移动、临沂移动、东营移动、张家口移动……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烟草业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白沙烟草、贵阳烟草、保定烟草、青岛颐中烟草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电力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广西电力、神华电力集团、贵州电力、南方电网、青海省电力、青海黄化电力、格尔木电力、新疆华能电力、贵州电力、南方电网、华北电网、沈阳电力、贵州遵义电力、云南电力、临沧电力、邯郸热电集团、淄博热电、北票农电局、桐庐供电局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房地产业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上海中建八局、绿城、天津帝旺房地产、中南房地产、潍坊恒信建设集团、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北京云建房地产、郑州金成房地产公司、合肥华润置业、浙江台州扬帆地产、安徽柏星地产置业、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钢铁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武汉钢铁、宝钢集团、华凌钢铁、梅钢培训中心、鄂钢、萍钢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邮政企业：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北京邮政集团公司、濮阳邮政、广东邮政公司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能源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中石油、中海油、中石化大庆油田、神华宁煤、晋煤集团、晋煤集团成庄矿、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中国石化江苏石油、海润集团、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北京石油管理干部学院、天津石化、陕西延油、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胜利油田、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伊泰集团、汉江集团、张家口煤矿机械、广西绿城水务、中山水务、黄河水利委员会、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徐州矿物局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银行业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中国工商银行、中国建设银行、中国储蓄银行陕西省分行、中国邮储银行信用卡中心、中国民生银行冶金事业部、中国中信银行济南分行，中国建设银行江西省分行、青岛银行济南分行、深发展佛山银行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制造业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苏州日立光电、、张裕葡萄酒、、苏州日立光电、宁波欧琳集团、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南京奥赛康制药、益海粮油烟台公司、青岛齐耀瓦锡兰陵重工、通威股份、</w:t>
      </w:r>
      <w:r>
        <w:rPr>
          <w:rFonts w:hint="eastAsia" w:ascii="微软雅黑" w:hAnsi="微软雅黑" w:eastAsia="微软雅黑"/>
          <w:bCs/>
          <w:color w:val="000000"/>
          <w:szCs w:val="21"/>
        </w:rPr>
        <w:t>河北长城长电极有限公司、重庆金算盘、北京德青源鸡蛋、北京新华都变压器、江苏安靠电压附件有限公司、黄山永佳集团、中国兵器东方集团公司、山推工程机械股份、厦工工程有限公司、广西登高集团、北票农电、北京金保联印刷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红日阿康、JB集团、燕京啤酒</w:t>
      </w:r>
      <w:r>
        <w:rPr>
          <w:rFonts w:hint="eastAsia" w:ascii="微软雅黑" w:hAnsi="微软雅黑" w:eastAsia="微软雅黑"/>
          <w:caps/>
          <w:szCs w:val="21"/>
        </w:rPr>
        <w:t>重庆高速铁路有限公司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高等教育出版社外语分社、北票农电、江苏蓝丰、沈阳飞机工业（集团）有限公司、天津泰丽戈妮、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内蒙古红骏马集团、江西宝娜斯集团、广西东塘糖业有限公司、中国河北香河家具城、</w:t>
      </w:r>
      <w:r>
        <w:rPr>
          <w:rFonts w:hint="eastAsia" w:ascii="微软雅黑" w:hAnsi="微软雅黑" w:eastAsia="微软雅黑"/>
          <w:bCs/>
          <w:color w:val="000000"/>
          <w:szCs w:val="21"/>
        </w:rPr>
        <w:t>烟台嘉禾乐天家具城、石家庄造币有限公司、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山东鲁林木业、厦门中小企业联合会、焦作市中小企业联合会、江苏淮安中小企业协会、</w:t>
      </w:r>
      <w:r>
        <w:rPr>
          <w:rFonts w:hint="eastAsia" w:ascii="微软雅黑" w:hAnsi="微软雅黑" w:eastAsia="微软雅黑"/>
          <w:caps/>
          <w:szCs w:val="21"/>
        </w:rPr>
        <w:t>清华大学研究生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厦门进出口公司</w:t>
      </w:r>
      <w:r>
        <w:rPr>
          <w:rFonts w:hint="eastAsia" w:ascii="微软雅黑" w:hAnsi="微软雅黑" w:eastAsia="微软雅黑"/>
          <w:caps/>
          <w:szCs w:val="21"/>
        </w:rPr>
        <w:t>MBA、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东莞榴花艺术等等几百家制造业。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服务业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北京首都国际机场、杭州萧山国际机场、重庆国际机场空港服务公司、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中外运空运发展股份有限公司、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苏州胥城大酒店、酒泉卫星发射中心、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中国平安保险公司、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陕西高速工贸、青岛海景花园大酒店、南昌锦都皇冠酒店、杭州公路质量监督局、上海韩影宫美容公司等</w:t>
      </w:r>
      <w:r>
        <w:rPr>
          <w:rFonts w:hint="eastAsia" w:ascii="微软雅黑" w:hAnsi="微软雅黑" w:eastAsia="微软雅黑"/>
          <w:bCs/>
          <w:color w:val="000000"/>
          <w:szCs w:val="21"/>
        </w:rPr>
        <w:t>等</w:t>
      </w:r>
      <w:r>
        <w:rPr>
          <w:rFonts w:hint="eastAsia" w:ascii="微软雅黑" w:hAnsi="微软雅黑" w:eastAsia="微软雅黑"/>
          <w:caps/>
          <w:szCs w:val="21"/>
        </w:rPr>
        <w:t>企业</w:t>
      </w:r>
      <w:r>
        <w:rPr>
          <w:rFonts w:ascii="微软雅黑" w:hAnsi="微软雅黑" w:eastAsia="微软雅黑"/>
          <w:caps/>
          <w:szCs w:val="21"/>
        </w:rPr>
        <w:t>。</w:t>
      </w: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>
      <w:pPr>
        <w:pStyle w:val="14"/>
        <w:widowControl/>
        <w:spacing w:before="156" w:beforeLines="50" w:line="440" w:lineRule="exact"/>
        <w:jc w:val="left"/>
        <w:rPr>
          <w:rFonts w:ascii="仿宋" w:hAnsi="仿宋" w:eastAsia="微软雅黑" w:cs="仿宋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</w:t>
      </w:r>
      <w:r>
        <w:rPr>
          <w:rFonts w:hint="eastAsia" w:ascii="微软雅黑" w:hAnsi="微软雅黑" w:eastAsia="微软雅黑" w:cs="微软雅黑"/>
          <w:szCs w:val="21"/>
          <w:highlight w:val="none"/>
        </w:rPr>
        <w:t>《</w:t>
      </w:r>
      <w:r>
        <w:rPr>
          <w:rFonts w:hint="eastAsia" w:ascii="微软雅黑" w:hAnsi="微软雅黑" w:eastAsia="微软雅黑" w:cs="Arial"/>
          <w:kern w:val="0"/>
          <w:szCs w:val="21"/>
          <w:highlight w:val="none"/>
          <w:lang w:val="en-US" w:eastAsia="zh-CN"/>
        </w:rPr>
        <w:t>企业内刊新闻采编与自媒体传播》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3600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6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17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1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7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>
            <w:pPr>
              <w:pStyle w:val="15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>
            <w:pPr>
              <w:pStyle w:val="15"/>
              <w:numPr>
                <w:ilvl w:val="0"/>
                <w:numId w:val="18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7456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6432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34DA7"/>
    <w:multiLevelType w:val="singleLevel"/>
    <w:tmpl w:val="88D34D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F6BFB9F"/>
    <w:multiLevelType w:val="singleLevel"/>
    <w:tmpl w:val="8F6BFB9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B86563AB"/>
    <w:multiLevelType w:val="singleLevel"/>
    <w:tmpl w:val="B86563A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BEFAA945"/>
    <w:multiLevelType w:val="singleLevel"/>
    <w:tmpl w:val="BEFAA945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E26F4BF6"/>
    <w:multiLevelType w:val="singleLevel"/>
    <w:tmpl w:val="E26F4BF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EF308E6A"/>
    <w:multiLevelType w:val="singleLevel"/>
    <w:tmpl w:val="EF308E6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8">
    <w:nsid w:val="025A52DD"/>
    <w:multiLevelType w:val="singleLevel"/>
    <w:tmpl w:val="025A52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03A049F2"/>
    <w:multiLevelType w:val="multilevel"/>
    <w:tmpl w:val="03A049F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50D732A"/>
    <w:multiLevelType w:val="multilevel"/>
    <w:tmpl w:val="050D732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23C34348"/>
    <w:multiLevelType w:val="singleLevel"/>
    <w:tmpl w:val="23C343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505502EB"/>
    <w:multiLevelType w:val="multilevel"/>
    <w:tmpl w:val="505502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533EEE94"/>
    <w:multiLevelType w:val="singleLevel"/>
    <w:tmpl w:val="533EEE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6CCFC9F9"/>
    <w:multiLevelType w:val="singleLevel"/>
    <w:tmpl w:val="6CCFC9F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0"/>
  </w:num>
  <w:num w:numId="5">
    <w:abstractNumId w:val="6"/>
  </w:num>
  <w:num w:numId="6">
    <w:abstractNumId w:val="16"/>
  </w:num>
  <w:num w:numId="7">
    <w:abstractNumId w:val="8"/>
  </w:num>
  <w:num w:numId="8">
    <w:abstractNumId w:val="2"/>
  </w:num>
  <w:num w:numId="9">
    <w:abstractNumId w:val="17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12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704BF3"/>
    <w:rsid w:val="00761311"/>
    <w:rsid w:val="00DE6233"/>
    <w:rsid w:val="018147A8"/>
    <w:rsid w:val="025012F2"/>
    <w:rsid w:val="05F500C6"/>
    <w:rsid w:val="08F8372F"/>
    <w:rsid w:val="0F677430"/>
    <w:rsid w:val="11833F44"/>
    <w:rsid w:val="12B52EB7"/>
    <w:rsid w:val="18BA5E1D"/>
    <w:rsid w:val="21015F74"/>
    <w:rsid w:val="22540C07"/>
    <w:rsid w:val="275061C7"/>
    <w:rsid w:val="2C84162D"/>
    <w:rsid w:val="36532476"/>
    <w:rsid w:val="3727713D"/>
    <w:rsid w:val="40A46809"/>
    <w:rsid w:val="418338C5"/>
    <w:rsid w:val="426B25D4"/>
    <w:rsid w:val="48DC5F07"/>
    <w:rsid w:val="4A3835D3"/>
    <w:rsid w:val="4E124626"/>
    <w:rsid w:val="50C972E7"/>
    <w:rsid w:val="5CB3021C"/>
    <w:rsid w:val="5F6E103D"/>
    <w:rsid w:val="66626271"/>
    <w:rsid w:val="66BB6DD6"/>
    <w:rsid w:val="6C274086"/>
    <w:rsid w:val="7077402B"/>
    <w:rsid w:val="71495B2C"/>
    <w:rsid w:val="745F51EC"/>
    <w:rsid w:val="7A8D4BA5"/>
    <w:rsid w:val="7BF80394"/>
    <w:rsid w:val="7BFD0B4C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7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ql-size-14px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3305</Words>
  <Characters>3368</Characters>
  <Lines>29</Lines>
  <Paragraphs>8</Paragraphs>
  <TotalTime>2</TotalTime>
  <ScaleCrop>false</ScaleCrop>
  <LinksUpToDate>false</LinksUpToDate>
  <CharactersWithSpaces>3639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2024-05-09T09:39:20Z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69F76C46A07E44D3BDEAE41766B4E9FC_13</vt:lpwstr>
  </property>
</Properties>
</file>