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微软雅黑" w:hAnsi="微软雅黑" w:eastAsia="微软雅黑"/>
          <w:sz w:val="20"/>
          <w:szCs w:val="20"/>
        </w:rPr>
      </w:pPr>
      <w:bookmarkStart w:id="0" w:name="_Hlk91793999"/>
      <w:bookmarkEnd w:id="0"/>
    </w:p>
    <w:p>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关键团队绩效激励方案设计与运营新实战</w:t>
      </w:r>
    </w:p>
    <w:p>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（销售+研发+生产+高管）</w:t>
      </w:r>
    </w:p>
    <w:p>
      <w:pPr>
        <w:snapToGrid w:val="0"/>
        <w:rPr>
          <w:rFonts w:ascii="微软雅黑" w:hAnsi="微软雅黑" w:eastAsia="微软雅黑"/>
          <w:sz w:val="20"/>
          <w:szCs w:val="20"/>
        </w:rPr>
      </w:pPr>
    </w:p>
    <w:tbl>
      <w:tblPr>
        <w:tblStyle w:val="7"/>
        <w:tblW w:w="0" w:type="auto"/>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autofit"/>
        <w:tblCellMar>
          <w:top w:w="0" w:type="dxa"/>
          <w:left w:w="108" w:type="dxa"/>
          <w:bottom w:w="0" w:type="dxa"/>
          <w:right w:w="108" w:type="dxa"/>
        </w:tblCellMar>
      </w:tblPr>
      <w:tblGrid>
        <w:gridCol w:w="4253"/>
        <w:gridCol w:w="3402"/>
      </w:tblGrid>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CellMar>
            <w:top w:w="0" w:type="dxa"/>
            <w:left w:w="108" w:type="dxa"/>
            <w:bottom w:w="0" w:type="dxa"/>
            <w:right w:w="108" w:type="dxa"/>
          </w:tblCellMar>
        </w:tblPrEx>
        <w:trPr>
          <w:trHeight w:val="593" w:hRule="atLeast"/>
          <w:jc w:val="center"/>
        </w:trPr>
        <w:tc>
          <w:tcPr>
            <w:tcW w:w="4253" w:type="dxa"/>
            <w:vAlign w:val="center"/>
          </w:tcPr>
          <w:p>
            <w:pPr>
              <w:snapToGrid w:val="0"/>
              <w:rPr>
                <w:rFonts w:ascii="微软雅黑" w:hAnsi="微软雅黑" w:eastAsia="微软雅黑" w:cs="宋体"/>
                <w:b/>
                <w:bCs/>
                <w:kern w:val="0"/>
                <w:sz w:val="24"/>
                <w:szCs w:val="24"/>
              </w:rPr>
            </w:pPr>
            <w:r>
              <w:rPr>
                <w:rFonts w:hint="eastAsia" w:ascii="微软雅黑" w:hAnsi="微软雅黑" w:eastAsia="微软雅黑" w:cs="宋体"/>
                <w:b/>
                <w:bCs/>
                <w:color w:val="2E74B5"/>
                <w:kern w:val="0"/>
                <w:sz w:val="24"/>
                <w:szCs w:val="24"/>
              </w:rPr>
              <w:t>讲师</w:t>
            </w:r>
            <w:r>
              <w:rPr>
                <w:rFonts w:ascii="微软雅黑" w:hAnsi="微软雅黑" w:eastAsia="微软雅黑" w:cs="宋体"/>
                <w:b/>
                <w:bCs/>
                <w:color w:val="2E74B5"/>
                <w:kern w:val="0"/>
                <w:sz w:val="24"/>
                <w:szCs w:val="24"/>
              </w:rPr>
              <w:t>/Lecturer</w:t>
            </w:r>
            <w:r>
              <w:rPr>
                <w:rFonts w:hint="eastAsia" w:ascii="微软雅黑" w:hAnsi="微软雅黑" w:eastAsia="微软雅黑" w:cs="宋体"/>
                <w:b/>
                <w:bCs/>
                <w:color w:val="2E74B5"/>
                <w:kern w:val="0"/>
                <w:sz w:val="24"/>
                <w:szCs w:val="24"/>
              </w:rPr>
              <w:t>：</w:t>
            </w:r>
            <w:r>
              <w:rPr>
                <w:rFonts w:ascii="微软雅黑" w:hAnsi="微软雅黑" w:eastAsia="微软雅黑" w:cs="微软雅黑"/>
                <w:i w:val="0"/>
                <w:iCs w:val="0"/>
                <w:caps w:val="0"/>
                <w:color w:val="000000"/>
                <w:spacing w:val="0"/>
                <w:sz w:val="25"/>
                <w:szCs w:val="25"/>
                <w:shd w:val="clear" w:fill="FFFFFF"/>
              </w:rPr>
              <w:t>赵惠颖</w:t>
            </w:r>
          </w:p>
        </w:tc>
        <w:tc>
          <w:tcPr>
            <w:tcW w:w="3402" w:type="dxa"/>
            <w:vAlign w:val="center"/>
          </w:tcPr>
          <w:p>
            <w:pPr>
              <w:snapToGrid w:val="0"/>
              <w:rPr>
                <w:rFonts w:ascii="微软雅黑" w:hAnsi="微软雅黑" w:eastAsia="微软雅黑" w:cs="宋体"/>
                <w:b/>
                <w:bCs/>
                <w:kern w:val="0"/>
                <w:sz w:val="24"/>
                <w:szCs w:val="24"/>
              </w:rPr>
            </w:pPr>
            <w:r>
              <w:rPr>
                <w:rFonts w:hint="eastAsia" w:ascii="微软雅黑" w:hAnsi="微软雅黑" w:eastAsia="微软雅黑" w:cs="宋体"/>
                <w:b/>
                <w:bCs/>
                <w:color w:val="2E74B5"/>
                <w:kern w:val="0"/>
                <w:sz w:val="24"/>
                <w:szCs w:val="24"/>
              </w:rPr>
              <w:t>费用</w:t>
            </w:r>
            <w:r>
              <w:rPr>
                <w:rFonts w:ascii="微软雅黑" w:hAnsi="微软雅黑" w:eastAsia="微软雅黑" w:cs="宋体"/>
                <w:b/>
                <w:bCs/>
                <w:color w:val="2E74B5"/>
                <w:kern w:val="0"/>
                <w:sz w:val="24"/>
                <w:szCs w:val="24"/>
              </w:rPr>
              <w:t>/Price</w:t>
            </w:r>
            <w:r>
              <w:rPr>
                <w:rFonts w:hint="eastAsia" w:ascii="微软雅黑" w:hAnsi="微软雅黑" w:eastAsia="微软雅黑" w:cs="宋体"/>
                <w:b/>
                <w:bCs/>
                <w:color w:val="2E74B5"/>
                <w:kern w:val="0"/>
                <w:sz w:val="24"/>
                <w:szCs w:val="24"/>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lang w:val="en-US" w:eastAsia="zh-CN"/>
                <w14:textFill>
                  <w14:solidFill>
                    <w14:schemeClr w14:val="tx1">
                      <w14:lumMod w14:val="75000"/>
                      <w14:lumOff w14:val="25000"/>
                    </w14:schemeClr>
                  </w14:solidFill>
                </w14:textFill>
              </w:rPr>
              <w:t>6800</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CellMar>
            <w:top w:w="0" w:type="dxa"/>
            <w:left w:w="108" w:type="dxa"/>
            <w:bottom w:w="0" w:type="dxa"/>
            <w:right w:w="108" w:type="dxa"/>
          </w:tblCellMar>
        </w:tblPrEx>
        <w:trPr>
          <w:trHeight w:val="593" w:hRule="atLeast"/>
          <w:jc w:val="center"/>
        </w:trPr>
        <w:tc>
          <w:tcPr>
            <w:tcW w:w="7655" w:type="dxa"/>
            <w:gridSpan w:val="2"/>
            <w:vAlign w:val="center"/>
          </w:tcPr>
          <w:p>
            <w:pPr>
              <w:snapToGrid w:val="0"/>
              <w:rPr>
                <w:rFonts w:hint="eastAsia" w:ascii="微软雅黑" w:hAnsi="微软雅黑" w:eastAsia="微软雅黑" w:cs="宋体"/>
                <w:b/>
                <w:bCs/>
                <w:color w:val="2E74B5"/>
                <w:kern w:val="0"/>
                <w:sz w:val="24"/>
                <w:szCs w:val="24"/>
              </w:rPr>
            </w:pPr>
            <w:r>
              <w:rPr>
                <w:rFonts w:hint="eastAsia" w:ascii="微软雅黑" w:hAnsi="微软雅黑" w:eastAsia="微软雅黑" w:cs="宋体"/>
                <w:bCs/>
                <w:color w:val="404040" w:themeColor="text1" w:themeTint="BF"/>
                <w:kern w:val="0"/>
                <w:sz w:val="24"/>
                <w:szCs w:val="24"/>
                <w:lang w:val="en-US" w:eastAsia="zh-CN"/>
                <w14:textFill>
                  <w14:solidFill>
                    <w14:schemeClr w14:val="tx1">
                      <w14:lumMod w14:val="75000"/>
                      <w14:lumOff w14:val="25000"/>
                    </w14:schemeClr>
                  </w14:solidFill>
                </w14:textFill>
              </w:rPr>
              <w:t>企业团报/提前15天报名课联系顾问了解优惠价</w:t>
            </w:r>
          </w:p>
        </w:tc>
      </w:tr>
    </w:tbl>
    <w:p>
      <w:pPr>
        <w:snapToGrid w:val="0"/>
        <w:spacing w:line="288" w:lineRule="auto"/>
        <w:rPr>
          <w:rFonts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pPr>
        <w:snapToGrid w:val="0"/>
        <w:spacing w:line="288" w:lineRule="auto"/>
        <w:rPr>
          <w:rFonts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pPr>
        <w:snapToGrid w:val="0"/>
        <w:rPr>
          <w:rFonts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课程排期/</w:t>
      </w:r>
      <w:r>
        <w:rPr>
          <w:rFonts w:ascii="微软雅黑" w:hAnsi="微软雅黑" w:eastAsia="微软雅黑" w:cs="宋体"/>
          <w:b/>
          <w:bCs/>
          <w:color w:val="2E74B5"/>
          <w:kern w:val="0"/>
          <w:sz w:val="26"/>
          <w:szCs w:val="26"/>
        </w:rPr>
        <w:t>Scheduling</w:t>
      </w:r>
    </w:p>
    <w:p>
      <w:pPr>
        <w:pStyle w:val="12"/>
        <w:ind w:firstLine="0" w:firstLineChars="0"/>
        <w:rPr>
          <w:rFonts w:ascii="微软雅黑" w:hAnsi="微软雅黑" w:eastAsia="微软雅黑"/>
          <w:color w:val="595959"/>
          <w:sz w:val="16"/>
          <w:szCs w:val="16"/>
        </w:rPr>
      </w:pPr>
    </w:p>
    <w:p>
      <w:pPr>
        <w:pStyle w:val="12"/>
        <w:ind w:firstLine="0" w:firstLineChars="0"/>
      </w:pPr>
      <w:r>
        <w:rPr>
          <w:rFonts w:hint="eastAsia" w:ascii="微软雅黑" w:hAnsi="微软雅黑" w:eastAsia="微软雅黑" w:cs="微软雅黑"/>
          <w:b/>
          <w:color w:val="000000"/>
          <w:kern w:val="2"/>
          <w:sz w:val="20"/>
          <w:szCs w:val="22"/>
          <w:lang w:val="en-US" w:eastAsia="zh-CN" w:bidi="ar-SA"/>
        </w:rPr>
        <w:t>深圳：2024年10月18-19日</w:t>
      </w:r>
      <w:bookmarkStart w:id="1" w:name="_GoBack"/>
      <w:bookmarkEnd w:id="1"/>
    </w:p>
    <w:p>
      <w:r>
        <w:rPr>
          <w:rFonts w:ascii="微软雅黑" w:hAnsi="微软雅黑" w:eastAsia="微软雅黑" w:cs="微软雅黑"/>
          <w:b/>
          <w:color w:val="2E74B5"/>
          <w:sz w:val="26"/>
        </w:rPr>
        <w:t>课程概述/Overview</w:t>
      </w:r>
    </w:p>
    <w:p>
      <w:r>
        <w:rPr>
          <w:rFonts w:ascii="微软雅黑" w:hAnsi="微软雅黑" w:eastAsia="微软雅黑" w:cs="微软雅黑"/>
          <w:b/>
          <w:color w:val="000000"/>
          <w:sz w:val="22"/>
        </w:rPr>
        <w:t>课程</w:t>
      </w:r>
      <w:r>
        <w:rPr>
          <w:rFonts w:hint="eastAsia" w:ascii="微软雅黑" w:hAnsi="微软雅黑" w:eastAsia="微软雅黑" w:cs="微软雅黑"/>
          <w:b/>
          <w:color w:val="000000"/>
          <w:sz w:val="22"/>
          <w:lang w:val="en-US" w:eastAsia="zh-CN"/>
        </w:rPr>
        <w:t>特点</w:t>
      </w:r>
      <w:r>
        <w:rPr>
          <w:rFonts w:ascii="微软雅黑" w:hAnsi="微软雅黑" w:eastAsia="微软雅黑" w:cs="微软雅黑"/>
          <w:b/>
          <w:color w:val="000000"/>
          <w:sz w:val="22"/>
        </w:rPr>
        <w:t>：</w:t>
      </w:r>
    </w:p>
    <w:p>
      <w:pPr>
        <w:numPr>
          <w:ilvl w:val="0"/>
          <w:numId w:val="1"/>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市场上首次专门针对全价值链短期激励奖金方案设计与运营的培训课程，绩效激励体系构建及方案设计的全景鸟瞰；</w:t>
      </w:r>
    </w:p>
    <w:p>
      <w:pPr>
        <w:numPr>
          <w:ilvl w:val="0"/>
          <w:numId w:val="1"/>
        </w:numPr>
        <w:ind w:left="425" w:leftChars="0" w:hanging="425" w:firstLineChars="0"/>
        <w:rPr>
          <w:rFonts w:ascii="微软雅黑" w:hAnsi="微软雅黑" w:eastAsia="微软雅黑" w:cs="微软雅黑"/>
          <w:sz w:val="20"/>
        </w:rPr>
      </w:pPr>
      <w:r>
        <w:rPr>
          <w:rFonts w:hint="eastAsia" w:ascii="微软雅黑" w:hAnsi="微软雅黑" w:eastAsia="微软雅黑" w:cs="微软雅黑"/>
          <w:sz w:val="20"/>
        </w:rPr>
        <w:t>根据不同业务类别和人员特点系统讲解绩效激励方案设计的方法论和步骤，并现场指导学员输出针对本企业特点的个性化设计方案，涵盖销售、营销、研发、生产及高管等各类群体</w:t>
      </w:r>
    </w:p>
    <w:p/>
    <w:p>
      <w:r>
        <w:rPr>
          <w:rFonts w:hint="eastAsia" w:ascii="微软雅黑" w:hAnsi="微软雅黑" w:eastAsia="微软雅黑" w:cs="微软雅黑"/>
          <w:b/>
          <w:color w:val="000000"/>
          <w:sz w:val="22"/>
          <w:lang w:val="en-US" w:eastAsia="zh-CN"/>
        </w:rPr>
        <w:t>学员对象</w:t>
      </w:r>
      <w:r>
        <w:rPr>
          <w:rFonts w:ascii="微软雅黑" w:hAnsi="微软雅黑" w:eastAsia="微软雅黑" w:cs="微软雅黑"/>
          <w:b/>
          <w:color w:val="000000"/>
          <w:sz w:val="22"/>
        </w:rPr>
        <w:t>：</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ascii="微软雅黑" w:hAnsi="微软雅黑" w:eastAsia="微软雅黑" w:cs="微软雅黑"/>
          <w:kern w:val="2"/>
          <w:sz w:val="20"/>
          <w:szCs w:val="22"/>
          <w:lang w:val="en-US" w:eastAsia="zh-CN" w:bidi="ar-SA"/>
        </w:rPr>
      </w:pPr>
      <w:r>
        <w:rPr>
          <w:rFonts w:ascii="微软雅黑" w:hAnsi="微软雅黑" w:eastAsia="微软雅黑" w:cs="微软雅黑"/>
          <w:kern w:val="2"/>
          <w:sz w:val="20"/>
          <w:szCs w:val="22"/>
          <w:lang w:val="en-US" w:eastAsia="zh-CN" w:bidi="ar-SA"/>
        </w:rPr>
        <w:t>有激励奖金方案设计需求的</w:t>
      </w:r>
      <w:r>
        <w:rPr>
          <w:rFonts w:hint="eastAsia" w:ascii="微软雅黑" w:hAnsi="微软雅黑" w:eastAsia="微软雅黑" w:cs="微软雅黑"/>
          <w:kern w:val="2"/>
          <w:sz w:val="20"/>
          <w:szCs w:val="22"/>
          <w:lang w:val="en-US" w:eastAsia="zh-CN" w:bidi="ar-SA"/>
        </w:rPr>
        <w:t>HR及业务管理者</w:t>
      </w:r>
    </w:p>
    <w:p/>
    <w:p/>
    <w:p>
      <w:pPr>
        <w:rPr>
          <w:rFonts w:hint="eastAsia" w:ascii="微软雅黑" w:hAnsi="微软雅黑" w:eastAsia="微软雅黑" w:cs="微软雅黑"/>
          <w:b/>
          <w:color w:val="000000"/>
          <w:sz w:val="22"/>
        </w:rPr>
      </w:pPr>
      <w:r>
        <w:rPr>
          <w:rFonts w:ascii="微软雅黑" w:hAnsi="微软雅黑" w:eastAsia="微软雅黑" w:cs="微软雅黑"/>
          <w:b/>
          <w:color w:val="2E74B5"/>
          <w:sz w:val="26"/>
        </w:rPr>
        <w:t>课程大纲/Outline</w:t>
      </w:r>
    </w:p>
    <w:p>
      <w:pPr>
        <w:rPr>
          <w:rFonts w:hint="eastAsia" w:ascii="微软雅黑" w:hAnsi="微软雅黑" w:eastAsia="微软雅黑" w:cs="微软雅黑"/>
          <w:sz w:val="20"/>
        </w:rPr>
      </w:pPr>
      <w:r>
        <w:rPr>
          <w:rFonts w:hint="eastAsia" w:ascii="微软雅黑" w:hAnsi="微软雅黑" w:eastAsia="微软雅黑" w:cs="微软雅黑"/>
          <w:b/>
          <w:color w:val="000000"/>
          <w:sz w:val="22"/>
        </w:rPr>
        <w:t>上篇：绩效激励方案设计方法论 2H</w:t>
      </w: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整体薪酬的组成部分</w:t>
      </w: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短期激励方案设计3C模型</w:t>
      </w: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短期激励方案设计6要素</w:t>
      </w:r>
    </w:p>
    <w:p>
      <w:pPr>
        <w:numPr>
          <w:ilvl w:val="0"/>
          <w:numId w:val="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激励对象划分</w:t>
      </w:r>
    </w:p>
    <w:p>
      <w:pPr>
        <w:numPr>
          <w:ilvl w:val="0"/>
          <w:numId w:val="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不同类别人员的激励组合</w:t>
      </w:r>
    </w:p>
    <w:p>
      <w:pPr>
        <w:numPr>
          <w:ilvl w:val="0"/>
          <w:numId w:val="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激励总额设计</w:t>
      </w:r>
    </w:p>
    <w:p>
      <w:pPr>
        <w:numPr>
          <w:ilvl w:val="0"/>
          <w:numId w:val="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激励杠杆与激励强度设计</w:t>
      </w:r>
    </w:p>
    <w:p>
      <w:pPr>
        <w:numPr>
          <w:ilvl w:val="0"/>
          <w:numId w:val="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激励条件（绩效指标遴选、目标值设置）</w:t>
      </w:r>
    </w:p>
    <w:p>
      <w:pPr>
        <w:numPr>
          <w:ilvl w:val="0"/>
          <w:numId w:val="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激励周期</w:t>
      </w:r>
    </w:p>
    <w:p>
      <w:pPr>
        <w:numPr>
          <w:ilvl w:val="0"/>
          <w:numId w:val="0"/>
        </w:numPr>
        <w:rPr>
          <w:rFonts w:hint="eastAsia" w:ascii="微软雅黑" w:hAnsi="微软雅黑" w:eastAsia="微软雅黑" w:cs="微软雅黑"/>
          <w:color w:val="0000FF"/>
          <w:sz w:val="20"/>
        </w:rPr>
      </w:pPr>
      <w:r>
        <w:rPr>
          <w:rFonts w:hint="eastAsia" w:ascii="微软雅黑" w:hAnsi="微软雅黑" w:eastAsia="微软雅黑" w:cs="微软雅黑"/>
          <w:color w:val="0000FF"/>
          <w:sz w:val="20"/>
        </w:rPr>
        <w:t>【演练】激励方案6 要素速配</w:t>
      </w:r>
    </w:p>
    <w:p>
      <w:pPr>
        <w:numPr>
          <w:ilvl w:val="0"/>
          <w:numId w:val="0"/>
        </w:numPr>
        <w:rPr>
          <w:rFonts w:hint="eastAsia" w:ascii="微软雅黑" w:hAnsi="微软雅黑" w:eastAsia="微软雅黑" w:cs="微软雅黑"/>
          <w:color w:val="0000FF"/>
          <w:sz w:val="20"/>
        </w:rPr>
      </w:pPr>
    </w:p>
    <w:p>
      <w:pPr>
        <w:rPr>
          <w:rFonts w:hint="eastAsia" w:ascii="微软雅黑" w:hAnsi="微软雅黑" w:eastAsia="微软雅黑" w:cs="微软雅黑"/>
          <w:sz w:val="20"/>
        </w:rPr>
      </w:pPr>
      <w:r>
        <w:rPr>
          <w:rFonts w:hint="eastAsia" w:ascii="微软雅黑" w:hAnsi="微软雅黑" w:eastAsia="微软雅黑" w:cs="微软雅黑"/>
          <w:b/>
          <w:color w:val="000000"/>
          <w:sz w:val="22"/>
        </w:rPr>
        <w:t>中篇：不同类别人员激励方案设计与演练   10H</w:t>
      </w: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销售人员短期激励方案设计   4H</w:t>
      </w:r>
    </w:p>
    <w:p>
      <w:pPr>
        <w:numPr>
          <w:ilvl w:val="0"/>
          <w:numId w:val="4"/>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销售人员薪酬激励结构分类</w:t>
      </w:r>
    </w:p>
    <w:p>
      <w:pPr>
        <w:numPr>
          <w:ilvl w:val="0"/>
          <w:numId w:val="4"/>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提成激励方案设计</w:t>
      </w:r>
    </w:p>
    <w:p>
      <w:pPr>
        <w:numPr>
          <w:ilvl w:val="0"/>
          <w:numId w:val="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定底薪</w:t>
      </w:r>
    </w:p>
    <w:p>
      <w:pPr>
        <w:numPr>
          <w:ilvl w:val="0"/>
          <w:numId w:val="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提成公式构建</w:t>
      </w:r>
    </w:p>
    <w:p>
      <w:pPr>
        <w:numPr>
          <w:ilvl w:val="0"/>
          <w:numId w:val="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提成基数选择</w:t>
      </w:r>
    </w:p>
    <w:p>
      <w:pPr>
        <w:numPr>
          <w:ilvl w:val="0"/>
          <w:numId w:val="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提成比率设计与测算</w:t>
      </w:r>
    </w:p>
    <w:p>
      <w:pPr>
        <w:numPr>
          <w:ilvl w:val="0"/>
          <w:numId w:val="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典型的提成激励设计（多层次提成、分段提成、关联提成）</w:t>
      </w:r>
    </w:p>
    <w:p>
      <w:pPr>
        <w:numPr>
          <w:ilvl w:val="0"/>
          <w:numId w:val="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销售管理人员提成方案设计</w:t>
      </w:r>
    </w:p>
    <w:p>
      <w:pPr>
        <w:numPr>
          <w:ilvl w:val="0"/>
          <w:numId w:val="4"/>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目标奖销售激励方案设计</w:t>
      </w:r>
    </w:p>
    <w:p>
      <w:pPr>
        <w:numPr>
          <w:ilvl w:val="0"/>
          <w:numId w:val="6"/>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目标奖公式构建</w:t>
      </w:r>
    </w:p>
    <w:p>
      <w:pPr>
        <w:numPr>
          <w:ilvl w:val="0"/>
          <w:numId w:val="6"/>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绩效考核指标设计与遴选</w:t>
      </w:r>
    </w:p>
    <w:p>
      <w:pPr>
        <w:numPr>
          <w:ilvl w:val="0"/>
          <w:numId w:val="6"/>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绩效指标值设计与调整</w:t>
      </w:r>
    </w:p>
    <w:p>
      <w:pPr>
        <w:numPr>
          <w:ilvl w:val="0"/>
          <w:numId w:val="6"/>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绩效系数设计</w:t>
      </w:r>
    </w:p>
    <w:p>
      <w:pPr>
        <w:numPr>
          <w:ilvl w:val="0"/>
          <w:numId w:val="6"/>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典型的目标奖方案设计（阶梯式、主基二元式）</w:t>
      </w:r>
    </w:p>
    <w:p>
      <w:pPr>
        <w:numPr>
          <w:ilvl w:val="0"/>
          <w:numId w:val="0"/>
        </w:numPr>
        <w:rPr>
          <w:rFonts w:hint="eastAsia" w:ascii="微软雅黑" w:hAnsi="微软雅黑" w:eastAsia="微软雅黑" w:cs="微软雅黑"/>
          <w:sz w:val="20"/>
        </w:rPr>
      </w:pPr>
      <w:r>
        <w:rPr>
          <w:rFonts w:hint="eastAsia" w:ascii="微软雅黑" w:hAnsi="微软雅黑" w:eastAsia="微软雅黑" w:cs="微软雅黑"/>
          <w:color w:val="0000FF"/>
          <w:sz w:val="20"/>
        </w:rPr>
        <w:t>【演练】选择本企业典型销售岗位设计激励方案（每轮至少一个企业实际案例点评）</w:t>
      </w:r>
    </w:p>
    <w:p>
      <w:pPr>
        <w:numPr>
          <w:ilvl w:val="0"/>
          <w:numId w:val="0"/>
        </w:numPr>
        <w:rPr>
          <w:rFonts w:hint="eastAsia" w:ascii="微软雅黑" w:hAnsi="微软雅黑" w:eastAsia="微软雅黑" w:cs="微软雅黑"/>
          <w:sz w:val="20"/>
        </w:rPr>
      </w:pP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研发人员激励方案设计 2H</w:t>
      </w:r>
    </w:p>
    <w:p>
      <w:pPr>
        <w:numPr>
          <w:ilvl w:val="0"/>
          <w:numId w:val="7"/>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研发团队类型与绩效激励重点</w:t>
      </w:r>
    </w:p>
    <w:p>
      <w:pPr>
        <w:numPr>
          <w:ilvl w:val="0"/>
          <w:numId w:val="7"/>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研发项目奖</w:t>
      </w:r>
    </w:p>
    <w:p>
      <w:pPr>
        <w:numPr>
          <w:ilvl w:val="0"/>
          <w:numId w:val="8"/>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定激励对象</w:t>
      </w:r>
    </w:p>
    <w:p>
      <w:pPr>
        <w:numPr>
          <w:ilvl w:val="0"/>
          <w:numId w:val="8"/>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定奖金包</w:t>
      </w:r>
    </w:p>
    <w:p>
      <w:pPr>
        <w:numPr>
          <w:ilvl w:val="0"/>
          <w:numId w:val="0"/>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 xml:space="preserve">☆成果奖金包设计与示例 </w:t>
      </w:r>
    </w:p>
    <w:p>
      <w:pPr>
        <w:numPr>
          <w:ilvl w:val="0"/>
          <w:numId w:val="0"/>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 xml:space="preserve">☆收益奖金包设计与示例 </w:t>
      </w:r>
    </w:p>
    <w:p>
      <w:pPr>
        <w:numPr>
          <w:ilvl w:val="0"/>
          <w:numId w:val="8"/>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定分配规则</w:t>
      </w:r>
    </w:p>
    <w:p>
      <w:pPr>
        <w:numPr>
          <w:ilvl w:val="0"/>
          <w:numId w:val="7"/>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研发创新奖</w:t>
      </w:r>
    </w:p>
    <w:p>
      <w:pPr>
        <w:numPr>
          <w:ilvl w:val="0"/>
          <w:numId w:val="9"/>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研发创新奖模式</w:t>
      </w:r>
    </w:p>
    <w:p>
      <w:pPr>
        <w:numPr>
          <w:ilvl w:val="0"/>
          <w:numId w:val="9"/>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研发创新奖设计与示例</w:t>
      </w:r>
    </w:p>
    <w:p>
      <w:pPr>
        <w:numPr>
          <w:ilvl w:val="0"/>
          <w:numId w:val="0"/>
        </w:numPr>
        <w:rPr>
          <w:rFonts w:hint="eastAsia" w:ascii="微软雅黑" w:hAnsi="微软雅黑" w:eastAsia="微软雅黑" w:cs="微软雅黑"/>
          <w:sz w:val="20"/>
        </w:rPr>
      </w:pPr>
      <w:r>
        <w:rPr>
          <w:rFonts w:hint="eastAsia" w:ascii="微软雅黑" w:hAnsi="微软雅黑" w:eastAsia="微软雅黑" w:cs="微软雅黑"/>
          <w:sz w:val="20"/>
        </w:rPr>
        <w:t>【演练5】选择本企业典型研发岗位设计激励方案（每轮至少一个企业实际案例点评）</w:t>
      </w:r>
    </w:p>
    <w:p>
      <w:pPr>
        <w:numPr>
          <w:ilvl w:val="0"/>
          <w:numId w:val="0"/>
        </w:numPr>
        <w:rPr>
          <w:rFonts w:hint="eastAsia" w:ascii="微软雅黑" w:hAnsi="微软雅黑" w:eastAsia="微软雅黑" w:cs="微软雅黑"/>
          <w:sz w:val="20"/>
        </w:rPr>
      </w:pP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生产操作人员激励方案设计 2H</w:t>
      </w:r>
    </w:p>
    <w:p>
      <w:pPr>
        <w:numPr>
          <w:ilvl w:val="0"/>
          <w:numId w:val="1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生产操作人员薪酬激励结构分类</w:t>
      </w:r>
    </w:p>
    <w:p>
      <w:pPr>
        <w:numPr>
          <w:ilvl w:val="0"/>
          <w:numId w:val="1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计件制</w:t>
      </w:r>
    </w:p>
    <w:p>
      <w:pPr>
        <w:numPr>
          <w:ilvl w:val="0"/>
          <w:numId w:val="11"/>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公式构建</w:t>
      </w:r>
    </w:p>
    <w:p>
      <w:pPr>
        <w:numPr>
          <w:ilvl w:val="0"/>
          <w:numId w:val="11"/>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劳动定额确定</w:t>
      </w:r>
    </w:p>
    <w:p>
      <w:pPr>
        <w:numPr>
          <w:ilvl w:val="0"/>
          <w:numId w:val="11"/>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计件单价测算</w:t>
      </w:r>
    </w:p>
    <w:p>
      <w:pPr>
        <w:numPr>
          <w:ilvl w:val="0"/>
          <w:numId w:val="11"/>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计件工资模式介绍及演示</w:t>
      </w:r>
    </w:p>
    <w:p>
      <w:pPr>
        <w:numPr>
          <w:ilvl w:val="0"/>
          <w:numId w:val="1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计时制</w:t>
      </w:r>
    </w:p>
    <w:p>
      <w:pPr>
        <w:numPr>
          <w:ilvl w:val="0"/>
          <w:numId w:val="12"/>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哈尔西50-50模式</w:t>
      </w:r>
    </w:p>
    <w:p>
      <w:pPr>
        <w:numPr>
          <w:ilvl w:val="0"/>
          <w:numId w:val="12"/>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罗恩奖金模式</w:t>
      </w:r>
    </w:p>
    <w:p>
      <w:pPr>
        <w:numPr>
          <w:ilvl w:val="0"/>
          <w:numId w:val="1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生产专项奖励设计</w:t>
      </w:r>
    </w:p>
    <w:p>
      <w:pPr>
        <w:numPr>
          <w:ilvl w:val="0"/>
          <w:numId w:val="1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典型的生产操作人员综合激励方案设计</w:t>
      </w:r>
    </w:p>
    <w:p>
      <w:pPr>
        <w:numPr>
          <w:ilvl w:val="0"/>
          <w:numId w:val="0"/>
        </w:numPr>
        <w:rPr>
          <w:rFonts w:hint="eastAsia" w:ascii="微软雅黑" w:hAnsi="微软雅黑" w:eastAsia="微软雅黑" w:cs="微软雅黑"/>
          <w:color w:val="0000FF"/>
          <w:sz w:val="20"/>
        </w:rPr>
      </w:pPr>
      <w:r>
        <w:rPr>
          <w:rFonts w:hint="eastAsia" w:ascii="微软雅黑" w:hAnsi="微软雅黑" w:eastAsia="微软雅黑" w:cs="微软雅黑"/>
          <w:color w:val="0000FF"/>
          <w:sz w:val="20"/>
        </w:rPr>
        <w:t>【演练】选择本企业典型生产岗位设计激励方案（每轮至少一个企业实际案例点评）</w:t>
      </w:r>
    </w:p>
    <w:p>
      <w:pPr>
        <w:numPr>
          <w:ilvl w:val="0"/>
          <w:numId w:val="0"/>
        </w:numPr>
        <w:rPr>
          <w:rFonts w:hint="eastAsia" w:ascii="微软雅黑" w:hAnsi="微软雅黑" w:eastAsia="微软雅黑" w:cs="微软雅黑"/>
          <w:sz w:val="20"/>
        </w:rPr>
      </w:pP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高管人员短期绩效激励方案设计 1H</w:t>
      </w:r>
    </w:p>
    <w:p>
      <w:pPr>
        <w:numPr>
          <w:ilvl w:val="0"/>
          <w:numId w:val="1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高管人员薪酬激励结构</w:t>
      </w:r>
    </w:p>
    <w:p>
      <w:pPr>
        <w:numPr>
          <w:ilvl w:val="0"/>
          <w:numId w:val="14"/>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基本年薪设计</w:t>
      </w:r>
    </w:p>
    <w:p>
      <w:pPr>
        <w:numPr>
          <w:ilvl w:val="0"/>
          <w:numId w:val="14"/>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效益年薪设计及示例 16</w:t>
      </w:r>
    </w:p>
    <w:p>
      <w:pPr>
        <w:numPr>
          <w:ilvl w:val="0"/>
          <w:numId w:val="13"/>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基于EVA的年薪制设计</w:t>
      </w:r>
    </w:p>
    <w:p>
      <w:pPr>
        <w:numPr>
          <w:ilvl w:val="0"/>
          <w:numId w:val="1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基于EVA年薪制的模式及示例 17-18</w:t>
      </w:r>
    </w:p>
    <w:p>
      <w:pPr>
        <w:numPr>
          <w:ilvl w:val="0"/>
          <w:numId w:val="15"/>
        </w:numPr>
        <w:ind w:left="0" w:leftChars="0" w:firstLine="400" w:firstLineChars="0"/>
        <w:rPr>
          <w:rFonts w:hint="eastAsia" w:ascii="微软雅黑" w:hAnsi="微软雅黑" w:eastAsia="微软雅黑" w:cs="微软雅黑"/>
          <w:sz w:val="20"/>
        </w:rPr>
      </w:pPr>
      <w:r>
        <w:rPr>
          <w:rFonts w:hint="eastAsia" w:ascii="微软雅黑" w:hAnsi="微软雅黑" w:eastAsia="微软雅黑" w:cs="微软雅黑"/>
          <w:sz w:val="20"/>
        </w:rPr>
        <w:t>EVA奖励实施程序</w:t>
      </w:r>
    </w:p>
    <w:p>
      <w:pPr>
        <w:numPr>
          <w:ilvl w:val="0"/>
          <w:numId w:val="0"/>
        </w:numPr>
        <w:rPr>
          <w:rFonts w:hint="eastAsia" w:ascii="微软雅黑" w:hAnsi="微软雅黑" w:eastAsia="微软雅黑" w:cs="微软雅黑"/>
          <w:color w:val="0000FF"/>
          <w:sz w:val="20"/>
        </w:rPr>
      </w:pPr>
      <w:r>
        <w:rPr>
          <w:rFonts w:hint="eastAsia" w:ascii="微软雅黑" w:hAnsi="微软雅黑" w:eastAsia="微软雅黑" w:cs="微软雅黑"/>
          <w:color w:val="0000FF"/>
          <w:sz w:val="20"/>
        </w:rPr>
        <w:t>【演练7】设计本企业高管人员短期绩效激励方案</w:t>
      </w:r>
    </w:p>
    <w:p>
      <w:pPr>
        <w:numPr>
          <w:ilvl w:val="0"/>
          <w:numId w:val="0"/>
        </w:numPr>
        <w:rPr>
          <w:rFonts w:hint="eastAsia" w:ascii="微软雅黑" w:hAnsi="微软雅黑" w:eastAsia="微软雅黑" w:cs="微软雅黑"/>
          <w:sz w:val="20"/>
        </w:rPr>
      </w:pP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即时激励方案设计 0.5H</w:t>
      </w:r>
    </w:p>
    <w:p>
      <w:pPr>
        <w:numPr>
          <w:ilvl w:val="0"/>
          <w:numId w:val="16"/>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即时激励方案设计要点</w:t>
      </w:r>
    </w:p>
    <w:p>
      <w:pPr>
        <w:numPr>
          <w:ilvl w:val="0"/>
          <w:numId w:val="16"/>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创意奖项设计</w:t>
      </w:r>
    </w:p>
    <w:p>
      <w:pPr>
        <w:numPr>
          <w:ilvl w:val="0"/>
          <w:numId w:val="16"/>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典型的即时激励方案（营销、研发、生产等）</w:t>
      </w:r>
    </w:p>
    <w:p>
      <w:pPr>
        <w:numPr>
          <w:ilvl w:val="0"/>
          <w:numId w:val="0"/>
        </w:numPr>
        <w:rPr>
          <w:rFonts w:hint="eastAsia" w:ascii="微软雅黑" w:hAnsi="微软雅黑" w:eastAsia="微软雅黑" w:cs="微软雅黑"/>
          <w:sz w:val="20"/>
        </w:rPr>
      </w:pP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组织整体激励计划 0.5H</w:t>
      </w:r>
    </w:p>
    <w:p>
      <w:pPr>
        <w:numPr>
          <w:ilvl w:val="0"/>
          <w:numId w:val="17"/>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 xml:space="preserve">激励方案整合设计及示例 </w:t>
      </w:r>
    </w:p>
    <w:p>
      <w:pPr>
        <w:numPr>
          <w:ilvl w:val="0"/>
          <w:numId w:val="17"/>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利润分享计划设计要点</w:t>
      </w:r>
    </w:p>
    <w:p>
      <w:pPr>
        <w:numPr>
          <w:ilvl w:val="0"/>
          <w:numId w:val="17"/>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利润分享案例分析</w:t>
      </w:r>
    </w:p>
    <w:p>
      <w:pPr>
        <w:numPr>
          <w:ilvl w:val="0"/>
          <w:numId w:val="0"/>
        </w:numPr>
        <w:rPr>
          <w:rFonts w:hint="eastAsia" w:ascii="微软雅黑" w:hAnsi="微软雅黑" w:eastAsia="微软雅黑" w:cs="微软雅黑"/>
          <w:sz w:val="20"/>
        </w:rPr>
      </w:pP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下篇：短期绩效激励方案实施运营   1H</w:t>
      </w:r>
    </w:p>
    <w:p>
      <w:pPr>
        <w:numPr>
          <w:ilvl w:val="0"/>
          <w:numId w:val="0"/>
        </w:numPr>
        <w:rPr>
          <w:rFonts w:hint="eastAsia" w:ascii="微软雅黑" w:hAnsi="微软雅黑" w:eastAsia="微软雅黑" w:cs="微软雅黑"/>
          <w:sz w:val="20"/>
        </w:rPr>
      </w:pPr>
    </w:p>
    <w:p>
      <w:pPr>
        <w:numPr>
          <w:ilvl w:val="0"/>
          <w:numId w:val="2"/>
        </w:numPr>
        <w:ind w:left="425" w:leftChars="0" w:hanging="425" w:firstLineChars="0"/>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绩效激励方案实施与沟通</w:t>
      </w:r>
    </w:p>
    <w:p>
      <w:pPr>
        <w:numPr>
          <w:ilvl w:val="0"/>
          <w:numId w:val="18"/>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激励方案转变与过渡方法</w:t>
      </w:r>
    </w:p>
    <w:p>
      <w:pPr>
        <w:numPr>
          <w:ilvl w:val="0"/>
          <w:numId w:val="18"/>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有效沟通的组成部分</w:t>
      </w:r>
    </w:p>
    <w:p>
      <w:pPr>
        <w:numPr>
          <w:ilvl w:val="0"/>
          <w:numId w:val="18"/>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有效沟通的技巧-期望值</w:t>
      </w:r>
    </w:p>
    <w:p>
      <w:pPr>
        <w:numPr>
          <w:ilvl w:val="0"/>
          <w:numId w:val="18"/>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有效沟通的技巧-效价</w:t>
      </w:r>
    </w:p>
    <w:p>
      <w:pPr>
        <w:numPr>
          <w:ilvl w:val="0"/>
          <w:numId w:val="0"/>
        </w:numPr>
        <w:rPr>
          <w:rFonts w:hint="eastAsia" w:ascii="微软雅黑" w:hAnsi="微软雅黑" w:eastAsia="微软雅黑" w:cs="微软雅黑"/>
          <w:color w:val="0000FF"/>
          <w:sz w:val="20"/>
        </w:rPr>
      </w:pPr>
      <w:r>
        <w:rPr>
          <w:rFonts w:hint="eastAsia" w:ascii="微软雅黑" w:hAnsi="微软雅黑" w:eastAsia="微软雅黑" w:cs="微软雅黑"/>
          <w:color w:val="0000FF"/>
          <w:sz w:val="20"/>
        </w:rPr>
        <w:t>【演练10】设计本企业绩效激励方案的实施与沟通计划</w:t>
      </w:r>
    </w:p>
    <w:p>
      <w:pPr>
        <w:numPr>
          <w:ilvl w:val="0"/>
          <w:numId w:val="0"/>
        </w:numPr>
        <w:rPr>
          <w:rFonts w:hint="eastAsia" w:ascii="微软雅黑" w:hAnsi="微软雅黑" w:eastAsia="微软雅黑" w:cs="微软雅黑"/>
          <w:sz w:val="20"/>
        </w:rPr>
      </w:pPr>
    </w:p>
    <w:p>
      <w:pPr>
        <w:numPr>
          <w:ilvl w:val="0"/>
          <w:numId w:val="2"/>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b/>
          <w:color w:val="000000"/>
          <w:sz w:val="22"/>
        </w:rPr>
        <w:t>Q&amp;A</w:t>
      </w:r>
    </w:p>
    <w:p>
      <w:pPr>
        <w:widowControl w:val="0"/>
        <w:numPr>
          <w:ilvl w:val="0"/>
          <w:numId w:val="0"/>
        </w:numPr>
        <w:jc w:val="both"/>
        <w:rPr>
          <w:rFonts w:ascii="微软雅黑" w:hAnsi="微软雅黑" w:eastAsia="微软雅黑" w:cs="微软雅黑"/>
          <w:sz w:val="20"/>
        </w:rPr>
      </w:pPr>
    </w:p>
    <w:p>
      <w:r>
        <w:rPr>
          <w:rFonts w:ascii="微软雅黑" w:hAnsi="微软雅黑" w:eastAsia="微软雅黑" w:cs="微软雅黑"/>
          <w:b/>
          <w:color w:val="2E74B5"/>
          <w:sz w:val="26"/>
        </w:rPr>
        <w:t>讲师介绍/Lecturer</w:t>
      </w:r>
    </w:p>
    <w:p>
      <w:pPr>
        <w:keepNext w:val="0"/>
        <w:keepLines w:val="0"/>
        <w:widowControl/>
        <w:suppressLineNumbers w:val="0"/>
        <w:jc w:val="left"/>
      </w:pPr>
      <w:r>
        <w:rPr>
          <w:rFonts w:ascii="微软雅黑" w:hAnsi="微软雅黑" w:eastAsia="微软雅黑" w:cs="微软雅黑"/>
          <w:b/>
          <w:color w:val="000000"/>
          <w:sz w:val="22"/>
          <w:lang w:val="en-US" w:eastAsia="zh-CN"/>
        </w:rPr>
        <w:t>赵惠颖</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drawing>
          <wp:inline distT="0" distB="0" distL="114300" distR="114300">
            <wp:extent cx="1808480" cy="1819910"/>
            <wp:effectExtent l="0" t="0" r="127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808480" cy="1819910"/>
                    </a:xfrm>
                    <a:prstGeom prst="rect">
                      <a:avLst/>
                    </a:prstGeom>
                    <a:noFill/>
                    <a:ln>
                      <a:noFill/>
                    </a:ln>
                  </pic:spPr>
                </pic:pic>
              </a:graphicData>
            </a:graphic>
          </wp:inline>
        </w:drawing>
      </w:r>
    </w:p>
    <w:p/>
    <w:p>
      <w:pPr>
        <w:rPr>
          <w:rFonts w:hint="eastAsia" w:ascii="微软雅黑" w:hAnsi="微软雅黑" w:eastAsia="微软雅黑" w:cs="微软雅黑"/>
          <w:sz w:val="20"/>
        </w:rPr>
      </w:pPr>
      <w:r>
        <w:rPr>
          <w:rFonts w:hint="eastAsia" w:ascii="微软雅黑" w:hAnsi="微软雅黑" w:eastAsia="微软雅黑" w:cs="微软雅黑"/>
          <w:sz w:val="20"/>
        </w:rPr>
        <w:t>组织&amp;人效提升实战专家</w:t>
      </w:r>
    </w:p>
    <w:p>
      <w:pPr>
        <w:rPr>
          <w:rFonts w:hint="eastAsia" w:ascii="微软雅黑" w:hAnsi="微软雅黑" w:eastAsia="微软雅黑" w:cs="微软雅黑"/>
          <w:sz w:val="20"/>
        </w:rPr>
      </w:pPr>
      <w:r>
        <w:rPr>
          <w:rFonts w:hint="eastAsia" w:ascii="微软雅黑" w:hAnsi="微软雅黑" w:eastAsia="微软雅黑" w:cs="微软雅黑"/>
          <w:sz w:val="20"/>
        </w:rPr>
        <w:t>薪酬绩效实战专家</w:t>
      </w:r>
    </w:p>
    <w:p>
      <w:pPr>
        <w:rPr>
          <w:rFonts w:hint="eastAsia" w:ascii="微软雅黑" w:hAnsi="微软雅黑" w:eastAsia="微软雅黑" w:cs="微软雅黑"/>
          <w:sz w:val="20"/>
        </w:rPr>
      </w:pPr>
    </w:p>
    <w:p>
      <w:pPr>
        <w:rPr>
          <w:rFonts w:hint="eastAsia" w:ascii="微软雅黑" w:hAnsi="微软雅黑" w:eastAsia="微软雅黑" w:cs="微软雅黑"/>
          <w:sz w:val="20"/>
        </w:rPr>
      </w:pPr>
      <w:r>
        <w:rPr>
          <w:rFonts w:hint="eastAsia" w:ascii="微软雅黑" w:hAnsi="微软雅黑" w:eastAsia="微软雅黑" w:cs="微软雅黑"/>
          <w:b/>
          <w:color w:val="000000"/>
          <w:sz w:val="22"/>
        </w:rPr>
        <w:t>职业经历</w:t>
      </w:r>
      <w:r>
        <w:rPr>
          <w:rFonts w:hint="eastAsia" w:ascii="微软雅黑" w:hAnsi="微软雅黑" w:eastAsia="微软雅黑" w:cs="微软雅黑"/>
          <w:sz w:val="20"/>
        </w:rPr>
        <w:t>：首席咨询师，金风国际、众生药业等公司人力资源管理顾问；曾任致璞科技HRVP、金立集团HRD、华润三九薪酬绩效经理、平安人寿培训经理等职。</w:t>
      </w:r>
    </w:p>
    <w:p>
      <w:pPr>
        <w:rPr>
          <w:rFonts w:hint="eastAsia" w:ascii="微软雅黑" w:hAnsi="微软雅黑" w:eastAsia="微软雅黑" w:cs="微软雅黑"/>
          <w:sz w:val="20"/>
        </w:rPr>
      </w:pPr>
      <w:r>
        <w:rPr>
          <w:rFonts w:hint="eastAsia" w:ascii="微软雅黑" w:hAnsi="微软雅黑" w:eastAsia="微软雅黑" w:cs="微软雅黑"/>
          <w:b/>
          <w:color w:val="000000"/>
          <w:sz w:val="22"/>
        </w:rPr>
        <w:t>专业领域</w:t>
      </w:r>
      <w:r>
        <w:rPr>
          <w:rFonts w:hint="eastAsia" w:ascii="微软雅黑" w:hAnsi="微软雅黑" w:eastAsia="微软雅黑" w:cs="微软雅黑"/>
          <w:sz w:val="20"/>
        </w:rPr>
        <w:t>：擅长组织、职位及任职资格管理、薪酬激励体系设计、股权及中长期激励方案设计、绩效管理体系设计；熟悉高科技制造、互联网、医药、金融等行业人力资源管理特点，有超过50家国企、民企及外企人力资源变革项目设计及实施的成功经验，善于寻找企业人力资源管理问题的“根本解”并制定因地制宜的实施方案。</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咨询业务范围：</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战略性人力资源规划</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人力资源集团化管控机制设计与实施</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组织架构及职位职级体系搭建</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薪酬福利体系搭建</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干部&amp;关键人才管理</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全员绩效管理机机制设计与实施</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短期激励方案设计与实施</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股权激励方案设计与实施</w:t>
      </w:r>
    </w:p>
    <w:p>
      <w:pPr>
        <w:numPr>
          <w:ilvl w:val="0"/>
          <w:numId w:val="19"/>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其他人力资源专项工作</w:t>
      </w:r>
    </w:p>
    <w:p>
      <w:pPr>
        <w:rPr>
          <w:rFonts w:hint="eastAsia" w:ascii="微软雅黑" w:hAnsi="微软雅黑" w:eastAsia="微软雅黑" w:cs="微软雅黑"/>
          <w:sz w:val="20"/>
        </w:rPr>
      </w:pP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主讲课程：</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人效分析与提升：打造价值链共赢</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组织变革四定：定岗定编定级定薪</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降本增效：业务及人力资源行动指南</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组织架构设计</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职位设计与职位评估</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任职资格敏捷建模与实践</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战略性薪酬规划与全面预算管理</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薪酬架构设计与薪酬管理实务</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销售、研发、生产、高管等关键业务团队短期激励方案设计</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中长期及股权激励方案设计</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战略性绩效管理体系构建与实施（HR）</w:t>
      </w:r>
    </w:p>
    <w:p>
      <w:pPr>
        <w:numPr>
          <w:ilvl w:val="0"/>
          <w:numId w:val="20"/>
        </w:numPr>
        <w:ind w:left="425" w:leftChars="0" w:hanging="425" w:firstLineChars="0"/>
        <w:rPr>
          <w:rFonts w:hint="eastAsia" w:ascii="微软雅黑" w:hAnsi="微软雅黑" w:eastAsia="微软雅黑" w:cs="微软雅黑"/>
          <w:sz w:val="20"/>
        </w:rPr>
      </w:pPr>
      <w:r>
        <w:rPr>
          <w:rFonts w:hint="eastAsia" w:ascii="微软雅黑" w:hAnsi="微软雅黑" w:eastAsia="微软雅黑" w:cs="微软雅黑"/>
          <w:sz w:val="20"/>
        </w:rPr>
        <w:t>绩效管理实务（业务）</w:t>
      </w:r>
    </w:p>
    <w:p>
      <w:pPr>
        <w:numPr>
          <w:ilvl w:val="0"/>
          <w:numId w:val="20"/>
        </w:numPr>
        <w:ind w:left="425" w:leftChars="0" w:hanging="425" w:firstLineChars="0"/>
      </w:pPr>
      <w:r>
        <w:rPr>
          <w:rFonts w:hint="eastAsia" w:ascii="微软雅黑" w:hAnsi="微软雅黑" w:eastAsia="微软雅黑" w:cs="微软雅黑"/>
          <w:sz w:val="20"/>
        </w:rPr>
        <w:t>OKR敏捷绩效管理实践</w:t>
      </w:r>
    </w:p>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D8D8D8" w:themeColor="background1" w:themeShade="D9" w:sz="6" w:space="8"/>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5728C"/>
    <w:multiLevelType w:val="singleLevel"/>
    <w:tmpl w:val="9E35728C"/>
    <w:lvl w:ilvl="0" w:tentative="0">
      <w:start w:val="1"/>
      <w:numFmt w:val="decimalEnclosedCircleChinese"/>
      <w:suff w:val="nothing"/>
      <w:lvlText w:val="%1　"/>
      <w:lvlJc w:val="left"/>
      <w:pPr>
        <w:ind w:left="0" w:firstLine="400"/>
      </w:pPr>
      <w:rPr>
        <w:rFonts w:hint="eastAsia"/>
      </w:rPr>
    </w:lvl>
  </w:abstractNum>
  <w:abstractNum w:abstractNumId="1">
    <w:nsid w:val="9FEF68D3"/>
    <w:multiLevelType w:val="singleLevel"/>
    <w:tmpl w:val="9FEF68D3"/>
    <w:lvl w:ilvl="0" w:tentative="0">
      <w:start w:val="1"/>
      <w:numFmt w:val="decimalEnclosedCircleChinese"/>
      <w:suff w:val="nothing"/>
      <w:lvlText w:val="%1　"/>
      <w:lvlJc w:val="left"/>
      <w:pPr>
        <w:ind w:left="0" w:firstLine="400"/>
      </w:pPr>
      <w:rPr>
        <w:rFonts w:hint="eastAsia"/>
      </w:rPr>
    </w:lvl>
  </w:abstractNum>
  <w:abstractNum w:abstractNumId="2">
    <w:nsid w:val="A8359B91"/>
    <w:multiLevelType w:val="singleLevel"/>
    <w:tmpl w:val="A8359B91"/>
    <w:lvl w:ilvl="0" w:tentative="0">
      <w:start w:val="1"/>
      <w:numFmt w:val="decimal"/>
      <w:lvlText w:val="(%1)"/>
      <w:lvlJc w:val="left"/>
      <w:pPr>
        <w:ind w:left="425" w:hanging="425"/>
      </w:pPr>
      <w:rPr>
        <w:rFonts w:hint="default"/>
      </w:rPr>
    </w:lvl>
  </w:abstractNum>
  <w:abstractNum w:abstractNumId="3">
    <w:nsid w:val="B0CAF128"/>
    <w:multiLevelType w:val="singleLevel"/>
    <w:tmpl w:val="B0CAF128"/>
    <w:lvl w:ilvl="0" w:tentative="0">
      <w:start w:val="1"/>
      <w:numFmt w:val="decimalEnclosedCircleChinese"/>
      <w:suff w:val="nothing"/>
      <w:lvlText w:val="%1　"/>
      <w:lvlJc w:val="left"/>
      <w:pPr>
        <w:ind w:left="0" w:firstLine="400"/>
      </w:pPr>
      <w:rPr>
        <w:rFonts w:hint="eastAsia"/>
      </w:rPr>
    </w:lvl>
  </w:abstractNum>
  <w:abstractNum w:abstractNumId="4">
    <w:nsid w:val="BF4866F5"/>
    <w:multiLevelType w:val="singleLevel"/>
    <w:tmpl w:val="BF4866F5"/>
    <w:lvl w:ilvl="0" w:tentative="0">
      <w:start w:val="1"/>
      <w:numFmt w:val="decimal"/>
      <w:lvlText w:val="(%1)"/>
      <w:lvlJc w:val="left"/>
      <w:pPr>
        <w:ind w:left="425" w:hanging="425"/>
      </w:pPr>
      <w:rPr>
        <w:rFonts w:hint="default"/>
      </w:rPr>
    </w:lvl>
  </w:abstractNum>
  <w:abstractNum w:abstractNumId="5">
    <w:nsid w:val="E5630ED7"/>
    <w:multiLevelType w:val="singleLevel"/>
    <w:tmpl w:val="E5630ED7"/>
    <w:lvl w:ilvl="0" w:tentative="0">
      <w:start w:val="1"/>
      <w:numFmt w:val="decimal"/>
      <w:lvlText w:val="(%1)"/>
      <w:lvlJc w:val="left"/>
      <w:pPr>
        <w:ind w:left="425" w:hanging="425"/>
      </w:pPr>
      <w:rPr>
        <w:rFonts w:hint="default"/>
      </w:rPr>
    </w:lvl>
  </w:abstractNum>
  <w:abstractNum w:abstractNumId="6">
    <w:nsid w:val="ED00E5FE"/>
    <w:multiLevelType w:val="singleLevel"/>
    <w:tmpl w:val="ED00E5FE"/>
    <w:lvl w:ilvl="0" w:tentative="0">
      <w:start w:val="1"/>
      <w:numFmt w:val="decimal"/>
      <w:lvlText w:val="(%1)"/>
      <w:lvlJc w:val="left"/>
      <w:pPr>
        <w:ind w:left="425" w:hanging="425"/>
      </w:pPr>
      <w:rPr>
        <w:rFonts w:hint="default"/>
      </w:rPr>
    </w:lvl>
  </w:abstractNum>
  <w:abstractNum w:abstractNumId="7">
    <w:nsid w:val="F47A9D01"/>
    <w:multiLevelType w:val="singleLevel"/>
    <w:tmpl w:val="F47A9D01"/>
    <w:lvl w:ilvl="0" w:tentative="0">
      <w:start w:val="1"/>
      <w:numFmt w:val="decimal"/>
      <w:lvlText w:val="(%1)"/>
      <w:lvlJc w:val="left"/>
      <w:pPr>
        <w:ind w:left="425" w:hanging="425"/>
      </w:pPr>
      <w:rPr>
        <w:rFonts w:hint="default"/>
      </w:rPr>
    </w:lvl>
  </w:abstractNum>
  <w:abstractNum w:abstractNumId="8">
    <w:nsid w:val="0A9FDE43"/>
    <w:multiLevelType w:val="singleLevel"/>
    <w:tmpl w:val="0A9FDE43"/>
    <w:lvl w:ilvl="0" w:tentative="0">
      <w:start w:val="1"/>
      <w:numFmt w:val="decimal"/>
      <w:lvlText w:val="(%1)"/>
      <w:lvlJc w:val="left"/>
      <w:pPr>
        <w:ind w:left="425" w:hanging="425"/>
      </w:pPr>
      <w:rPr>
        <w:rFonts w:hint="default"/>
      </w:rPr>
    </w:lvl>
  </w:abstractNum>
  <w:abstractNum w:abstractNumId="9">
    <w:nsid w:val="22344DC1"/>
    <w:multiLevelType w:val="singleLevel"/>
    <w:tmpl w:val="22344DC1"/>
    <w:lvl w:ilvl="0" w:tentative="0">
      <w:start w:val="1"/>
      <w:numFmt w:val="decimalEnclosedCircleChinese"/>
      <w:suff w:val="nothing"/>
      <w:lvlText w:val="%1　"/>
      <w:lvlJc w:val="left"/>
      <w:pPr>
        <w:ind w:left="0" w:firstLine="400"/>
      </w:pPr>
      <w:rPr>
        <w:rFonts w:hint="eastAsia"/>
      </w:rPr>
    </w:lvl>
  </w:abstractNum>
  <w:abstractNum w:abstractNumId="10">
    <w:nsid w:val="2D26682E"/>
    <w:multiLevelType w:val="singleLevel"/>
    <w:tmpl w:val="2D26682E"/>
    <w:lvl w:ilvl="0" w:tentative="0">
      <w:start w:val="1"/>
      <w:numFmt w:val="decimal"/>
      <w:lvlText w:val="(%1)"/>
      <w:lvlJc w:val="left"/>
      <w:pPr>
        <w:ind w:left="425" w:hanging="425"/>
      </w:pPr>
      <w:rPr>
        <w:rFonts w:hint="default"/>
      </w:rPr>
    </w:lvl>
  </w:abstractNum>
  <w:abstractNum w:abstractNumId="11">
    <w:nsid w:val="2F186204"/>
    <w:multiLevelType w:val="singleLevel"/>
    <w:tmpl w:val="2F186204"/>
    <w:lvl w:ilvl="0" w:tentative="0">
      <w:start w:val="1"/>
      <w:numFmt w:val="decimalEnclosedCircleChinese"/>
      <w:suff w:val="nothing"/>
      <w:lvlText w:val="%1　"/>
      <w:lvlJc w:val="left"/>
      <w:pPr>
        <w:ind w:left="0" w:firstLine="400"/>
      </w:pPr>
      <w:rPr>
        <w:rFonts w:hint="eastAsia"/>
      </w:rPr>
    </w:lvl>
  </w:abstractNum>
  <w:abstractNum w:abstractNumId="12">
    <w:nsid w:val="35099F5C"/>
    <w:multiLevelType w:val="singleLevel"/>
    <w:tmpl w:val="35099F5C"/>
    <w:lvl w:ilvl="0" w:tentative="0">
      <w:start w:val="1"/>
      <w:numFmt w:val="decimal"/>
      <w:lvlText w:val="(%1)"/>
      <w:lvlJc w:val="left"/>
      <w:pPr>
        <w:ind w:left="425" w:hanging="425"/>
      </w:pPr>
      <w:rPr>
        <w:rFonts w:hint="default"/>
      </w:rPr>
    </w:lvl>
  </w:abstractNum>
  <w:abstractNum w:abstractNumId="13">
    <w:nsid w:val="461123B0"/>
    <w:multiLevelType w:val="singleLevel"/>
    <w:tmpl w:val="461123B0"/>
    <w:lvl w:ilvl="0" w:tentative="0">
      <w:start w:val="1"/>
      <w:numFmt w:val="decimal"/>
      <w:lvlText w:val="%1."/>
      <w:lvlJc w:val="left"/>
      <w:pPr>
        <w:ind w:left="425" w:hanging="425"/>
      </w:pPr>
      <w:rPr>
        <w:rFonts w:hint="default"/>
      </w:rPr>
    </w:lvl>
  </w:abstractNum>
  <w:abstractNum w:abstractNumId="14">
    <w:nsid w:val="50324802"/>
    <w:multiLevelType w:val="singleLevel"/>
    <w:tmpl w:val="50324802"/>
    <w:lvl w:ilvl="0" w:tentative="0">
      <w:start w:val="1"/>
      <w:numFmt w:val="decimal"/>
      <w:lvlText w:val="(%1)"/>
      <w:lvlJc w:val="left"/>
      <w:pPr>
        <w:ind w:left="425" w:hanging="425"/>
      </w:pPr>
      <w:rPr>
        <w:rFonts w:hint="default"/>
      </w:rPr>
    </w:lvl>
  </w:abstractNum>
  <w:abstractNum w:abstractNumId="15">
    <w:nsid w:val="5FB0E548"/>
    <w:multiLevelType w:val="singleLevel"/>
    <w:tmpl w:val="5FB0E548"/>
    <w:lvl w:ilvl="0" w:tentative="0">
      <w:start w:val="1"/>
      <w:numFmt w:val="decimalEnclosedCircleChinese"/>
      <w:suff w:val="nothing"/>
      <w:lvlText w:val="%1　"/>
      <w:lvlJc w:val="left"/>
      <w:pPr>
        <w:ind w:left="0" w:firstLine="400"/>
      </w:pPr>
      <w:rPr>
        <w:rFonts w:hint="eastAsia"/>
      </w:rPr>
    </w:lvl>
  </w:abstractNum>
  <w:abstractNum w:abstractNumId="16">
    <w:nsid w:val="723876F8"/>
    <w:multiLevelType w:val="singleLevel"/>
    <w:tmpl w:val="723876F8"/>
    <w:lvl w:ilvl="0" w:tentative="0">
      <w:start w:val="1"/>
      <w:numFmt w:val="decimalEnclosedCircleChinese"/>
      <w:suff w:val="nothing"/>
      <w:lvlText w:val="%1　"/>
      <w:lvlJc w:val="left"/>
      <w:pPr>
        <w:ind w:left="0" w:firstLine="400"/>
      </w:pPr>
      <w:rPr>
        <w:rFonts w:hint="eastAsia"/>
      </w:rPr>
    </w:lvl>
  </w:abstractNum>
  <w:abstractNum w:abstractNumId="17">
    <w:nsid w:val="76795F55"/>
    <w:multiLevelType w:val="singleLevel"/>
    <w:tmpl w:val="76795F55"/>
    <w:lvl w:ilvl="0" w:tentative="0">
      <w:start w:val="1"/>
      <w:numFmt w:val="decimal"/>
      <w:lvlText w:val="%1."/>
      <w:lvlJc w:val="left"/>
      <w:pPr>
        <w:ind w:left="425" w:hanging="425"/>
      </w:pPr>
      <w:rPr>
        <w:rFonts w:hint="default"/>
      </w:rPr>
    </w:lvl>
  </w:abstractNum>
  <w:abstractNum w:abstractNumId="18">
    <w:nsid w:val="7898636E"/>
    <w:multiLevelType w:val="singleLevel"/>
    <w:tmpl w:val="7898636E"/>
    <w:lvl w:ilvl="0" w:tentative="0">
      <w:start w:val="1"/>
      <w:numFmt w:val="decimalEnclosedCircleChinese"/>
      <w:suff w:val="nothing"/>
      <w:lvlText w:val="%1　"/>
      <w:lvlJc w:val="left"/>
      <w:pPr>
        <w:ind w:left="0" w:firstLine="400"/>
      </w:pPr>
      <w:rPr>
        <w:rFonts w:hint="eastAsia"/>
      </w:rPr>
    </w:lvl>
  </w:abstractNum>
  <w:abstractNum w:abstractNumId="19">
    <w:nsid w:val="7EF39940"/>
    <w:multiLevelType w:val="singleLevel"/>
    <w:tmpl w:val="7EF39940"/>
    <w:lvl w:ilvl="0" w:tentative="0">
      <w:start w:val="1"/>
      <w:numFmt w:val="decimal"/>
      <w:lvlText w:val="(%1)"/>
      <w:lvlJc w:val="left"/>
      <w:pPr>
        <w:ind w:left="425" w:hanging="425"/>
      </w:pPr>
      <w:rPr>
        <w:rFonts w:hint="default"/>
      </w:rPr>
    </w:lvl>
  </w:abstractNum>
  <w:num w:numId="1">
    <w:abstractNumId w:val="13"/>
  </w:num>
  <w:num w:numId="2">
    <w:abstractNumId w:val="17"/>
  </w:num>
  <w:num w:numId="3">
    <w:abstractNumId w:val="2"/>
  </w:num>
  <w:num w:numId="4">
    <w:abstractNumId w:val="19"/>
  </w:num>
  <w:num w:numId="5">
    <w:abstractNumId w:val="0"/>
  </w:num>
  <w:num w:numId="6">
    <w:abstractNumId w:val="3"/>
  </w:num>
  <w:num w:numId="7">
    <w:abstractNumId w:val="7"/>
  </w:num>
  <w:num w:numId="8">
    <w:abstractNumId w:val="15"/>
  </w:num>
  <w:num w:numId="9">
    <w:abstractNumId w:val="16"/>
  </w:num>
  <w:num w:numId="10">
    <w:abstractNumId w:val="5"/>
  </w:num>
  <w:num w:numId="11">
    <w:abstractNumId w:val="18"/>
  </w:num>
  <w:num w:numId="12">
    <w:abstractNumId w:val="11"/>
  </w:num>
  <w:num w:numId="13">
    <w:abstractNumId w:val="14"/>
  </w:num>
  <w:num w:numId="14">
    <w:abstractNumId w:val="9"/>
  </w:num>
  <w:num w:numId="15">
    <w:abstractNumId w:val="1"/>
  </w:num>
  <w:num w:numId="16">
    <w:abstractNumId w:val="12"/>
  </w:num>
  <w:num w:numId="17">
    <w:abstractNumId w:val="4"/>
  </w:num>
  <w:num w:numId="18">
    <w:abstractNumId w:val="6"/>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AA04031"/>
    <w:rsid w:val="2EE22578"/>
    <w:rsid w:val="332B1FAB"/>
    <w:rsid w:val="54DF617B"/>
    <w:rsid w:val="6738388D"/>
    <w:rsid w:val="7F7A29C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qFormat/>
    <w:uiPriority w:val="99"/>
    <w:rPr>
      <w:sz w:val="18"/>
      <w:szCs w:val="18"/>
    </w:rPr>
  </w:style>
  <w:style w:type="character" w:customStyle="1" w:styleId="10">
    <w:name w:val="页脚 字符"/>
    <w:basedOn w:val="8"/>
    <w:qFormat/>
    <w:uiPriority w:val="99"/>
    <w:rPr>
      <w:sz w:val="18"/>
      <w:szCs w:val="18"/>
    </w:rPr>
  </w:style>
  <w:style w:type="table" w:customStyle="1" w:styleId="11">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2">
    <w:name w:val="List Paragraph"/>
    <w:basedOn w:val="1"/>
    <w:qFormat/>
    <w:uiPriority w:val="34"/>
    <w:pPr>
      <w:ind w:firstLine="420" w:firstLineChars="200"/>
    </w:pPr>
  </w:style>
  <w:style w:type="paragraph" w:customStyle="1" w:styleId="13">
    <w:name w:val="列出段落1"/>
    <w:basedOn w:val="1"/>
    <w:qFormat/>
    <w:uiPriority w:val="99"/>
    <w:pPr>
      <w:ind w:firstLine="420" w:firstLineChars="200"/>
    </w:pPr>
  </w:style>
  <w:style w:type="paragraph" w:customStyle="1" w:styleId="14">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a23f-6d5e-4603-83fc-20e6d9c0822f}">
  <ds:schemaRefs/>
</ds:datastoreItem>
</file>

<file path=customXml/itemProps2.xml><?xml version="1.0" encoding="utf-8"?>
<ds:datastoreItem xmlns:ds="http://schemas.openxmlformats.org/officeDocument/2006/customXml" ds:itemID="{eb13f2b9-7468-40d8-bb6f-8a24ebb0c5ed}">
  <ds:schemaRefs/>
</ds:datastoreItem>
</file>

<file path=customXml/itemProps3.xml><?xml version="1.0" encoding="utf-8"?>
<ds:datastoreItem xmlns:ds="http://schemas.openxmlformats.org/officeDocument/2006/customXml" ds:itemID="{46ba7dd2-3d0e-4d58-88cf-ebcd9aff8a11}">
  <ds:schemaRefs/>
</ds:datastoreItem>
</file>

<file path=customXml/itemProps4.xml><?xml version="1.0" encoding="utf-8"?>
<ds:datastoreItem xmlns:ds="http://schemas.openxmlformats.org/officeDocument/2006/customXml" ds:itemID="{4943E5E0-F2EA-4BA1-BC14-B3A66A82A148}">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1648</Words>
  <Characters>1756</Characters>
  <Lines>1</Lines>
  <Paragraphs>1</Paragraphs>
  <TotalTime>0</TotalTime>
  <ScaleCrop>false</ScaleCrop>
  <LinksUpToDate>false</LinksUpToDate>
  <CharactersWithSpaces>1777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章跃龙</cp:lastModifiedBy>
  <dcterms:modified xsi:type="dcterms:W3CDTF">2024-07-26T04:11:24Z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DE04D4F9F3634A22A23AA6F5EBAFCCB4_13</vt:lpwstr>
  </property>
</Properties>
</file>