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金字塔原理：逻辑思维与高效表达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Pyramid Principle: Logical Thinking and Effective Expression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姜老师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¥4580元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北京：2024年08月13日-14日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深圳：2024年10月22日-23日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北京：2024年11月12日-13日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上海：2024年12月17日-18日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课程介绍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金字塔原理》课程的基本原则和思想来源于芭芭拉•明托女士经久不衰的经典畅销商业管理书籍——《金字塔原理》。本课程通过对文章结构性特点的讲解，强化学员表达与思考时的逻辑思维方式，大量的实战体验式演练，从而提高学员表达与思考的能力。基于此，它受到全球众多跨国公司的推崇，也受到广大职场人士和诸多学习者的热爱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课程目的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身为繁忙职场人士的您，是否在为这些问题烦恼？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思考事情——脑子一团乱，根本理不清思路！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当众说话——总说不到点子上，对方听不进去！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工作展示——辛辛苦苦熬大夜，领导还不满意！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项目管理——花了大把时间，还有不少纰漏！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以上所有问题，都可以通过金字塔原理的思维训练，得到解决和优化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课程收获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想事更透彻——简单问题不复杂化，复杂问题抓住要害！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说话更清晰——重点突出，层次分明，别人一听就能懂！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做事更漂亮——无论管项目还是管人，有思路，有章法！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展示更出彩——让PPT、报告、文章，都变成精彩表演！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记事更清楚——事情千头万绪，到你这里变得条理分明！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课程对象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企业管理者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各级骨干人员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对思维训练及高效表达有兴趣的人士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1.为什么我们需要结构化思维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职场结构化第一课——黄金圈法则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实战演练：结构化对工作的益处和威力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2.什么是金字塔原理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一种结构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一种系统管理信息的方式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探究金字塔的核心定义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金字塔原理应用的四大场景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逻辑思考——怎么把复杂的事情理清楚?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高效表达——怎么说到点子上，让对方对你的观点感兴趣?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有力演示——如何让自己文章、报告、PPT逻辑清晰？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问题解决——如何高效结构化把问题搞定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3.思考的逻辑——怎么把复杂的事情理清楚?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思考方式的3个阶段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四个原则搞定金字塔原理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结论先行——思考表达的灵魂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什么是好的结论？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提出洞见的关键工具——5SO追问法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自下而上得出结论——演绎推理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自下而上得出结论——归纳推理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实战演练：如何得出有价值的结论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以上统下——金字塔结构稳定的关键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归类分组——如何从繁杂的信息中脱身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用MECE法则验证拆分要素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相互独立，完全穷尽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五种分类方法快速上手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逻辑递进——如何让论点按照逻辑排列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人类组织信息的3个逻辑：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①因果关系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②整体和部分的关系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③类似事物归类关系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实战演练：逻辑关系如何解决工作问题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4.极致高效的表达——怎么说到点子上，让对方对你的观点感兴趣?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书面表达——怎么说清楚复杂事件?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如何写出吸引人的工作汇报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用SCQA模型吸引读者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公众表达——怎么让你演讲的要点在30秒之内让听众明白?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提升工作表达能力的回报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极致公众表达的六化口诀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公众表达的核心结构化模型：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①PREP——有理有据表达观点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②时间轴——讲清楚事情来龙去脉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③金字塔——聚焦于问题的对策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④黄金圈——职场底层思考结构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⑤NPA——让领导做判断题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⑥POP——让领导做选择题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5.有力演示——如何让自己文章、报告、PPT逻辑清晰？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书面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通过掌握好上下文的过渡，让书面表达有节奏感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讲一个好故事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好故事的两个核心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写好故事的六个步骤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PPT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PPT学习效果持续提升四步法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结构化演示目的是第一步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结构化表达的思考步骤来捋清思路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演示中的结构化保持观众专注力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简单易上手的演示结构化工具——SMART ART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6.解决问题的逻辑——如何高效结构化把问题搞定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如何界定问题?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如何结构化分析问题?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如何检验解决方案的有效性?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沙盘实战模拟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姜老师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10年+经验『实战派』培训专家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大型金融集团高级培训总监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资深客户服务顾问专家，『极致客户体验』挑战者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成功为108家企业打造『明星客服团队』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情境体验式培训专家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世界500强企业『首席合作导师』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英国博赞思维导图『认证管理师』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某大型制造企业常年管理顾问，期间成功培养至少80名新晋管理者，实操经验丰富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全国授课1000+场，服务人数超10000+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先后为网易、中信资本、招商银行、强生药业等大型集团企业提供服务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专业领域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姜老师具备超过15年的企业管理及培训经验。曾带领数十人的销售团队，设计、组织、举办高端国际峰会、专业工作坊、专业公开课培训、企业内训、咨询项目等1000+场，服务人数超10000+。对管理工作中的团队管理与激励、流程优化、新客户开发、销售技巧辅导、客户服务与维护等关键环节有独到的见解和实战经验。曾任大型金融集团高级培训总监，带领培训部门开展培训体系搭建、阶梯人才培养计划、管培生培养、移动学习运营、内部讲师培养认证等工作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课程特色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实战性强，案例丰富前沿，大部分取自真实经历，干货满满。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情境体验式教学模式，真实的场景模拟演练，问题现场还原，逐个击破。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课前充分调研，根据学员特色，灵活调整，针对性强，绝不一个课件讲天下。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轻松幽默、互动性强，配有学员提问与解答环节。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擅长课程（可根据企业需求定制内训）：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职场软技能：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《掌控沟通力》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《引爆视觉力》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《职场新人生存指南》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《新晋主管难题训练营》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销售类：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《电销成长日记》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客户服务类：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《照亮客户 – 卓越客户服务》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《客户投诉救火队》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客户案例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LexisNexis、TNT亚太、达能亚太、展讯通信、GKN中国、博斯特中国、氰特化学、HMD建筑设计、唐纳森中国、泰科电子、飞格物流、罗德公关、凯捷中国、炬力半导体、华新水泥、中信资本、中信集团高山别庄酒店、ClubMed、罗克韦尔柯林斯、网易、凯毅德汽车系统、轻轻家教、璐彩特化学、Autodesk、罗克韦尔柯林斯、广州贵金属交易中心、招商银行、金赛药业、强生药业、中国邮政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2024-08-07T16:06:19Z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