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snapToGrid w:val="0"/>
        <w:rPr>
          <w:rFonts w:ascii="微软雅黑" w:eastAsia="微软雅黑" w:hAnsi="微软雅黑"/>
          <w:sz w:val="20"/>
          <w:szCs w:val="20"/>
        </w:rPr>
      </w:pPr>
      <w:bookmarkStart w:id="0" w:name="_Hlk91793999"/>
      <w:bookmarkEnd w:id="0"/>
    </w:p>
    <w:p>
      <w:pPr>
        <w:snapToGrid w:val="0"/>
        <w:jc w:val="center"/>
        <w:rPr>
          <w:rFonts w:ascii="微软雅黑" w:eastAsia="微软雅黑" w:hAnsi="微软雅黑" w:cs="Times New Roman"/>
          <w:color w:val="404040" w:themeColor="text1" w:themeTint="BF"/>
          <w:sz w:val="44"/>
          <w:szCs w:val="44"/>
        </w:rPr>
      </w:pPr>
      <w:r>
        <w:rPr>
          <w:rFonts w:ascii="微软雅黑" w:eastAsia="微软雅黑" w:hAnsi="微软雅黑" w:cs="Times New Roman" w:hint="eastAsia"/>
          <w:color w:val="404040" w:themeColor="text1" w:themeTint="BF"/>
          <w:sz w:val="44"/>
          <w:szCs w:val="44"/>
        </w:rPr>
        <w:t xml:space="preserve">人力成本管控与组织人效提升</w:t>
      </w:r>
      <w:r>
        <w:rPr>
          <w:rFonts w:ascii="微软雅黑" w:eastAsia="微软雅黑" w:hAnsi="微软雅黑" w:cs="Times New Roman" w:hint="eastAsia"/>
          <w:color w:val="404040" w:themeColor="text1" w:themeTint="BF"/>
          <w:sz w:val="44"/>
          <w:szCs w:val="44"/>
        </w:rPr>
        <w:tab/>
      </w:r>
    </w:p>
    <w:p>
      <w:pPr>
        <w:snapToGrid w:val="0"/>
        <w:jc w:val="center"/>
        <w:rPr>
          <w:rFonts w:ascii="Arial" w:hAnsi="Arial" w:cs="Arial"/>
          <w:color w:val="D6D6D6"/>
          <w:sz w:val="24"/>
          <w:szCs w:val="24"/>
        </w:rPr>
      </w:pPr>
      <w:r>
        <w:rPr>
          <w:rFonts w:ascii="Arial" w:hAnsi="Arial" w:cs="Arial" w:hint="eastAsia"/>
          <w:color w:val="D6D6D6"/>
          <w:sz w:val="24"/>
          <w:szCs w:val="24"/>
        </w:rPr>
        <w:t xml:space="preserve">Human Cost Control and Organization Human Efficiency Improvement</w:t>
      </w:r>
    </w:p>
    <w:p>
      <w:pPr>
        <w:snapToGrid w:val="0"/>
        <w:rPr>
          <w:rFonts w:ascii="微软雅黑" w:eastAsia="微软雅黑" w:hAnsi="微软雅黑"/>
          <w:sz w:val="20"/>
          <w:szCs w:val="20"/>
        </w:rPr>
      </w:pPr>
    </w:p>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253"/>
        <w:gridCol w:w="3402"/>
      </w:tblGrid>
      <w:tr>
        <w:trPr>
          <w:trHeight w:val="593"/>
          <w:jc w:val="center"/>
        </w:trPr>
        <w:tc>
          <w:tcPr>
            <w:tcW w:w="4253" w:type="dxa"/>
            <w:vAlign w:val="center"/>
          </w:tcPr>
          <w:p>
            <w:pPr>
              <w:snapToGrid w:val="0"/>
              <w:rPr>
                <w:rFonts w:ascii="微软雅黑" w:eastAsia="微软雅黑" w:hAnsi="微软雅黑" w:cs="宋体"/>
                <w:b/>
                <w:bCs/>
                <w:kern w:val="0"/>
                <w:sz w:val="24"/>
                <w:szCs w:val="24"/>
              </w:rPr>
            </w:pPr>
            <w:r w:rsidRPr="0069697E">
              <w:rPr>
                <w:rFonts w:ascii="微软雅黑" w:eastAsia="微软雅黑" w:hAnsi="微软雅黑" w:cs="宋体" w:hint="eastAsia"/>
                <w:b/>
                <w:bCs/>
                <w:color w:val="2E74B5"/>
                <w:kern w:val="0"/>
                <w:sz w:val="24"/>
                <w:szCs w:val="24"/>
              </w:rPr>
              <w:t xml:space="preserve">讲师</w:t>
            </w:r>
            <w:r w:rsidRPr="0069697E">
              <w:rPr>
                <w:rFonts w:ascii="微软雅黑" w:eastAsia="微软雅黑" w:hAnsi="微软雅黑" w:cs="宋体"/>
                <w:b/>
                <w:bCs/>
                <w:color w:val="2E74B5"/>
                <w:kern w:val="0"/>
                <w:sz w:val="24"/>
                <w:szCs w:val="24"/>
              </w:rPr>
              <w:t xml:space="preserve">/Lecturer</w:t>
            </w:r>
            <w:r w:rsidRPr="0069697E">
              <w:rPr>
                <w:rFonts w:ascii="微软雅黑" w:eastAsia="微软雅黑" w:hAnsi="微软雅黑" w:cs="宋体" w:hint="eastAsia"/>
                <w:b/>
                <w:bCs/>
                <w:color w:val="2E74B5"/>
                <w:kern w:val="0"/>
                <w:sz w:val="24"/>
                <w:szCs w:val="24"/>
              </w:rPr>
              <w:t xml:space="preserve">：</w:t>
            </w:r>
            <w:r>
              <w:rPr>
                <w:rFonts w:ascii="微软雅黑" w:eastAsia="微软雅黑" w:hAnsi="微软雅黑" w:cs="宋体" w:hint="eastAsia"/>
                <w:bCs/>
                <w:color w:val="404040" w:themeColor="text1" w:themeTint="BF"/>
                <w:kern w:val="0"/>
                <w:sz w:val="24"/>
                <w:szCs w:val="24"/>
              </w:rPr>
              <w:t xml:space="preserve">王老师</w:t>
            </w:r>
          </w:p>
        </w:tc>
        <w:tc>
          <w:tcPr>
            <w:tcW w:w="3402" w:type="dxa"/>
            <w:vAlign w:val="center"/>
          </w:tcPr>
          <w:p>
            <w:pPr>
              <w:snapToGrid w:val="0"/>
              <w:rPr>
                <w:rFonts w:ascii="微软雅黑" w:eastAsia="微软雅黑" w:hAnsi="微软雅黑" w:cs="宋体"/>
                <w:b/>
                <w:bCs/>
                <w:kern w:val="0"/>
                <w:sz w:val="24"/>
                <w:szCs w:val="24"/>
              </w:rPr>
            </w:pPr>
            <w:r w:rsidRPr="0069697E">
              <w:rPr>
                <w:rFonts w:ascii="微软雅黑" w:eastAsia="微软雅黑" w:hAnsi="微软雅黑" w:cs="宋体" w:hint="eastAsia"/>
                <w:b/>
                <w:bCs/>
                <w:color w:val="2E74B5"/>
                <w:kern w:val="0"/>
                <w:sz w:val="24"/>
                <w:szCs w:val="24"/>
              </w:rPr>
              <w:t xml:space="preserve">费用</w:t>
            </w:r>
            <w:r w:rsidRPr="0069697E">
              <w:rPr>
                <w:rFonts w:ascii="微软雅黑" w:eastAsia="微软雅黑" w:hAnsi="微软雅黑" w:cs="宋体"/>
                <w:b/>
                <w:bCs/>
                <w:color w:val="2E74B5"/>
                <w:kern w:val="0"/>
                <w:sz w:val="24"/>
                <w:szCs w:val="24"/>
              </w:rPr>
              <w:t xml:space="preserve">/Price</w:t>
            </w:r>
            <w:r w:rsidRPr="0069697E">
              <w:rPr>
                <w:rFonts w:ascii="微软雅黑" w:eastAsia="微软雅黑" w:hAnsi="微软雅黑" w:cs="宋体" w:hint="eastAsia"/>
                <w:b/>
                <w:bCs/>
                <w:color w:val="2E74B5"/>
                <w:kern w:val="0"/>
                <w:sz w:val="24"/>
                <w:szCs w:val="24"/>
              </w:rPr>
              <w:t xml:space="preserve">：</w:t>
            </w:r>
            <w:r>
              <w:rPr>
                <w:rFonts w:ascii="微软雅黑" w:eastAsia="微软雅黑" w:hAnsi="微软雅黑" w:cs="宋体" w:hint="eastAsia"/>
                <w:bCs/>
                <w:color w:val="404040" w:themeColor="text1" w:themeTint="BF"/>
                <w:kern w:val="0"/>
                <w:sz w:val="24"/>
                <w:szCs w:val="24"/>
              </w:rPr>
              <w:t xml:space="preserve">¥5280元</w:t>
            </w:r>
            <w:r>
              <w:rPr>
                <w:rFonts w:ascii="微软雅黑" w:eastAsia="微软雅黑" w:hAnsi="微软雅黑" w:cs="宋体"/>
                <w:bCs/>
                <w:color w:val="404040" w:themeColor="text1" w:themeTint="BF"/>
                <w:kern w:val="0"/>
                <w:sz w:val="24"/>
                <w:szCs w:val="24"/>
              </w:rPr>
              <w:t xml:space="preserve">/</w:t>
            </w:r>
            <w:r>
              <w:rPr>
                <w:rFonts w:ascii="微软雅黑" w:eastAsia="微软雅黑" w:hAnsi="微软雅黑" w:cs="宋体" w:hint="eastAsia"/>
                <w:bCs/>
                <w:color w:val="404040" w:themeColor="text1" w:themeTint="BF"/>
                <w:kern w:val="0"/>
                <w:sz w:val="24"/>
                <w:szCs w:val="24"/>
              </w:rPr>
              <w:t xml:space="preserve">人</w:t>
            </w:r>
          </w:p>
        </w:tc>
      </w:tr>
    </w:tbl>
    <w:p>
      <w:pPr>
        <w:snapToGrid w:val="0"/>
        <w:spacing w:line="288" w:lineRule="auto"/>
        <w:rPr>
          <w:rFonts w:ascii="微软雅黑" w:eastAsia="微软雅黑" w:hAnsi="微软雅黑" w:cs="微软雅黑"/>
          <w:color w:val="404040" w:themeColor="text1" w:themeTint="BF"/>
          <w:kern w:val="0"/>
          <w:sz w:val="20"/>
          <w:szCs w:val="20"/>
        </w:rPr>
      </w:pPr>
    </w:p>
    <w:p>
      <w:pPr>
        <w:snapToGrid w:val="0"/>
        <w:spacing w:line="288" w:lineRule="auto"/>
        <w:rPr>
          <w:rFonts w:ascii="微软雅黑" w:eastAsia="微软雅黑" w:hAnsi="微软雅黑" w:cs="微软雅黑"/>
          <w:color w:val="404040" w:themeColor="text1" w:themeTint="BF"/>
          <w:kern w:val="0"/>
          <w:sz w:val="20"/>
          <w:szCs w:val="20"/>
        </w:rPr>
      </w:pPr>
    </w:p>
    <w:p>
      <w:pPr>
        <w:snapToGrid w:val="0"/>
        <w:rPr>
          <w:rFonts w:ascii="微软雅黑" w:eastAsia="微软雅黑" w:hAnsi="微软雅黑" w:cs="微软雅黑"/>
          <w:color w:val="2E74B5"/>
          <w:kern w:val="0"/>
          <w:sz w:val="20"/>
          <w:szCs w:val="20"/>
        </w:rPr>
      </w:pPr>
      <w:r w:rsidRPr="0069697E">
        <w:rPr>
          <w:rFonts w:ascii="微软雅黑" w:eastAsia="微软雅黑" w:hAnsi="微软雅黑" w:cs="宋体" w:hint="eastAsia"/>
          <w:b/>
          <w:bCs/>
          <w:color w:val="2E74B5"/>
          <w:kern w:val="0"/>
          <w:sz w:val="26"/>
          <w:szCs w:val="26"/>
        </w:rPr>
        <w:t xml:space="preserve">课程排期/</w:t>
      </w:r>
      <w:r w:rsidRPr="0069697E">
        <w:rPr>
          <w:rFonts w:ascii="微软雅黑" w:eastAsia="微软雅黑" w:hAnsi="微软雅黑" w:cs="宋体"/>
          <w:b/>
          <w:bCs/>
          <w:color w:val="2E74B5"/>
          <w:kern w:val="0"/>
          <w:sz w:val="26"/>
          <w:szCs w:val="26"/>
        </w:rPr>
        <w:t xml:space="preserve">Scheduling</w:t>
      </w:r>
    </w:p>
    <w:p>
      <w:pPr>
        <w:pStyle w:val="ListParagraph"/>
        <w:ind w:firstLine="0" w:firstLineChars="0"/>
        <w:rPr>
          <w:rFonts w:ascii="微软雅黑" w:eastAsia="微软雅黑" w:hAnsi="微软雅黑"/>
          <w:color w:val="595959"/>
          <w:sz w:val="16"/>
          <w:szCs w:val="16"/>
        </w:rPr>
      </w:pPr>
    </w:p>
    <w:p>
      <w:pPr/>
      <w:r>
        <w:rPr>
          <w:rFonts w:ascii="微软雅黑" w:eastAsia="微软雅黑" w:hAnsi="微软雅黑" w:cs="微软雅黑"/>
          <w:b/>
          <w:color w:val="000000"/>
          <w:sz w:val="20"/>
        </w:rPr>
        <w:t xml:space="preserve">深圳：2024年08月15日-16日</w:t>
      </w:r>
    </w:p>
    <w:p>
      <w:pPr>
        <w:rPr/>
      </w:pPr>
      <w:r>
        <w:rPr>
          <w:rFonts w:ascii="微软雅黑" w:eastAsia="微软雅黑" w:hAnsi="微软雅黑" w:cs="微软雅黑"/>
          <w:b/>
          <w:color w:val="000000"/>
          <w:sz w:val="20"/>
        </w:rPr>
        <w:t xml:space="preserve">上海：2024年10月18日-19日</w:t>
      </w:r>
    </w:p>
    <w:p>
      <w:pPr>
        <w:rPr/>
      </w:pPr>
      <w:r>
        <w:rPr>
          <w:rFonts w:ascii="微软雅黑" w:eastAsia="微软雅黑" w:hAnsi="微软雅黑" w:cs="微软雅黑"/>
          <w:b/>
          <w:color w:val="000000"/>
          <w:sz w:val="20"/>
        </w:rPr>
        <w:t xml:space="preserve">北京：2024年12月18日-19日</w:t>
      </w:r>
    </w:p>
    <w:p>
      <w:pPr>
        <w:rPr/>
      </w:pPr>
    </w:p>
    <w:p>
      <w:pPr/>
      <w:r>
        <w:rPr>
          <w:rFonts w:ascii="微软雅黑" w:eastAsia="微软雅黑" w:hAnsi="微软雅黑" w:cs="微软雅黑"/>
          <w:b/>
          <w:color w:val="2E74B5"/>
          <w:sz w:val="26"/>
        </w:rPr>
      </w:r>
    </w:p>
    <w:p>
      <w:pPr>
        <w:rPr/>
      </w:pPr>
      <w:r>
        <w:rPr>
          <w:rFonts w:ascii="微软雅黑" w:eastAsia="微软雅黑" w:hAnsi="微软雅黑" w:cs="微软雅黑"/>
          <w:b/>
          <w:color w:val="2E74B5"/>
          <w:sz w:val="26"/>
        </w:rPr>
        <w:t xml:space="preserve">课程概述/Overview</w:t>
      </w:r>
    </w:p>
    <w:p>
      <w:pPr/>
      <w:r>
        <w:rPr>
          <w:rFonts w:ascii="微软雅黑" w:eastAsia="微软雅黑" w:hAnsi="微软雅黑" w:cs="微软雅黑"/>
          <w:b/>
          <w:color w:val="000000"/>
          <w:sz w:val="22"/>
        </w:rPr>
        <w:t xml:space="preserve">课程背景：</w:t>
      </w:r>
    </w:p>
    <w:p>
      <w:pPr>
        <w:rPr/>
      </w:pPr>
      <w:r>
        <w:rPr>
          <w:rFonts w:ascii="微软雅黑" w:eastAsia="微软雅黑" w:hAnsi="微软雅黑" w:cs="微软雅黑"/>
          <w:sz w:val="20"/>
        </w:rPr>
        <w:t xml:space="preserve">人效提升，降本增效是企业管理层很关注的一个话题，在业务的发展过程中，企业的管理者希望以最优的人力成本创造企业最高的业绩，所以对于人力资源管理者来说人效的提升成为了新的一年在人力资源领域的一个挑战。</w:t>
      </w:r>
    </w:p>
    <w:p>
      <w:pPr>
        <w:rPr/>
      </w:pPr>
      <w:r>
        <w:rPr>
          <w:rFonts w:ascii="微软雅黑" w:eastAsia="微软雅黑" w:hAnsi="微软雅黑" w:cs="微软雅黑"/>
          <w:sz w:val="20"/>
        </w:rPr>
        <w:t xml:space="preserve">要完成企业的降本增效，实现人效的提升，作为HR首先要了解人效的定义和计算，什么是人效，为什么要做人效指标的分析，人效分析的流程是什么样，如何对人效指标进行数据化的建模，如何通过人效模型进行人效的分析解读，我们通过系列的人效数据分析课程。帮助HR从业者从HR的角度来进行企业的降本增效。</w:t>
      </w:r>
    </w:p>
    <w:p>
      <w:pPr>
        <w:rPr/>
      </w:pPr>
      <w:r>
        <w:rPr>
          <w:rFonts w:ascii="微软雅黑" w:eastAsia="微软雅黑" w:hAnsi="微软雅黑" w:cs="微软雅黑"/>
          <w:sz w:val="20"/>
        </w:rPr>
      </w:r>
    </w:p>
    <w:p>
      <w:pPr>
        <w:rPr/>
      </w:pPr>
      <w:r>
        <w:rPr>
          <w:rFonts w:ascii="微软雅黑" w:eastAsia="微软雅黑" w:hAnsi="微软雅黑" w:cs="微软雅黑"/>
          <w:b/>
          <w:color w:val="000000"/>
          <w:sz w:val="22"/>
        </w:rPr>
        <w:t xml:space="preserve">课程收益：</w:t>
      </w:r>
    </w:p>
    <w:p>
      <w:pPr>
        <w:rPr/>
      </w:pPr>
      <w:r>
        <w:rPr>
          <w:rFonts w:ascii="微软雅黑" w:eastAsia="微软雅黑" w:hAnsi="微软雅黑" w:cs="微软雅黑"/>
          <w:sz w:val="20"/>
        </w:rPr>
        <w:t xml:space="preserve">掌握人效的指标定义和计算方式，AI 工具的使用</w:t>
      </w:r>
    </w:p>
    <w:p>
      <w:pPr>
        <w:rPr/>
      </w:pPr>
      <w:r>
        <w:rPr>
          <w:rFonts w:ascii="微软雅黑" w:eastAsia="微软雅黑" w:hAnsi="微软雅黑" w:cs="微软雅黑"/>
          <w:sz w:val="20"/>
        </w:rPr>
        <w:t xml:space="preserve">学会获取行业的人效数据并进行数据对标和分析</w:t>
      </w:r>
    </w:p>
    <w:p>
      <w:pPr>
        <w:rPr/>
      </w:pPr>
      <w:r>
        <w:rPr>
          <w:rFonts w:ascii="微软雅黑" w:eastAsia="微软雅黑" w:hAnsi="微软雅黑" w:cs="微软雅黑"/>
          <w:sz w:val="20"/>
        </w:rPr>
        <w:t xml:space="preserve">能进行人效的可视化数据仪表盘构建并分析</w:t>
      </w:r>
    </w:p>
    <w:p>
      <w:pPr>
        <w:rPr/>
      </w:pPr>
      <w:r>
        <w:rPr>
          <w:rFonts w:ascii="微软雅黑" w:eastAsia="微软雅黑" w:hAnsi="微软雅黑" w:cs="微软雅黑"/>
          <w:sz w:val="20"/>
        </w:rPr>
        <w:t xml:space="preserve">具备数据化的思维，人力成本数据的管控和策略制定</w:t>
      </w:r>
    </w:p>
    <w:p>
      <w:pPr>
        <w:rPr/>
      </w:pPr>
      <w:r>
        <w:rPr>
          <w:rFonts w:ascii="微软雅黑" w:eastAsia="微软雅黑" w:hAnsi="微软雅黑" w:cs="微软雅黑"/>
          <w:sz w:val="20"/>
        </w:rPr>
        <w:t xml:space="preserve">实操落地，各模块数据建模分析，降本增效</w:t>
      </w:r>
    </w:p>
    <w:p>
      <w:pPr>
        <w:rPr/>
      </w:pPr>
      <w:r>
        <w:rPr>
          <w:rFonts w:ascii="微软雅黑" w:eastAsia="微软雅黑" w:hAnsi="微软雅黑" w:cs="微软雅黑"/>
          <w:sz w:val="20"/>
        </w:rPr>
      </w:r>
    </w:p>
    <w:p>
      <w:pPr>
        <w:rPr/>
      </w:pPr>
      <w:r>
        <w:rPr>
          <w:rFonts w:ascii="微软雅黑" w:eastAsia="微软雅黑" w:hAnsi="微软雅黑" w:cs="微软雅黑"/>
          <w:b/>
          <w:color w:val="000000"/>
          <w:sz w:val="22"/>
        </w:rPr>
        <w:t xml:space="preserve">课程对象：</w:t>
      </w:r>
    </w:p>
    <w:p>
      <w:pPr>
        <w:rPr/>
      </w:pPr>
      <w:r>
        <w:rPr>
          <w:rFonts w:ascii="微软雅黑" w:eastAsia="微软雅黑" w:hAnsi="微软雅黑" w:cs="微软雅黑"/>
          <w:sz w:val="20"/>
        </w:rPr>
        <w:t xml:space="preserve">人力资源各模块从业者，人力资源三支柱人员 HRBP,SSC ,COE等</w:t>
      </w:r>
    </w:p>
    <w:p>
      <w:pPr>
        <w:rPr/>
      </w:pPr>
    </w:p>
    <w:p>
      <w:pPr/>
      <w:r>
        <w:rPr>
          <w:rFonts w:ascii="微软雅黑" w:eastAsia="微软雅黑" w:hAnsi="微软雅黑" w:cs="微软雅黑"/>
          <w:b/>
          <w:color w:val="2E74B5"/>
          <w:sz w:val="26"/>
        </w:rPr>
      </w:r>
    </w:p>
    <w:p>
      <w:pPr>
        <w:rPr/>
      </w:pPr>
      <w:r>
        <w:rPr>
          <w:rFonts w:ascii="微软雅黑" w:eastAsia="微软雅黑" w:hAnsi="微软雅黑" w:cs="微软雅黑"/>
          <w:b/>
          <w:color w:val="2E74B5"/>
          <w:sz w:val="26"/>
        </w:rPr>
        <w:t xml:space="preserve">课程大纲/Outline</w:t>
      </w:r>
      <w:r/>
    </w:p>
    <w:p>
      <w:pPr>
        <w:rPr/>
      </w:pPr>
      <w:r>
        <w:rPr>
          <w:rFonts w:ascii="微软雅黑" w:eastAsia="微软雅黑" w:hAnsi="微软雅黑" w:cs="微软雅黑"/>
          <w:b/>
          <w:color w:val="000000"/>
          <w:sz w:val="22"/>
        </w:rPr>
        <w:t xml:space="preserve">一、人力资源数字化驱动人效提升</w:t>
      </w:r>
    </w:p>
    <w:p>
      <w:pPr>
        <w:rPr/>
      </w:pPr>
      <w:r>
        <w:rPr>
          <w:rFonts w:ascii="微软雅黑" w:eastAsia="微软雅黑" w:hAnsi="微软雅黑" w:cs="微软雅黑"/>
          <w:sz w:val="20"/>
        </w:rPr>
        <w:t xml:space="preserve">1、人力资源数字化的价值和发展趋势</w:t>
      </w:r>
    </w:p>
    <w:p>
      <w:pPr>
        <w:rPr/>
      </w:pPr>
      <w:r>
        <w:rPr>
          <w:rFonts w:ascii="微软雅黑" w:eastAsia="微软雅黑" w:hAnsi="微软雅黑" w:cs="微软雅黑"/>
          <w:sz w:val="20"/>
        </w:rPr>
        <w:t xml:space="preserve">2、人效数据分析的 数据标准化 ，可视化，业务化 ，体系化 ，智能化</w:t>
      </w:r>
    </w:p>
    <w:p>
      <w:pPr>
        <w:rPr/>
      </w:pPr>
      <w:r>
        <w:rPr>
          <w:rFonts w:ascii="微软雅黑" w:eastAsia="微软雅黑" w:hAnsi="微软雅黑" w:cs="微软雅黑"/>
          <w:sz w:val="20"/>
        </w:rPr>
        <w:t xml:space="preserve">3、企业内部数据化人力成本效能体系构建的底层逻辑</w:t>
      </w:r>
    </w:p>
    <w:p>
      <w:pPr>
        <w:rPr/>
      </w:pPr>
      <w:r>
        <w:rPr>
          <w:rFonts w:ascii="微软雅黑" w:eastAsia="微软雅黑" w:hAnsi="微软雅黑" w:cs="微软雅黑"/>
          <w:sz w:val="20"/>
        </w:rPr>
      </w:r>
    </w:p>
    <w:p>
      <w:pPr>
        <w:rPr/>
      </w:pPr>
      <w:r>
        <w:rPr>
          <w:rFonts w:ascii="微软雅黑" w:eastAsia="微软雅黑" w:hAnsi="微软雅黑" w:cs="微软雅黑"/>
          <w:b/>
          <w:color w:val="000000"/>
          <w:sz w:val="22"/>
        </w:rPr>
        <w:t xml:space="preserve">二、人力成本效能数据分析流程5步骤</w:t>
      </w:r>
    </w:p>
    <w:p>
      <w:pPr>
        <w:rPr/>
      </w:pPr>
      <w:r>
        <w:rPr>
          <w:rFonts w:ascii="微软雅黑" w:eastAsia="微软雅黑" w:hAnsi="微软雅黑" w:cs="微软雅黑"/>
          <w:sz w:val="20"/>
        </w:rPr>
        <w:t xml:space="preserve">1、人效数据分析中的历史数据</w:t>
      </w:r>
    </w:p>
    <w:p>
      <w:pPr>
        <w:rPr/>
      </w:pPr>
      <w:r>
        <w:rPr>
          <w:rFonts w:ascii="微软雅黑" w:eastAsia="微软雅黑" w:hAnsi="微软雅黑" w:cs="微软雅黑"/>
          <w:sz w:val="20"/>
        </w:rPr>
        <w:t xml:space="preserve">2、人效数据记录表 – 财务数据，人力数据标准表</w:t>
      </w:r>
    </w:p>
    <w:p>
      <w:pPr>
        <w:rPr/>
      </w:pPr>
      <w:r>
        <w:rPr>
          <w:rFonts w:ascii="微软雅黑" w:eastAsia="微软雅黑" w:hAnsi="微软雅黑" w:cs="微软雅黑"/>
          <w:sz w:val="20"/>
        </w:rPr>
        <w:t xml:space="preserve">3、人效关键指标的选择和计算</w:t>
      </w:r>
    </w:p>
    <w:p>
      <w:pPr>
        <w:rPr/>
      </w:pPr>
      <w:r>
        <w:rPr>
          <w:rFonts w:ascii="微软雅黑" w:eastAsia="微软雅黑" w:hAnsi="微软雅黑" w:cs="微软雅黑"/>
          <w:sz w:val="20"/>
        </w:rPr>
        <w:t xml:space="preserve">4、人效数据建模 – 表单控件和人效数据仪表盘</w:t>
      </w:r>
    </w:p>
    <w:p>
      <w:pPr>
        <w:rPr/>
      </w:pPr>
      <w:r>
        <w:rPr>
          <w:rFonts w:ascii="微软雅黑" w:eastAsia="微软雅黑" w:hAnsi="微软雅黑" w:cs="微软雅黑"/>
          <w:sz w:val="20"/>
        </w:rPr>
        <w:t xml:space="preserve">5、人力成本数据分析报告和分析思维</w:t>
      </w:r>
    </w:p>
    <w:p>
      <w:pPr>
        <w:rPr/>
      </w:pPr>
      <w:r>
        <w:rPr>
          <w:rFonts w:ascii="微软雅黑" w:eastAsia="微软雅黑" w:hAnsi="微软雅黑" w:cs="微软雅黑"/>
          <w:sz w:val="20"/>
        </w:rPr>
      </w:r>
    </w:p>
    <w:p>
      <w:pPr>
        <w:rPr/>
      </w:pPr>
      <w:r>
        <w:rPr>
          <w:rFonts w:ascii="微软雅黑" w:eastAsia="微软雅黑" w:hAnsi="微软雅黑" w:cs="微软雅黑"/>
          <w:b/>
          <w:color w:val="000000"/>
          <w:sz w:val="22"/>
        </w:rPr>
        <w:t xml:space="preserve">三、数字化 + AI 人效数据分析关键指标</w:t>
      </w:r>
    </w:p>
    <w:p>
      <w:pPr>
        <w:rPr/>
      </w:pPr>
      <w:r>
        <w:rPr>
          <w:rFonts w:ascii="微软雅黑" w:eastAsia="微软雅黑" w:hAnsi="微软雅黑" w:cs="微软雅黑"/>
          <w:sz w:val="20"/>
        </w:rPr>
        <w:t xml:space="preserve">1、人效数据指标选取和定义 </w:t>
      </w:r>
    </w:p>
    <w:p>
      <w:pPr>
        <w:rPr/>
      </w:pPr>
      <w:r>
        <w:rPr>
          <w:rFonts w:ascii="微软雅黑" w:eastAsia="微软雅黑" w:hAnsi="微软雅黑" w:cs="微软雅黑"/>
          <w:sz w:val="20"/>
        </w:rPr>
        <w:t xml:space="preserve">•人力成本效能</w:t>
      </w:r>
    </w:p>
    <w:p>
      <w:pPr>
        <w:rPr/>
      </w:pPr>
      <w:r>
        <w:rPr>
          <w:rFonts w:ascii="微软雅黑" w:eastAsia="微软雅黑" w:hAnsi="微软雅黑" w:cs="微软雅黑"/>
          <w:sz w:val="20"/>
        </w:rPr>
        <w:t xml:space="preserve">•人力成本利润效率</w:t>
      </w:r>
    </w:p>
    <w:p>
      <w:pPr>
        <w:rPr/>
      </w:pPr>
      <w:r>
        <w:rPr>
          <w:rFonts w:ascii="微软雅黑" w:eastAsia="微软雅黑" w:hAnsi="微软雅黑" w:cs="微软雅黑"/>
          <w:sz w:val="20"/>
        </w:rPr>
        <w:t xml:space="preserve">•人力成本结构</w:t>
      </w:r>
    </w:p>
    <w:p>
      <w:pPr>
        <w:rPr/>
      </w:pPr>
      <w:r>
        <w:rPr>
          <w:rFonts w:ascii="微软雅黑" w:eastAsia="微软雅黑" w:hAnsi="微软雅黑" w:cs="微软雅黑"/>
          <w:sz w:val="20"/>
        </w:rPr>
        <w:t xml:space="preserve">•全员劳动生产率</w:t>
      </w:r>
    </w:p>
    <w:p>
      <w:pPr>
        <w:rPr/>
      </w:pPr>
      <w:r>
        <w:rPr>
          <w:rFonts w:ascii="微软雅黑" w:eastAsia="微软雅黑" w:hAnsi="微软雅黑" w:cs="微软雅黑"/>
          <w:sz w:val="20"/>
        </w:rPr>
        <w:t xml:space="preserve">•人均人力成本</w:t>
      </w:r>
    </w:p>
    <w:p>
      <w:pPr>
        <w:rPr/>
      </w:pPr>
      <w:r>
        <w:rPr>
          <w:rFonts w:ascii="微软雅黑" w:eastAsia="微软雅黑" w:hAnsi="微软雅黑" w:cs="微软雅黑"/>
          <w:sz w:val="20"/>
        </w:rPr>
        <w:t xml:space="preserve">•人力成本含量</w:t>
      </w:r>
    </w:p>
    <w:p>
      <w:pPr>
        <w:rPr/>
      </w:pPr>
      <w:r>
        <w:rPr>
          <w:rFonts w:ascii="微软雅黑" w:eastAsia="微软雅黑" w:hAnsi="微软雅黑" w:cs="微软雅黑"/>
          <w:sz w:val="20"/>
        </w:rPr>
        <w:t xml:space="preserve">2、人效指标的三类数据 – 经营性指标，人均指标数据，健康度指标</w:t>
      </w:r>
    </w:p>
    <w:p>
      <w:pPr>
        <w:rPr/>
      </w:pPr>
      <w:r>
        <w:rPr>
          <w:rFonts w:ascii="微软雅黑" w:eastAsia="微软雅黑" w:hAnsi="微软雅黑" w:cs="微软雅黑"/>
          <w:sz w:val="20"/>
        </w:rPr>
        <w:t xml:space="preserve">3、如何计算职能部门的人效</w:t>
      </w:r>
    </w:p>
    <w:p>
      <w:pPr>
        <w:rPr/>
      </w:pPr>
      <w:r>
        <w:rPr>
          <w:rFonts w:ascii="微软雅黑" w:eastAsia="微软雅黑" w:hAnsi="微软雅黑" w:cs="微软雅黑"/>
          <w:sz w:val="20"/>
        </w:rPr>
        <w:t xml:space="preserve">4、人力资源中的 招聘人效和培训人效指标</w:t>
      </w:r>
    </w:p>
    <w:p>
      <w:pPr>
        <w:rPr/>
      </w:pPr>
      <w:r>
        <w:rPr>
          <w:rFonts w:ascii="微软雅黑" w:eastAsia="微软雅黑" w:hAnsi="微软雅黑" w:cs="微软雅黑"/>
          <w:sz w:val="20"/>
        </w:rPr>
        <w:t xml:space="preserve">5、如何应用 AI 搜索财务和人力数据，并自动计算公司的人效指标数据</w:t>
      </w:r>
    </w:p>
    <w:p>
      <w:pPr>
        <w:rPr/>
      </w:pPr>
      <w:r>
        <w:rPr>
          <w:rFonts w:ascii="微软雅黑" w:eastAsia="微软雅黑" w:hAnsi="微软雅黑" w:cs="微软雅黑"/>
          <w:sz w:val="20"/>
        </w:rPr>
        <w:t xml:space="preserve">6、如何用AI 工具 计算行业人效数据 ，并与公司的人效指标进行对标</w:t>
      </w:r>
    </w:p>
    <w:p>
      <w:pPr>
        <w:rPr/>
      </w:pPr>
      <w:r>
        <w:rPr>
          <w:rFonts w:ascii="微软雅黑" w:eastAsia="微软雅黑" w:hAnsi="微软雅黑" w:cs="微软雅黑"/>
          <w:sz w:val="20"/>
        </w:rPr>
        <w:t xml:space="preserve">7、用AI 生成公司的人效数据分析报告，并给出解决方案</w:t>
      </w:r>
    </w:p>
    <w:p>
      <w:pPr>
        <w:rPr/>
      </w:pPr>
      <w:r>
        <w:rPr>
          <w:rFonts w:ascii="微软雅黑" w:eastAsia="微软雅黑" w:hAnsi="微软雅黑" w:cs="微软雅黑"/>
          <w:sz w:val="20"/>
        </w:rPr>
        <w:t xml:space="preserve">案例实操：计算某家电商公司的年度关键人效数据，并用AI 获取行业竞争对手的人效数据，并对人效数据进行对标分析，生成人效数据分析报告。</w:t>
      </w:r>
    </w:p>
    <w:p>
      <w:pPr>
        <w:rPr/>
      </w:pPr>
      <w:r>
        <w:rPr>
          <w:rFonts w:ascii="微软雅黑" w:eastAsia="微软雅黑" w:hAnsi="微软雅黑" w:cs="微软雅黑"/>
          <w:sz w:val="20"/>
        </w:rPr>
      </w:r>
    </w:p>
    <w:p>
      <w:pPr>
        <w:rPr/>
      </w:pPr>
      <w:r>
        <w:rPr>
          <w:rFonts w:ascii="微软雅黑" w:eastAsia="微软雅黑" w:hAnsi="微软雅黑" w:cs="微软雅黑"/>
          <w:b/>
          <w:color w:val="000000"/>
          <w:sz w:val="22"/>
        </w:rPr>
        <w:t xml:space="preserve">四、人效分析中的 人力成本和人员编制预测分析</w:t>
      </w:r>
    </w:p>
    <w:p>
      <w:pPr>
        <w:rPr/>
      </w:pPr>
      <w:r>
        <w:rPr>
          <w:rFonts w:ascii="微软雅黑" w:eastAsia="微软雅黑" w:hAnsi="微软雅黑" w:cs="微软雅黑"/>
          <w:sz w:val="20"/>
        </w:rPr>
        <w:t xml:space="preserve">1、人力成本4大类结构 – 人工成本，招聘成本，培训成本，离职成本</w:t>
      </w:r>
    </w:p>
    <w:p>
      <w:pPr>
        <w:rPr/>
      </w:pPr>
      <w:r>
        <w:rPr>
          <w:rFonts w:ascii="微软雅黑" w:eastAsia="微软雅黑" w:hAnsi="微软雅黑" w:cs="微软雅黑"/>
          <w:sz w:val="20"/>
        </w:rPr>
        <w:t xml:space="preserve">2、人力成本的显性成本和隐形成本</w:t>
      </w:r>
    </w:p>
    <w:p>
      <w:pPr>
        <w:rPr/>
      </w:pPr>
      <w:r>
        <w:rPr>
          <w:rFonts w:ascii="微软雅黑" w:eastAsia="微软雅黑" w:hAnsi="微软雅黑" w:cs="微软雅黑"/>
          <w:sz w:val="20"/>
        </w:rPr>
        <w:t xml:space="preserve">3、如何计算离职成本中的隐形成本</w:t>
      </w:r>
    </w:p>
    <w:p>
      <w:pPr>
        <w:rPr/>
      </w:pPr>
      <w:r>
        <w:rPr>
          <w:rFonts w:ascii="微软雅黑" w:eastAsia="微软雅黑" w:hAnsi="微软雅黑" w:cs="微软雅黑"/>
          <w:sz w:val="20"/>
        </w:rPr>
        <w:t xml:space="preserve">4、营业收入和营业成本的线性回归预测</w:t>
      </w:r>
    </w:p>
    <w:p>
      <w:pPr>
        <w:rPr/>
      </w:pPr>
      <w:r>
        <w:rPr>
          <w:rFonts w:ascii="微软雅黑" w:eastAsia="微软雅黑" w:hAnsi="微软雅黑" w:cs="微软雅黑"/>
          <w:sz w:val="20"/>
        </w:rPr>
        <w:t xml:space="preserve">5、根据年度营收数据进行年度人力成本的预测计算</w:t>
      </w:r>
    </w:p>
    <w:p>
      <w:pPr>
        <w:rPr/>
      </w:pPr>
      <w:r>
        <w:rPr>
          <w:rFonts w:ascii="微软雅黑" w:eastAsia="微软雅黑" w:hAnsi="微软雅黑" w:cs="微软雅黑"/>
          <w:sz w:val="20"/>
        </w:rPr>
        <w:t xml:space="preserve">6、人员编制规划预算的四种方法</w:t>
      </w:r>
    </w:p>
    <w:p>
      <w:pPr>
        <w:rPr/>
      </w:pPr>
      <w:r>
        <w:rPr>
          <w:rFonts w:ascii="微软雅黑" w:eastAsia="微软雅黑" w:hAnsi="微软雅黑" w:cs="微软雅黑"/>
          <w:sz w:val="20"/>
        </w:rPr>
        <w:t xml:space="preserve">•历史回归分析发</w:t>
      </w:r>
    </w:p>
    <w:p>
      <w:pPr>
        <w:rPr/>
      </w:pPr>
      <w:r>
        <w:rPr>
          <w:rFonts w:ascii="微软雅黑" w:eastAsia="微软雅黑" w:hAnsi="微软雅黑" w:cs="微软雅黑"/>
          <w:sz w:val="20"/>
        </w:rPr>
        <w:t xml:space="preserve">•人员配比法</w:t>
      </w:r>
    </w:p>
    <w:p>
      <w:pPr>
        <w:rPr/>
      </w:pPr>
      <w:r>
        <w:rPr>
          <w:rFonts w:ascii="微软雅黑" w:eastAsia="微软雅黑" w:hAnsi="微软雅黑" w:cs="微软雅黑"/>
          <w:sz w:val="20"/>
        </w:rPr>
        <w:t xml:space="preserve">•业务数据的拆解，编制计算法</w:t>
      </w:r>
    </w:p>
    <w:p>
      <w:pPr>
        <w:rPr/>
      </w:pPr>
      <w:r>
        <w:rPr>
          <w:rFonts w:ascii="微软雅黑" w:eastAsia="微软雅黑" w:hAnsi="微软雅黑" w:cs="微软雅黑"/>
          <w:sz w:val="20"/>
        </w:rPr>
        <w:t xml:space="preserve">•关键人效数据标准的编制计算</w:t>
      </w:r>
    </w:p>
    <w:p>
      <w:pPr>
        <w:rPr/>
      </w:pPr>
      <w:r>
        <w:rPr>
          <w:rFonts w:ascii="微软雅黑" w:eastAsia="微软雅黑" w:hAnsi="微软雅黑" w:cs="微软雅黑"/>
          <w:sz w:val="20"/>
        </w:rPr>
        <w:t xml:space="preserve">案例：1计算某零售企业的年度营收和人力成本数据，用回归预测年度的人力成本数据，</w:t>
      </w:r>
    </w:p>
    <w:p>
      <w:pPr>
        <w:rPr/>
      </w:pPr>
      <w:r>
        <w:rPr>
          <w:rFonts w:ascii="微软雅黑" w:eastAsia="微软雅黑" w:hAnsi="微软雅黑" w:cs="微软雅黑"/>
          <w:sz w:val="20"/>
        </w:rPr>
        <w:t xml:space="preserve">      2、 计算一家零售企业的年度人员编制数据</w:t>
      </w:r>
    </w:p>
    <w:p>
      <w:pPr>
        <w:rPr/>
      </w:pPr>
      <w:r>
        <w:rPr>
          <w:rFonts w:ascii="微软雅黑" w:eastAsia="微软雅黑" w:hAnsi="微软雅黑" w:cs="微软雅黑"/>
          <w:sz w:val="20"/>
        </w:rPr>
      </w:r>
    </w:p>
    <w:p>
      <w:pPr>
        <w:rPr/>
      </w:pPr>
      <w:r>
        <w:rPr>
          <w:rFonts w:ascii="微软雅黑" w:eastAsia="微软雅黑" w:hAnsi="微软雅黑" w:cs="微软雅黑"/>
          <w:b/>
          <w:color w:val="000000"/>
          <w:sz w:val="22"/>
        </w:rPr>
        <w:t xml:space="preserve">五、人力资源数据分析三大维度</w:t>
      </w:r>
    </w:p>
    <w:p>
      <w:pPr>
        <w:rPr/>
      </w:pPr>
      <w:r>
        <w:rPr>
          <w:rFonts w:ascii="微软雅黑" w:eastAsia="微软雅黑" w:hAnsi="微软雅黑" w:cs="微软雅黑"/>
          <w:sz w:val="20"/>
        </w:rPr>
        <w:t xml:space="preserve">描述性统计分析</w:t>
      </w:r>
    </w:p>
    <w:p>
      <w:pPr>
        <w:rPr/>
      </w:pPr>
      <w:r>
        <w:rPr>
          <w:rFonts w:ascii="微软雅黑" w:eastAsia="微软雅黑" w:hAnsi="微软雅黑" w:cs="微软雅黑"/>
          <w:sz w:val="20"/>
        </w:rPr>
        <w:t xml:space="preserve">•算数平均值计算</w:t>
      </w:r>
    </w:p>
    <w:p>
      <w:pPr>
        <w:rPr/>
      </w:pPr>
      <w:r>
        <w:rPr>
          <w:rFonts w:ascii="微软雅黑" w:eastAsia="微软雅黑" w:hAnsi="微软雅黑" w:cs="微软雅黑"/>
          <w:sz w:val="20"/>
        </w:rPr>
        <w:t xml:space="preserve">•加权平均值计算</w:t>
      </w:r>
    </w:p>
    <w:p>
      <w:pPr>
        <w:rPr/>
      </w:pPr>
      <w:r>
        <w:rPr>
          <w:rFonts w:ascii="微软雅黑" w:eastAsia="微软雅黑" w:hAnsi="微软雅黑" w:cs="微软雅黑"/>
          <w:sz w:val="20"/>
        </w:rPr>
        <w:t xml:space="preserve">•数据频率分析</w:t>
      </w:r>
    </w:p>
    <w:p>
      <w:pPr>
        <w:rPr/>
      </w:pPr>
      <w:r>
        <w:rPr>
          <w:rFonts w:ascii="微软雅黑" w:eastAsia="微软雅黑" w:hAnsi="微软雅黑" w:cs="微软雅黑"/>
          <w:sz w:val="20"/>
        </w:rPr>
        <w:t xml:space="preserve">业务关联性数据分析</w:t>
      </w:r>
    </w:p>
    <w:p>
      <w:pPr>
        <w:rPr/>
      </w:pPr>
      <w:r>
        <w:rPr>
          <w:rFonts w:ascii="微软雅黑" w:eastAsia="微软雅黑" w:hAnsi="微软雅黑" w:cs="微软雅黑"/>
          <w:sz w:val="20"/>
        </w:rPr>
        <w:t xml:space="preserve">•绩效数据相关性分析</w:t>
      </w:r>
    </w:p>
    <w:p>
      <w:pPr>
        <w:rPr/>
      </w:pPr>
      <w:r>
        <w:rPr>
          <w:rFonts w:ascii="微软雅黑" w:eastAsia="微软雅黑" w:hAnsi="微软雅黑" w:cs="微软雅黑"/>
          <w:sz w:val="20"/>
        </w:rPr>
        <w:t xml:space="preserve">•薪酬中位值计算</w:t>
      </w:r>
    </w:p>
    <w:p>
      <w:pPr>
        <w:rPr/>
      </w:pPr>
      <w:r>
        <w:rPr>
          <w:rFonts w:ascii="微软雅黑" w:eastAsia="微软雅黑" w:hAnsi="微软雅黑" w:cs="微软雅黑"/>
          <w:sz w:val="20"/>
        </w:rPr>
        <w:t xml:space="preserve">•绩效数据线性分析</w:t>
      </w:r>
    </w:p>
    <w:p>
      <w:pPr>
        <w:rPr/>
      </w:pPr>
      <w:r>
        <w:rPr>
          <w:rFonts w:ascii="微软雅黑" w:eastAsia="微软雅黑" w:hAnsi="微软雅黑" w:cs="微软雅黑"/>
          <w:sz w:val="20"/>
        </w:rPr>
        <w:t xml:space="preserve">•人才矩阵九宫格分析</w:t>
      </w:r>
    </w:p>
    <w:p>
      <w:pPr>
        <w:rPr/>
      </w:pPr>
      <w:r>
        <w:rPr>
          <w:rFonts w:ascii="微软雅黑" w:eastAsia="微软雅黑" w:hAnsi="微软雅黑" w:cs="微软雅黑"/>
          <w:sz w:val="20"/>
        </w:rPr>
        <w:t xml:space="preserve">预测性数据分析</w:t>
      </w:r>
    </w:p>
    <w:p>
      <w:pPr>
        <w:rPr/>
      </w:pPr>
      <w:r>
        <w:rPr>
          <w:rFonts w:ascii="微软雅黑" w:eastAsia="微软雅黑" w:hAnsi="微软雅黑" w:cs="微软雅黑"/>
          <w:sz w:val="20"/>
        </w:rPr>
        <w:t xml:space="preserve">•薪酬回归分析</w:t>
      </w:r>
    </w:p>
    <w:p>
      <w:pPr>
        <w:rPr/>
      </w:pPr>
      <w:r>
        <w:rPr>
          <w:rFonts w:ascii="微软雅黑" w:eastAsia="微软雅黑" w:hAnsi="微软雅黑" w:cs="微软雅黑"/>
          <w:sz w:val="20"/>
        </w:rPr>
        <w:t xml:space="preserve">人效数据预测分析</w:t>
      </w:r>
    </w:p>
    <w:p>
      <w:pPr>
        <w:rPr/>
      </w:pPr>
      <w:r>
        <w:rPr>
          <w:rFonts w:ascii="微软雅黑" w:eastAsia="微软雅黑" w:hAnsi="微软雅黑" w:cs="微软雅黑"/>
          <w:sz w:val="20"/>
        </w:rPr>
        <w:t xml:space="preserve">案例实操 – 人力资源各模块的分析案例</w:t>
      </w:r>
    </w:p>
    <w:p>
      <w:pPr>
        <w:rPr/>
      </w:pPr>
      <w:r>
        <w:rPr>
          <w:rFonts w:ascii="微软雅黑" w:eastAsia="微软雅黑" w:hAnsi="微软雅黑" w:cs="微软雅黑"/>
          <w:sz w:val="20"/>
        </w:rPr>
      </w:r>
    </w:p>
    <w:p>
      <w:pPr>
        <w:rPr/>
      </w:pPr>
      <w:r>
        <w:rPr>
          <w:rFonts w:ascii="微软雅黑" w:eastAsia="微软雅黑" w:hAnsi="微软雅黑" w:cs="微软雅黑"/>
          <w:b/>
          <w:color w:val="000000"/>
          <w:sz w:val="22"/>
        </w:rPr>
        <w:t xml:space="preserve">六 、基于业务数据的人效数据分析思维</w:t>
      </w:r>
    </w:p>
    <w:p>
      <w:pPr>
        <w:rPr/>
      </w:pPr>
      <w:r>
        <w:rPr>
          <w:rFonts w:ascii="微软雅黑" w:eastAsia="微软雅黑" w:hAnsi="微软雅黑" w:cs="微软雅黑"/>
          <w:sz w:val="20"/>
        </w:rPr>
        <w:t xml:space="preserve">1.数据分析报告中的 数据描述 – 数据诊断 – 数据解决方案</w:t>
      </w:r>
    </w:p>
    <w:p>
      <w:pPr>
        <w:rPr/>
      </w:pPr>
      <w:r>
        <w:rPr>
          <w:rFonts w:ascii="微软雅黑" w:eastAsia="微软雅黑" w:hAnsi="微软雅黑" w:cs="微软雅黑"/>
          <w:sz w:val="20"/>
        </w:rPr>
        <w:t xml:space="preserve">2.横向时间维度的人效历史数据对标</w:t>
      </w:r>
    </w:p>
    <w:p>
      <w:pPr>
        <w:rPr/>
      </w:pPr>
      <w:r>
        <w:rPr>
          <w:rFonts w:ascii="微软雅黑" w:eastAsia="微软雅黑" w:hAnsi="微软雅黑" w:cs="微软雅黑"/>
          <w:sz w:val="20"/>
        </w:rPr>
        <w:t xml:space="preserve">3.纵向结构维度的行业数据对标</w:t>
      </w:r>
    </w:p>
    <w:p>
      <w:pPr>
        <w:rPr/>
      </w:pPr>
      <w:r>
        <w:rPr>
          <w:rFonts w:ascii="微软雅黑" w:eastAsia="微软雅黑" w:hAnsi="微软雅黑" w:cs="微软雅黑"/>
          <w:sz w:val="20"/>
        </w:rPr>
        <w:t xml:space="preserve">4.时间 – 指标 的人效交叉数据分析</w:t>
      </w:r>
    </w:p>
    <w:p>
      <w:pPr>
        <w:rPr/>
      </w:pPr>
      <w:r>
        <w:rPr>
          <w:rFonts w:ascii="微软雅黑" w:eastAsia="微软雅黑" w:hAnsi="微软雅黑" w:cs="微软雅黑"/>
          <w:sz w:val="20"/>
        </w:rPr>
        <w:t xml:space="preserve">案例： POWER BI 构建的月度业务部门的业绩和人效数据模型，并对该业务部门机型业绩和人效的数据分析。</w:t>
      </w:r>
    </w:p>
    <w:p>
      <w:pPr>
        <w:rPr/>
      </w:pPr>
      <w:r>
        <w:rPr>
          <w:rFonts w:ascii="微软雅黑" w:eastAsia="微软雅黑" w:hAnsi="微软雅黑" w:cs="微软雅黑"/>
          <w:sz w:val="20"/>
        </w:rPr>
      </w:r>
    </w:p>
    <w:p>
      <w:pPr>
        <w:rPr/>
      </w:pPr>
      <w:r>
        <w:rPr>
          <w:rFonts w:ascii="微软雅黑" w:eastAsia="微软雅黑" w:hAnsi="微软雅黑" w:cs="微软雅黑"/>
          <w:b/>
          <w:color w:val="000000"/>
          <w:sz w:val="22"/>
        </w:rPr>
        <w:t xml:space="preserve">七、降本增效 – 数字化 成本优化 /人效提升解决方案 – 各模块数字化案例演练实操</w:t>
      </w:r>
    </w:p>
    <w:p>
      <w:pPr>
        <w:rPr/>
      </w:pPr>
      <w:r>
        <w:rPr>
          <w:rFonts w:ascii="微软雅黑" w:eastAsia="微软雅黑" w:hAnsi="微软雅黑" w:cs="微软雅黑"/>
          <w:sz w:val="20"/>
        </w:rPr>
        <w:t xml:space="preserve">1.优化人员离职成本 – 人员流动和离职数据分析</w:t>
      </w:r>
    </w:p>
    <w:p>
      <w:pPr>
        <w:rPr/>
      </w:pPr>
      <w:r>
        <w:rPr>
          <w:rFonts w:ascii="微软雅黑" w:eastAsia="微软雅黑" w:hAnsi="微软雅黑" w:cs="微软雅黑"/>
          <w:sz w:val="20"/>
        </w:rPr>
        <w:t xml:space="preserve">•人员流动的关键指标计算 – 离职率，流动率，入职率</w:t>
      </w:r>
    </w:p>
    <w:p>
      <w:pPr>
        <w:rPr/>
      </w:pPr>
      <w:r>
        <w:rPr>
          <w:rFonts w:ascii="微软雅黑" w:eastAsia="微软雅黑" w:hAnsi="微软雅黑" w:cs="微软雅黑"/>
          <w:sz w:val="20"/>
        </w:rPr>
        <w:t xml:space="preserve">•人员离职的关键原因分析，解决方案江都离职率</w:t>
      </w:r>
    </w:p>
    <w:p>
      <w:pPr>
        <w:rPr/>
      </w:pPr>
      <w:r>
        <w:rPr>
          <w:rFonts w:ascii="微软雅黑" w:eastAsia="微软雅黑" w:hAnsi="微软雅黑" w:cs="微软雅黑"/>
          <w:sz w:val="20"/>
        </w:rPr>
        <w:t xml:space="preserve">•人员流动和离职的数据仪表盘构建</w:t>
      </w:r>
    </w:p>
    <w:p>
      <w:pPr>
        <w:rPr/>
      </w:pPr>
      <w:r>
        <w:rPr>
          <w:rFonts w:ascii="微软雅黑" w:eastAsia="微软雅黑" w:hAnsi="微软雅黑" w:cs="微软雅黑"/>
          <w:sz w:val="20"/>
        </w:rPr>
      </w:r>
    </w:p>
    <w:p>
      <w:pPr>
        <w:rPr/>
      </w:pPr>
      <w:r>
        <w:rPr>
          <w:rFonts w:ascii="微软雅黑" w:eastAsia="微软雅黑" w:hAnsi="微软雅黑" w:cs="微软雅黑"/>
          <w:sz w:val="20"/>
        </w:rPr>
        <w:t xml:space="preserve">2.控制人工薪酬成本 - 构建数字化标准化薪酬体系</w:t>
      </w:r>
    </w:p>
    <w:p>
      <w:pPr>
        <w:rPr/>
      </w:pPr>
      <w:r>
        <w:rPr>
          <w:rFonts w:ascii="微软雅黑" w:eastAsia="微软雅黑" w:hAnsi="微软雅黑" w:cs="微软雅黑"/>
          <w:sz w:val="20"/>
        </w:rPr>
        <w:t xml:space="preserve">•薪酬职级体系的构建</w:t>
      </w:r>
    </w:p>
    <w:p>
      <w:pPr>
        <w:rPr/>
      </w:pPr>
      <w:r>
        <w:rPr>
          <w:rFonts w:ascii="微软雅黑" w:eastAsia="微软雅黑" w:hAnsi="微软雅黑" w:cs="微软雅黑"/>
          <w:sz w:val="20"/>
        </w:rPr>
        <w:t xml:space="preserve">•岗位薪酬的市场调研，分析各岗位的市场竞争力</w:t>
      </w:r>
    </w:p>
    <w:p>
      <w:pPr>
        <w:rPr/>
      </w:pPr>
      <w:r>
        <w:rPr>
          <w:rFonts w:ascii="微软雅黑" w:eastAsia="微软雅黑" w:hAnsi="微软雅黑" w:cs="微软雅黑"/>
          <w:sz w:val="20"/>
        </w:rPr>
        <w:t xml:space="preserve">•关键岗位的薪酬竞争力分析，岗位定薪标准化</w:t>
      </w:r>
    </w:p>
    <w:p>
      <w:pPr>
        <w:rPr/>
      </w:pPr>
      <w:r>
        <w:rPr>
          <w:rFonts w:ascii="微软雅黑" w:eastAsia="微软雅黑" w:hAnsi="微软雅黑" w:cs="微软雅黑"/>
          <w:sz w:val="20"/>
        </w:rPr>
        <w:t xml:space="preserve">•各职级的薪酬结构分析和优化</w:t>
      </w:r>
    </w:p>
    <w:p>
      <w:pPr>
        <w:rPr/>
      </w:pPr>
      <w:r>
        <w:rPr>
          <w:rFonts w:ascii="微软雅黑" w:eastAsia="微软雅黑" w:hAnsi="微软雅黑" w:cs="微软雅黑"/>
          <w:sz w:val="20"/>
        </w:rPr>
      </w:r>
    </w:p>
    <w:p>
      <w:pPr>
        <w:rPr/>
      </w:pPr>
      <w:r>
        <w:rPr>
          <w:rFonts w:ascii="微软雅黑" w:eastAsia="微软雅黑" w:hAnsi="微软雅黑" w:cs="微软雅黑"/>
          <w:sz w:val="20"/>
        </w:rPr>
        <w:t xml:space="preserve">3.提升组织结构效能 – 数字化的人员配置和结构分析</w:t>
      </w:r>
    </w:p>
    <w:p>
      <w:pPr>
        <w:rPr/>
      </w:pPr>
      <w:r>
        <w:rPr>
          <w:rFonts w:ascii="微软雅黑" w:eastAsia="微软雅黑" w:hAnsi="微软雅黑" w:cs="微软雅黑"/>
          <w:sz w:val="20"/>
        </w:rPr>
        <w:t xml:space="preserve">•组织结构的关键指标分析，制定对应的人才策略</w:t>
      </w:r>
    </w:p>
    <w:p>
      <w:pPr>
        <w:rPr/>
      </w:pPr>
      <w:r>
        <w:rPr>
          <w:rFonts w:ascii="微软雅黑" w:eastAsia="微软雅黑" w:hAnsi="微软雅黑" w:cs="微软雅黑"/>
          <w:sz w:val="20"/>
        </w:rPr>
        <w:t xml:space="preserve">•各部门人员编制配置的计算</w:t>
      </w:r>
    </w:p>
    <w:p>
      <w:pPr>
        <w:rPr/>
      </w:pPr>
      <w:r>
        <w:rPr>
          <w:rFonts w:ascii="微软雅黑" w:eastAsia="微软雅黑" w:hAnsi="微软雅黑" w:cs="微软雅黑"/>
          <w:sz w:val="20"/>
        </w:rPr>
        <w:t xml:space="preserve">•公司 – 部门 人员组织结构的数字化分析和人员结构优化</w:t>
      </w:r>
    </w:p>
    <w:p>
      <w:pPr>
        <w:rPr/>
      </w:pPr>
      <w:r>
        <w:rPr>
          <w:rFonts w:ascii="微软雅黑" w:eastAsia="微软雅黑" w:hAnsi="微软雅黑" w:cs="微软雅黑"/>
          <w:sz w:val="20"/>
        </w:rPr>
      </w:r>
    </w:p>
    <w:p>
      <w:pPr>
        <w:rPr/>
      </w:pPr>
      <w:r>
        <w:rPr>
          <w:rFonts w:ascii="微软雅黑" w:eastAsia="微软雅黑" w:hAnsi="微软雅黑" w:cs="微软雅黑"/>
          <w:sz w:val="20"/>
        </w:rPr>
        <w:t xml:space="preserve">4.人才标准化 – 岗位胜任力模型构建</w:t>
      </w:r>
    </w:p>
    <w:p>
      <w:pPr>
        <w:rPr/>
      </w:pPr>
      <w:r>
        <w:rPr>
          <w:rFonts w:ascii="微软雅黑" w:eastAsia="微软雅黑" w:hAnsi="微软雅黑" w:cs="微软雅黑"/>
          <w:sz w:val="20"/>
        </w:rPr>
        <w:t xml:space="preserve">•胜任力模型构建的三大维度</w:t>
      </w:r>
    </w:p>
    <w:p>
      <w:pPr>
        <w:rPr/>
      </w:pPr>
      <w:r>
        <w:rPr>
          <w:rFonts w:ascii="微软雅黑" w:eastAsia="微软雅黑" w:hAnsi="微软雅黑" w:cs="微软雅黑"/>
          <w:sz w:val="20"/>
        </w:rPr>
        <w:t xml:space="preserve">•关键岗位胜任力模型的构建流程</w:t>
      </w:r>
    </w:p>
    <w:p>
      <w:pPr>
        <w:rPr/>
      </w:pPr>
      <w:r>
        <w:rPr>
          <w:rFonts w:ascii="微软雅黑" w:eastAsia="微软雅黑" w:hAnsi="微软雅黑" w:cs="微软雅黑"/>
          <w:sz w:val="20"/>
        </w:rPr>
        <w:t xml:space="preserve">•人才的胜任力标准标准，提升人才发展效能</w:t>
      </w:r>
    </w:p>
    <w:p>
      <w:pPr>
        <w:rPr/>
      </w:pPr>
      <w:r>
        <w:rPr>
          <w:rFonts w:ascii="微软雅黑" w:eastAsia="微软雅黑" w:hAnsi="微软雅黑" w:cs="微软雅黑"/>
          <w:sz w:val="20"/>
        </w:rPr>
      </w:r>
    </w:p>
    <w:p>
      <w:pPr>
        <w:rPr/>
      </w:pPr>
      <w:r>
        <w:rPr>
          <w:rFonts w:ascii="微软雅黑" w:eastAsia="微软雅黑" w:hAnsi="微软雅黑" w:cs="微软雅黑"/>
          <w:sz w:val="20"/>
        </w:rPr>
        <w:t xml:space="preserve">5.提升招聘人效 – 招聘转换率和招聘人效分析</w:t>
      </w:r>
    </w:p>
    <w:p>
      <w:pPr>
        <w:rPr/>
      </w:pPr>
      <w:r>
        <w:rPr>
          <w:rFonts w:ascii="微软雅黑" w:eastAsia="微软雅黑" w:hAnsi="微软雅黑" w:cs="微软雅黑"/>
          <w:sz w:val="20"/>
        </w:rPr>
        <w:t xml:space="preserve">•招聘人效的关键指标计算和岗位人才标准化</w:t>
      </w:r>
    </w:p>
    <w:p>
      <w:pPr>
        <w:rPr/>
      </w:pPr>
      <w:r>
        <w:rPr>
          <w:rFonts w:ascii="微软雅黑" w:eastAsia="微软雅黑" w:hAnsi="微软雅黑" w:cs="微软雅黑"/>
          <w:sz w:val="20"/>
        </w:rPr>
        <w:t xml:space="preserve">•招聘转换率的各个指标的梳理和漏斗图的构建</w:t>
      </w:r>
    </w:p>
    <w:p>
      <w:pPr>
        <w:rPr/>
      </w:pPr>
      <w:r>
        <w:rPr>
          <w:rFonts w:ascii="微软雅黑" w:eastAsia="微软雅黑" w:hAnsi="微软雅黑" w:cs="微软雅黑"/>
          <w:sz w:val="20"/>
        </w:rPr>
        <w:t xml:space="preserve">•各阶段招聘转换率的数据分析 ，提升岗位的招聘效率</w:t>
      </w:r>
    </w:p>
    <w:p>
      <w:pPr>
        <w:rPr/>
      </w:pPr>
      <w:r>
        <w:rPr>
          <w:rFonts w:ascii="微软雅黑" w:eastAsia="微软雅黑" w:hAnsi="微软雅黑" w:cs="微软雅黑"/>
          <w:sz w:val="20"/>
        </w:rPr>
      </w:r>
    </w:p>
    <w:p>
      <w:pPr>
        <w:rPr/>
      </w:pPr>
      <w:r>
        <w:rPr>
          <w:rFonts w:ascii="微软雅黑" w:eastAsia="微软雅黑" w:hAnsi="微软雅黑" w:cs="微软雅黑"/>
          <w:sz w:val="20"/>
        </w:rPr>
        <w:t xml:space="preserve">6.岗位优秀人才识别和能力提升 – 数字化的人才盘点和能力评估</w:t>
      </w:r>
    </w:p>
    <w:p>
      <w:pPr>
        <w:rPr/>
      </w:pPr>
      <w:r>
        <w:rPr>
          <w:rFonts w:ascii="微软雅黑" w:eastAsia="微软雅黑" w:hAnsi="微软雅黑" w:cs="微软雅黑"/>
          <w:sz w:val="20"/>
        </w:rPr>
        <w:t xml:space="preserve">•数字化人才盘点的维度， 绩效 – 能力 – 价值挂</w:t>
      </w:r>
    </w:p>
    <w:p>
      <w:pPr>
        <w:rPr/>
      </w:pPr>
      <w:r>
        <w:rPr>
          <w:rFonts w:ascii="微软雅黑" w:eastAsia="微软雅黑" w:hAnsi="微软雅黑" w:cs="微软雅黑"/>
          <w:sz w:val="20"/>
        </w:rPr>
        <w:t xml:space="preserve">•数字化人才盘点的两大模块 ，组织盘点和人才盘点</w:t>
      </w:r>
    </w:p>
    <w:p>
      <w:pPr>
        <w:rPr/>
      </w:pPr>
      <w:r>
        <w:rPr>
          <w:rFonts w:ascii="微软雅黑" w:eastAsia="微软雅黑" w:hAnsi="微软雅黑" w:cs="微软雅黑"/>
          <w:sz w:val="20"/>
        </w:rPr>
        <w:t xml:space="preserve">•人才盘点的九宫格模型构建和岗位能力雷达图</w:t>
      </w:r>
    </w:p>
    <w:p>
      <w:pPr>
        <w:rPr/>
      </w:pPr>
      <w:r>
        <w:rPr>
          <w:rFonts w:ascii="微软雅黑" w:eastAsia="微软雅黑" w:hAnsi="微软雅黑" w:cs="微软雅黑"/>
          <w:sz w:val="20"/>
        </w:rPr>
        <w:t xml:space="preserve">•人才盘点数据分析报告，分析思维，提升岗位员工关键能力</w:t>
      </w:r>
    </w:p>
    <w:p>
      <w:pPr>
        <w:rPr/>
      </w:pPr>
      <w:r>
        <w:rPr>
          <w:rFonts w:ascii="微软雅黑" w:eastAsia="微软雅黑" w:hAnsi="微软雅黑" w:cs="微软雅黑"/>
          <w:sz w:val="20"/>
        </w:rPr>
      </w:r>
    </w:p>
    <w:p>
      <w:pPr>
        <w:rPr/>
      </w:pPr>
      <w:r>
        <w:rPr>
          <w:rFonts w:ascii="微软雅黑" w:eastAsia="微软雅黑" w:hAnsi="微软雅黑" w:cs="微软雅黑"/>
          <w:sz w:val="20"/>
        </w:rPr>
        <w:t xml:space="preserve">7.关键岗位的绩效 KPI 提升 – 数字化绩效分析和绩效改进</w:t>
      </w:r>
    </w:p>
    <w:p>
      <w:pPr>
        <w:rPr/>
      </w:pPr>
      <w:r>
        <w:rPr>
          <w:rFonts w:ascii="微软雅黑" w:eastAsia="微软雅黑" w:hAnsi="微软雅黑" w:cs="微软雅黑"/>
          <w:sz w:val="20"/>
        </w:rPr>
        <w:t xml:space="preserve">•绩效分析关键指标 – 绩效达成率</w:t>
      </w:r>
    </w:p>
    <w:p>
      <w:pPr>
        <w:rPr/>
      </w:pPr>
      <w:r>
        <w:rPr>
          <w:rFonts w:ascii="微软雅黑" w:eastAsia="微软雅黑" w:hAnsi="微软雅黑" w:cs="微软雅黑"/>
          <w:sz w:val="20"/>
        </w:rPr>
        <w:t xml:space="preserve">•绩效数据分析表设计</w:t>
      </w:r>
    </w:p>
    <w:p>
      <w:pPr>
        <w:rPr/>
      </w:pPr>
      <w:r>
        <w:rPr>
          <w:rFonts w:ascii="微软雅黑" w:eastAsia="微软雅黑" w:hAnsi="微软雅黑" w:cs="微软雅黑"/>
          <w:sz w:val="20"/>
        </w:rPr>
        <w:t xml:space="preserve">•月度绩效评估数据建模</w:t>
      </w:r>
    </w:p>
    <w:p>
      <w:pPr>
        <w:rPr/>
      </w:pPr>
      <w:r>
        <w:rPr>
          <w:rFonts w:ascii="微软雅黑" w:eastAsia="微软雅黑" w:hAnsi="微软雅黑" w:cs="微软雅黑"/>
          <w:sz w:val="20"/>
        </w:rPr>
        <w:t xml:space="preserve">•月度绩效辅导和绩效改进</w:t>
      </w:r>
    </w:p>
    <w:p>
      <w:pPr>
        <w:rPr/>
      </w:pPr>
    </w:p>
    <w:p>
      <w:pPr/>
      <w:r>
        <w:rPr>
          <w:rFonts w:ascii="微软雅黑" w:eastAsia="微软雅黑" w:hAnsi="微软雅黑" w:cs="微软雅黑"/>
          <w:b/>
          <w:color w:val="2E74B5"/>
          <w:sz w:val="26"/>
        </w:rPr>
      </w:r>
    </w:p>
    <w:p>
      <w:pPr>
        <w:rPr/>
      </w:pPr>
      <w:r>
        <w:rPr>
          <w:rFonts w:ascii="微软雅黑" w:eastAsia="微软雅黑" w:hAnsi="微软雅黑" w:cs="微软雅黑"/>
          <w:b/>
          <w:color w:val="2E74B5"/>
          <w:sz w:val="26"/>
        </w:rPr>
        <w:t xml:space="preserve">讲师介绍/Lecturer</w:t>
      </w:r>
      <w:r/>
    </w:p>
    <w:p>
      <w:pPr>
        <w:rPr/>
      </w:pPr>
      <w:r>
        <w:rPr>
          <w:rFonts w:ascii="微软雅黑" w:eastAsia="微软雅黑" w:hAnsi="微软雅黑" w:cs="微软雅黑"/>
          <w:b/>
          <w:color w:val="000000"/>
          <w:sz w:val="22"/>
        </w:rPr>
        <w:t xml:space="preserve">王老师</w:t>
      </w:r>
    </w:p>
    <w:p>
      <w:pPr>
        <w:rPr/>
      </w:pPr>
      <w:r>
        <w:rPr>
          <w:rFonts w:ascii="微软雅黑" w:eastAsia="微软雅黑" w:hAnsi="微软雅黑" w:cs="微软雅黑"/>
          <w:sz w:val="20"/>
        </w:rPr>
      </w:r>
    </w:p>
    <w:p>
      <w:pPr>
        <w:rPr/>
      </w:pPr>
      <w:r>
        <w:rPr>
          <w:rFonts w:ascii="微软雅黑" w:eastAsia="微软雅黑" w:hAnsi="微软雅黑" w:cs="微软雅黑"/>
          <w:sz w:val="20"/>
        </w:rPr>
        <w:t xml:space="preserve">原微软大区高级HRBP</w:t>
      </w:r>
    </w:p>
    <w:p>
      <w:pPr>
        <w:rPr/>
      </w:pPr>
      <w:r>
        <w:rPr>
          <w:rFonts w:ascii="微软雅黑" w:eastAsia="微软雅黑" w:hAnsi="微软雅黑" w:cs="微软雅黑"/>
          <w:sz w:val="20"/>
        </w:rPr>
        <w:t xml:space="preserve">原诺基亚管理学院高级培训师</w:t>
      </w:r>
    </w:p>
    <w:p>
      <w:pPr>
        <w:rPr/>
      </w:pPr>
      <w:r>
        <w:rPr>
          <w:rFonts w:ascii="微软雅黑" w:eastAsia="微软雅黑" w:hAnsi="微软雅黑" w:cs="微软雅黑"/>
          <w:sz w:val="20"/>
        </w:rPr>
        <w:t xml:space="preserve">《人力资源数据分析师》，《人力资源数字化转型》图书作者，入选大学人力资源专业课程教材</w:t>
      </w:r>
    </w:p>
    <w:p>
      <w:pPr>
        <w:rPr/>
      </w:pPr>
      <w:r>
        <w:rPr>
          <w:rFonts w:ascii="微软雅黑" w:eastAsia="微软雅黑" w:hAnsi="微软雅黑" w:cs="微软雅黑"/>
          <w:sz w:val="20"/>
        </w:rPr>
        <w:t xml:space="preserve">浙江大学城市学院  海口经济学院 上海交通大学 – 特邀人力资源专业数字化课程导师</w:t>
      </w:r>
    </w:p>
    <w:p>
      <w:pPr>
        <w:rPr/>
      </w:pPr>
      <w:r>
        <w:rPr>
          <w:rFonts w:ascii="微软雅黑" w:eastAsia="微软雅黑" w:hAnsi="微软雅黑" w:cs="微软雅黑"/>
          <w:sz w:val="20"/>
        </w:rPr>
        <w:t xml:space="preserve">诺绩咨询 -  国内领先的人力资源数据分析咨询公司  创始人</w:t>
      </w:r>
    </w:p>
    <w:p>
      <w:pPr>
        <w:rPr/>
      </w:pPr>
      <w:r>
        <w:rPr>
          <w:rFonts w:ascii="微软雅黑" w:eastAsia="微软雅黑" w:hAnsi="微软雅黑" w:cs="微软雅黑"/>
          <w:sz w:val="20"/>
        </w:rPr>
        <w:t xml:space="preserve">工信部人力资源数据分析师 –  认证专家团成员</w:t>
      </w:r>
    </w:p>
    <w:p>
      <w:pPr>
        <w:rPr/>
      </w:pPr>
      <w:r>
        <w:rPr>
          <w:rFonts w:ascii="微软雅黑" w:eastAsia="微软雅黑" w:hAnsi="微软雅黑" w:cs="微软雅黑"/>
          <w:sz w:val="20"/>
        </w:rPr>
        <w:t xml:space="preserve">人社部 HRBP 认证项目 – 授课讲师</w:t>
      </w:r>
    </w:p>
    <w:p>
      <w:pPr>
        <w:rPr/>
      </w:pPr>
      <w:r>
        <w:rPr>
          <w:rFonts w:ascii="微软雅黑" w:eastAsia="微软雅黑" w:hAnsi="微软雅黑" w:cs="微软雅黑"/>
          <w:sz w:val="20"/>
        </w:rPr>
        <w:t xml:space="preserve">《人力资源数据分析师》 系列课程版权课程所有</w:t>
      </w:r>
    </w:p>
    <w:p>
      <w:pPr>
        <w:rPr/>
      </w:pPr>
      <w:r>
        <w:rPr>
          <w:rFonts w:ascii="微软雅黑" w:eastAsia="微软雅黑" w:hAnsi="微软雅黑" w:cs="微软雅黑"/>
          <w:sz w:val="20"/>
        </w:rPr>
        <w:t xml:space="preserve">POWER BI 人力资源数字化体系架构师</w:t>
      </w:r>
    </w:p>
    <w:p>
      <w:pPr>
        <w:rPr/>
      </w:pPr>
      <w:r>
        <w:rPr>
          <w:rFonts w:ascii="微软雅黑" w:eastAsia="微软雅黑" w:hAnsi="微软雅黑" w:cs="微软雅黑"/>
          <w:sz w:val="20"/>
        </w:rPr>
      </w:r>
    </w:p>
    <w:p>
      <w:pPr>
        <w:rPr/>
      </w:pPr>
      <w:r>
        <w:rPr>
          <w:rFonts w:ascii="微软雅黑" w:eastAsia="微软雅黑" w:hAnsi="微软雅黑" w:cs="微软雅黑"/>
          <w:b/>
          <w:color w:val="000000"/>
          <w:sz w:val="22"/>
        </w:rPr>
        <w:t xml:space="preserve">项目经历</w:t>
      </w:r>
    </w:p>
    <w:p>
      <w:pPr>
        <w:rPr/>
      </w:pPr>
      <w:r>
        <w:rPr>
          <w:rFonts w:ascii="微软雅黑" w:eastAsia="微软雅黑" w:hAnsi="微软雅黑" w:cs="微软雅黑"/>
          <w:sz w:val="20"/>
        </w:rPr>
        <w:t xml:space="preserve">2022年 7-9月 中石油西安SSC 共享服务中心 ，POWER BI 人力资源数字化人才培养和组织结构，薪酬模块的体系搭建</w:t>
      </w:r>
    </w:p>
    <w:p>
      <w:pPr>
        <w:rPr/>
      </w:pPr>
      <w:r>
        <w:rPr>
          <w:rFonts w:ascii="微软雅黑" w:eastAsia="微软雅黑" w:hAnsi="微软雅黑" w:cs="微软雅黑"/>
          <w:sz w:val="20"/>
        </w:rPr>
        <w:t xml:space="preserve">2021年 4-8月 贝卡尔特 外企汽车零部件企业，POWER BI 搭建人力资源数字化系统</w:t>
      </w:r>
    </w:p>
    <w:p>
      <w:pPr>
        <w:rPr/>
      </w:pPr>
      <w:r>
        <w:rPr>
          <w:rFonts w:ascii="微软雅黑" w:eastAsia="微软雅黑" w:hAnsi="微软雅黑" w:cs="微软雅黑"/>
          <w:sz w:val="20"/>
        </w:rPr>
        <w:t xml:space="preserve">2023年2-10月 赞邦药业 POWER BI 人力资源数字化体系搭建和数字化人才培养</w:t>
      </w:r>
    </w:p>
    <w:p>
      <w:pPr>
        <w:rPr/>
      </w:pPr>
      <w:r>
        <w:rPr>
          <w:rFonts w:ascii="微软雅黑" w:eastAsia="微软雅黑" w:hAnsi="微软雅黑" w:cs="微软雅黑"/>
          <w:sz w:val="20"/>
        </w:rPr>
        <w:t xml:space="preserve">2023年 6-至今 宁波金海晨光 内训师 TTT项目，组建企业内训师团队，并且辅导内训师进行课程开发和授课。</w:t>
      </w:r>
    </w:p>
    <w:p>
      <w:pPr>
        <w:rPr/>
      </w:pPr>
      <w:r>
        <w:rPr>
          <w:rFonts w:ascii="微软雅黑" w:eastAsia="微软雅黑" w:hAnsi="微软雅黑" w:cs="微软雅黑"/>
          <w:sz w:val="20"/>
        </w:rPr>
        <w:t xml:space="preserve">2023年 6-8月 中石化 SSC共享服务中心，数字化人才培养项目</w:t>
      </w:r>
    </w:p>
    <w:p>
      <w:pPr>
        <w:rPr/>
      </w:pPr>
      <w:r>
        <w:rPr>
          <w:rFonts w:ascii="微软雅黑" w:eastAsia="微软雅黑" w:hAnsi="微软雅黑" w:cs="微软雅黑"/>
          <w:sz w:val="20"/>
        </w:rPr>
        <w:t xml:space="preserve">2023年10月 酒鬼酒股份，集团人力资源部 数字化人才培养项目</w:t>
      </w:r>
    </w:p>
    <w:p>
      <w:pPr>
        <w:rPr/>
      </w:pPr>
      <w:r>
        <w:rPr>
          <w:rFonts w:ascii="微软雅黑" w:eastAsia="微软雅黑" w:hAnsi="微软雅黑" w:cs="微软雅黑"/>
          <w:sz w:val="20"/>
        </w:rPr>
        <w:t xml:space="preserve">2023年 7-9月 参与一汽大众集团 人力资源数字化项目 各阶段人才培养项目</w:t>
      </w:r>
    </w:p>
    <w:p>
      <w:pPr>
        <w:rPr/>
      </w:pPr>
      <w:r>
        <w:rPr>
          <w:rFonts w:ascii="微软雅黑" w:eastAsia="微软雅黑" w:hAnsi="微软雅黑" w:cs="微软雅黑"/>
          <w:sz w:val="20"/>
        </w:rPr>
        <w:t xml:space="preserve">2022年 5-10月 东莞沃德集团 企业管理层数字化转型项目 通过三个阶段的课程和辅导，帮助管理层掌握数字化的技能和思维</w:t>
      </w:r>
    </w:p>
    <w:p>
      <w:pPr>
        <w:rPr/>
      </w:pPr>
      <w:r>
        <w:rPr>
          <w:rFonts w:ascii="微软雅黑" w:eastAsia="微软雅黑" w:hAnsi="微软雅黑" w:cs="微软雅黑"/>
          <w:sz w:val="20"/>
        </w:rPr>
        <w:t xml:space="preserve"> 2022年 7-10月 浙江大学城市学院 人力资源专业课题教学项目，在城市学院开始人力资源数字化课程，培养人力资源专业学生的数字化技能</w:t>
      </w:r>
    </w:p>
    <w:p>
      <w:pPr>
        <w:rPr/>
      </w:pPr>
      <w:r>
        <w:rPr>
          <w:rFonts w:ascii="微软雅黑" w:eastAsia="微软雅黑" w:hAnsi="微软雅黑" w:cs="微软雅黑"/>
          <w:sz w:val="20"/>
        </w:rPr>
        <w:t xml:space="preserve">2022年1月 – 至今 海口经济学院 人力资源统计学数字化教学项目</w:t>
      </w:r>
    </w:p>
    <w:p>
      <w:pPr>
        <w:rPr/>
      </w:pPr>
      <w:r>
        <w:rPr>
          <w:rFonts w:ascii="微软雅黑" w:eastAsia="微软雅黑" w:hAnsi="微软雅黑" w:cs="微软雅黑"/>
          <w:sz w:val="20"/>
        </w:rPr>
        <w:t xml:space="preserve">隆基集团 人力资源数字化转型项目</w:t>
      </w:r>
    </w:p>
    <w:p>
      <w:pPr>
        <w:rPr/>
      </w:pPr>
      <w:r>
        <w:rPr>
          <w:rFonts w:ascii="微软雅黑" w:eastAsia="微软雅黑" w:hAnsi="微软雅黑" w:cs="微软雅黑"/>
          <w:sz w:val="20"/>
        </w:rPr>
        <w:t xml:space="preserve">三安光电 POWER BI 人力资源数字化体系构建项目</w:t>
      </w:r>
    </w:p>
    <w:p>
      <w:pPr>
        <w:rPr/>
      </w:pPr>
      <w:r>
        <w:rPr>
          <w:rFonts w:ascii="微软雅黑" w:eastAsia="微软雅黑" w:hAnsi="微软雅黑" w:cs="微软雅黑"/>
          <w:sz w:val="20"/>
        </w:rPr>
        <w:t xml:space="preserve">蒙牛集团 薪酬COE 数字化能力提升项目</w:t>
      </w:r>
    </w:p>
    <w:p>
      <w:pPr>
        <w:rPr/>
      </w:pPr>
      <w:r>
        <w:rPr>
          <w:rFonts w:ascii="微软雅黑" w:eastAsia="微软雅黑" w:hAnsi="微软雅黑" w:cs="微软雅黑"/>
          <w:sz w:val="20"/>
        </w:rPr>
        <w:t xml:space="preserve">伊利集团 人力资源数字化思维和能力 提升项目</w:t>
      </w:r>
    </w:p>
    <w:p>
      <w:pPr>
        <w:rPr/>
      </w:pPr>
      <w:r>
        <w:rPr>
          <w:rFonts w:ascii="微软雅黑" w:eastAsia="微软雅黑" w:hAnsi="微软雅黑" w:cs="微软雅黑"/>
          <w:sz w:val="20"/>
        </w:rPr>
        <w:t xml:space="preserve">字节跳动 人力资源数字化项目</w:t>
      </w:r>
    </w:p>
    <w:p>
      <w:pPr>
        <w:rPr/>
      </w:pPr>
    </w:p>
    <w:p>
      <w:pPr/>
    </w:p>
    <w:sectPr>
      <w:headerReference w:type="default" r:id="rId5"/>
      <w:headerReference w:type="first" r:id="rId6"/>
      <w:type w:val="continuous"/>
      <w:pgSz w:w="11906" w:h="16838" w:orient="portrait"/>
      <w:pgMar w:top="1440" w:right="1080" w:bottom="1440" w:left="1080" w:header="851" w:footer="992" w:gutter="0"/>
      <w:pgNumType w:start="0"/>
      <w:cols w:num="1" w:space="425">
        <w:col w:w="9746" w:space="425"/>
      </w:cols>
      <w:titlePg/>
      <w:docGrid w:type="lines" w:linePitch="312"/>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Auto"/>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Auto"/>
    <w:pitch w:val="variable"/>
    <w:sig w:usb0="E0002EFF" w:usb1="C000785B" w:usb2="00000009" w:usb3="00000000" w:csb0="000001FF" w:csb1="00000000"/>
  </w:font>
  <w:font w:name="微软雅黑">
    <w:panose1 w:val="020B0503020204020204"/>
    <w:charset w:val="86"/>
    <w:family w:val="Auto"/>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Header"/>
      <w:pBdr>
        <w:bottom w:val="single" w:sz="6" w:space="8" w:color="D9D9D9" w:themeColor="background1" w:themeShade="D9"/>
      </w:pBdr>
      <w:rP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Header"/>
      <w:pBdr>
        <w:bottom w:val="none" w:sz="0" w:space="0" w:color="auto"/>
      </w:pBd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00"/>
  <w:bordersDoNotSurroundFooter/>
  <w:bordersDoNotSurroundHeader/>
  <w:proofState w:spelling="clean" w:grammar="clean"/>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docVars>
    <w:docVar w:name="commondata" w:val="eyJoZGlkIjoiYzhmYjcxMDVjNTU5Y2FhZTRlYjE1Y2IxMzE4ZWZiMmM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rFonts w:ascii="等线" w:eastAsia="等线" w:hAnsi="等线" w:asciiTheme="minorHAnsi" w:eastAsiaTheme="minorEastAsia" w:hAnsiTheme="minorHAnsi" w:cs="Arial" w:cstheme="minorBidi"/>
      <w:kern w:val="2"/>
      <w:sz w:val="21"/>
      <w:szCs w:val="22"/>
    </w:rPr>
  </w:style>
  <w:style w:type="paragraph" w:styleId="Heading3">
    <w:name w:val="Heading 3"/>
    <w:basedOn w:val="Normal"/>
    <w:next w:val="Normal"/>
    <w:qFormat/>
    <w:pPr>
      <w:keepNext/>
      <w:widowControl/>
      <w:spacing w:before="240" w:after="60"/>
      <w:jc w:val="left"/>
      <w:outlineLvl w:val="2"/>
    </w:pPr>
    <w:rPr>
      <w:rFonts w:ascii="Arial" w:hAnsi="Arial"/>
      <w:b/>
      <w:bCs/>
      <w:kern w:val="0"/>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styleId="Footer">
    <w:name w:val="Footer"/>
    <w:basedOn w:val="Normal"/>
    <w:uiPriority w:val="99"/>
    <w:unhideWhenUsed/>
    <w:qFormat/>
    <w:pPr>
      <w:tabs>
        <w:tab w:val="center" w:pos="4153"/>
        <w:tab w:val="right" w:pos="8306"/>
      </w:tabs>
      <w:snapToGrid w:val="0"/>
      <w:jc w:val="left"/>
    </w:pPr>
    <w:rPr>
      <w:sz w:val="18"/>
      <w:szCs w:val="18"/>
    </w:rPr>
  </w:style>
  <w:style w:type="paragraph" w:styleId="Header">
    <w:name w:val="Header"/>
    <w:basedOn w:val="Normal"/>
    <w:uiPriority w:val="99"/>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39"/>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页眉字符">
    <w:name w:val="页眉 字符"/>
    <w:basedOn w:val="DefaultParagraphFont"/>
    <w:uiPriority w:val="99"/>
    <w:qFormat/>
    <w:rPr>
      <w:sz w:val="18"/>
      <w:szCs w:val="18"/>
    </w:rPr>
  </w:style>
  <w:style w:type="character" w:customStyle="1" w:styleId="页脚字符">
    <w:name w:val="页脚 字符"/>
    <w:basedOn w:val="DefaultParagraphFont"/>
    <w:uiPriority w:val="99"/>
    <w:qFormat/>
    <w:rPr>
      <w:sz w:val="18"/>
      <w:szCs w:val="18"/>
    </w:rPr>
  </w:style>
  <w:style w:type="table" w:customStyle="1" w:styleId="无格式表格11">
    <w:name w:val="无格式表格 11"/>
    <w:basedOn w:val="TableNormal"/>
    <w:uiPriority w:val="41"/>
    <w:qFormat/>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cPr>
        <w:tcBorders>
          <w:top w:val="double" w:sz="4" w:space="0" w:color="BFBFBF" w:themeColor="background1" w:themeShade="BF"/>
        </w:tcBorders>
      </w:tcPr>
    </w:tblStylePr>
    <w:tblStylePr w:type="firstCol">
      <w:rPr>
        <w:b/>
        <w:bCs/>
      </w:rPr>
    </w:tblStylePr>
    <w:tblStylePr w:type="lastCol">
      <w:rPr>
        <w:b/>
        <w:bCs/>
      </w:rPr>
    </w:tblStylePr>
    <w:tblStylePr w:type="band1Vert">
      <w:rPr/>
      <w:tcPr>
        <w:shd w:val="clear" w:color="auto" w:fill="F2F2F2"/>
      </w:tcPr>
    </w:tblStylePr>
    <w:tblStylePr w:type="band1Horz">
      <w:rPr/>
      <w:tcPr>
        <w:shd w:val="clear" w:color="auto" w:fill="F2F2F2"/>
      </w:tcPr>
    </w:tblStylePr>
  </w:style>
  <w:style w:type="paragraph" w:styleId="ListParagraph">
    <w:name w:val="List Paragraph"/>
    <w:basedOn w:val="Normal"/>
    <w:uiPriority w:val="34"/>
    <w:qFormat/>
    <w:pPr>
      <w:ind w:firstLine="420" w:firstLineChars="200"/>
    </w:pPr>
    <w:rPr/>
  </w:style>
  <w:style w:type="paragraph" w:customStyle="1" w:styleId="列出段落1">
    <w:name w:val="列出段落1"/>
    <w:basedOn w:val="Normal"/>
    <w:uiPriority w:val="99"/>
    <w:qFormat/>
    <w:pPr>
      <w:ind w:firstLine="420" w:firstLineChars="200"/>
    </w:pPr>
    <w:rPr/>
  </w:style>
  <w:style w:type="paragraph" w:customStyle="1" w:styleId="p0">
    <w:name w:val="p0"/>
    <w:basedOn w:val="Normal"/>
    <w:uiPriority w:val="99"/>
    <w:qFormat/>
    <w:pPr>
      <w:widowControl/>
    </w:pPr>
    <w:rPr>
      <w:rFonts w:ascii="Times New Roman" w:hAnsi="Times New Roman"/>
      <w:kern w:val="0"/>
      <w:szCs w:val="21"/>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Shen Penny</dc:creator>
  <cp:lastModifiedBy>Shen Penny</cp:lastModifiedBy>
  <cp:revision>229</cp:revision>
  <dcterms:created xsi:type="dcterms:W3CDTF">2021-12-30T11:55:00Z</dcterms:created>
  <dcterms:modified xsi:type="dcterms:W3CDTF">2023-01-13T01:40:00Z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0</TotalTime>
  <Pages>1</Pages>
  <Words>12</Words>
  <Characters>69</Characters>
  <Application>Microsoft Office Word</Application>
  <DocSecurity>0</DocSecurity>
  <Lines>1</Lines>
  <Paragraphs>1</Paragraphs>
  <ScaleCrop>false</ScaleCrop>
  <Company/>
  <LinksUpToDate>false</LinksUpToDate>
  <CharactersWithSpaces>80</CharactersWithSpaces>
  <SharedDoc>false</SharedDoc>
  <HyperlinksChanged>false</HyperlinksChanged>
  <AppVersion>16.0000</AppVersion>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E1FDD09F4F6D45E0A9385DA46B82129B</vt:lpwstr>
  </property>
</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4943E5E0-F2EA-4BA1-BC14-B3A66A82A148}">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1</Pages>
  <Words>12</Words>
  <Characters>69</Characters>
  <Application>Microsoft Office Word</Application>
  <DocSecurity>0</DocSecurity>
  <Lines>1</Lines>
  <Paragraphs>1</Paragraphs>
  <CharactersWithSpaces>80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Shen Penny</dc:creator>
  <cp:lastModifiedBy>Shen Penny</cp:lastModifiedBy>
  <cp:revision>229</cp:revision>
  <dcterms:created xsi:type="dcterms:W3CDTF">2021-12-30T11:55:00Z</dcterms:created>
  <dcterms:modified xsi:type="dcterms:W3CDTF">2024-08-07T16:06:40Z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2052-11.1.0.12358</vt:lpstr>
  </property>
  <property fmtid="{D5CDD505-2E9C-101B-9397-08002B2CF9AE}" pid="3" name="ICV">
    <vt:lpstr>E1FDD09F4F6D45E0A9385DA46B82129B</vt:lpstr>
  </property>
</Properties>
</file>