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w15="http://schemas.microsoft.com/office/word/2012/wordml" mc:Ignorable="w14 w15 wp14">
  <!-- Generated by Spire.Doc -->
  <w:body>
    <w:p>
      <w:pPr>
        <w:snapToGrid w:val="0"/>
        <w:rPr>
          <w:rFonts w:ascii="微软雅黑" w:eastAsia="微软雅黑" w:hAnsi="微软雅黑"/>
          <w:sz w:val="20"/>
          <w:szCs w:val="20"/>
        </w:rPr>
      </w:pPr>
      <w:bookmarkStart w:id="0" w:name="_Hlk91793999"/>
      <w:bookmarkEnd w:id="0"/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一张图搞定战略：战略萃取与落地全景图</w:t>
      </w: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ab/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One Picture to Solve the Strategy：Strategic Extraction and Landing Panorama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3"/>
        <w:gridCol w:w="3402"/>
      </w:tblGrid>
      <w:tr>
        <w:trPr>
          <w:trHeight w:val="593"/>
          <w:jc w:val="center"/>
        </w:trPr>
        <w:tc>
          <w:tcPr>
            <w:tcW w:w="4253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讲师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/Lecturer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李老师</w:t>
            </w:r>
          </w:p>
        </w:tc>
        <w:tc>
          <w:tcPr>
            <w:tcW w:w="3402" w:type="dxa"/>
            <w:vAlign w:val="center"/>
          </w:tcPr>
          <w:p>
            <w:pPr>
              <w:snapToGrid w:val="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费用</w:t>
            </w:r>
            <w:r w:rsidRPr="0069697E">
              <w:rPr>
                <w:rFonts w:ascii="微软雅黑" w:eastAsia="微软雅黑" w:hAnsi="微软雅黑" w:cs="宋体"/>
                <w:b/>
                <w:bCs/>
                <w:color w:val="2E74B5"/>
                <w:kern w:val="0"/>
                <w:sz w:val="24"/>
                <w:szCs w:val="24"/>
              </w:rPr>
              <w:t xml:space="preserve">/Price</w:t>
            </w:r>
            <w:r w:rsidRPr="0069697E">
              <w:rPr>
                <w:rFonts w:ascii="微软雅黑" w:eastAsia="微软雅黑" w:hAnsi="微软雅黑" w:cs="宋体" w:hint="eastAsia"/>
                <w:b/>
                <w:bCs/>
                <w:color w:val="2E74B5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¥6800元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rPr>
          <w:rFonts w:ascii="微软雅黑" w:eastAsia="微软雅黑" w:hAnsi="微软雅黑" w:cs="微软雅黑"/>
          <w:color w:val="2E74B5"/>
          <w:kern w:val="0"/>
          <w:sz w:val="20"/>
          <w:szCs w:val="20"/>
        </w:rPr>
      </w:pPr>
      <w:r w:rsidRPr="0069697E">
        <w:rPr>
          <w:rFonts w:ascii="微软雅黑" w:eastAsia="微软雅黑" w:hAnsi="微软雅黑" w:cs="宋体" w:hint="eastAsia"/>
          <w:b/>
          <w:bCs/>
          <w:color w:val="2E74B5"/>
          <w:kern w:val="0"/>
          <w:sz w:val="26"/>
          <w:szCs w:val="26"/>
        </w:rPr>
        <w:t xml:space="preserve">课程排期/</w:t>
      </w:r>
      <w:r w:rsidRPr="0069697E">
        <w:rPr>
          <w:rFonts w:ascii="微软雅黑" w:eastAsia="微软雅黑" w:hAnsi="微软雅黑" w:cs="宋体"/>
          <w:b/>
          <w:bCs/>
          <w:color w:val="2E74B5"/>
          <w:kern w:val="0"/>
          <w:sz w:val="26"/>
          <w:szCs w:val="26"/>
        </w:rPr>
        <w:t xml:space="preserve">Scheduling</w:t>
      </w:r>
    </w:p>
    <w:p>
      <w:pPr>
        <w:pStyle w:val="ListParagraph"/>
        <w:ind w:firstLine="0" w:firstLineChars="0"/>
        <w:rPr>
          <w:rFonts w:ascii="微软雅黑" w:eastAsia="微软雅黑" w:hAnsi="微软雅黑"/>
          <w:color w:val="595959"/>
          <w:sz w:val="16"/>
          <w:szCs w:val="16"/>
        </w:rPr>
      </w:pPr>
    </w:p>
    <w:p>
      <w:pPr/>
      <w:r>
        <w:rPr>
          <w:rFonts w:ascii="微软雅黑" w:eastAsia="微软雅黑" w:hAnsi="微软雅黑" w:cs="微软雅黑"/>
          <w:b/>
          <w:color w:val="000000"/>
          <w:sz w:val="20"/>
        </w:rPr>
        <w:t xml:space="preserve">北京：2024年09月27日-28日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上海：2024年10月25日-26日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0"/>
        </w:rPr>
        <w:t xml:space="preserve">深圳：2024年11月22日-23日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课程介绍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《一张图搞定战略  》系统致力于实现“一张图穿透战略灵魂、一张图导出战略、一张图战略落地”三重目的。解决痛点为：1、企业战略规划旷日持久、耗资巨大，但往往忽略了企业战略本质问题，或者战略执行两张皮；2、卡普兰版战略地图从运营效率出发，更多成为一种思维工具，需要升级以适应中国企业的变革实际。本产品在多年企业实践和历经十数年项目如美的集团、顾家家居、兰石集团、交控集团等企业深度服务基础上，终于精炼出一张图搞定战略+直接落地，基于结构效率，重塑变革时代的战略俯瞰力，帮助学员建立“五维度、四层面、四变革命题、双动力系统”的高维增长结构，实现在变革时代帮助组织把愿景转化成驱动力和业绩的目标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课程目的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身为企业家、企业高层以及核心骨干的您，是否在为这些问题烦恼？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转型变革——处于变革时代，赚钱逻辑变了，企业过往经验面临挑战！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战略作用——战略很重要，但耗时费力、费用还高，所以很犹豫！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战略编制——市面上战略顾问很多，如何挑选、不试错，做出立意高落地强的战略规划？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战略共识——以为高管对战略很了解，其实只是知道大概，高管工作很多不是战略性工作！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战略落地——辛辛苦苦完成的战略，宣贯会过后，该怎么做还怎么做，没有入脑入耳入心！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以上所有问题，都需要通过“一张图搞定战略  ”的极简战略训练，得到解决、优化和提升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课程收获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学会掌舵方向，一张图清晰定义目标，确保复杂环境中不迷失方向！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懂得化繁为简，一张图抓取战略要害，避免陷入细节而忽略了大局！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升级全局视野，一张图快速导出战略，培养宏观视角的问题解决力！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提升决策效率，一张图导出战略落地，学会减少拖延和提高执行力！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获得战略增长，一张图升级战略增长，确保最大化的投入产出效益！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课程对象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企业家，企业高管，核心骨干人员，对战略管理创新及战略落地增长有兴趣的人士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一、时代呼唤指导中国企业实践的战略地图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好战略or差战略的混沌现状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（1）好战略or差战略：案例及效果反差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（2）战略地图：从战略到落地的必经一环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（3）解读战略地图：概念、边界和局限？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机会挑战：能否一张图穿透战略？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（1）未来10年：基于国势-产业的企业机会洞察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（2）企业经营命题：企业成长过程的历史性跃迁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（3）三大效率：重新发现战略地图再造战略地图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（4）结构效率版战略地图：描述战略的最佳工具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（5）本课程教什么：“赢的关键”和学员收益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二、一张图穿透战略灵魂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抓思想抓关键：“走到战略背后去”的逻辑结构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（1）事——选对池塘养大鱼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（2）人——企业家雇佣资本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（3）规则——重塑竞争规则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愿景层面：如何一句话说清楚公司战略？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（1）战略车轮法1：如何明确公司战略方向？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（2）战略车轮法2：如何制定内部关键要素？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财务层面：从资本估值逻辑到会计学逻辑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（1）卡普兰版战略地图：收入增长和效率增长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（2）结构效率版战略地图：基于市值的资本逻辑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客户层面：从关键战略布局到关键成功要素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（1）卡普兰版战略地图：关键成功要素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（2）结构效率版战略地图：关键战略布局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流程层面：从企业结构化竞争优势到运营改善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（1）卡普兰版战略地图：关键环节优化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（2）结构效率版战略地图：三链分析法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学习层面：以人为核心统领组织学习与成长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（1）卡普兰版战略地图：人力/信息/组织准备度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（2）结构效率版战略地图：以人为核心的无形资产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三、一张图导出战略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穿透灵魂、导出结构：公司战略可视化的结构总图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财务层面：产融互动，打破增长天花板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（1）市值目标：公司资源配置层面上的“谋局”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a)战略目标：和君产融互动模型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b)产业布局：和君FLA模型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c)增长驱动：产业与资本曲线模型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d)战投导入：资本魔方模型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（2）财务目标：公司产品经营层面上的“谋子”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a)收入增长目标：长期财务获利能力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b)效率增长目标：短期财务成果实现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客户层面：从客户价值主张走向企业战略布局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（1）产业经营：怎么实施关键战略布局？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a)企业利润链模型：承接财务层面视角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b)新蓝海框架：四种不同的战略增长模式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c)麦肯锡三层面法：培育企业下一个竞争力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d)战略布局图：迈向企业蓝海的战略分析框架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e)企业战略布局：蓝海跨越的“六条路径框架”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（2）产品经营：怎么调整客户价值主张？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a)目标客户选择：如何确定目标客户？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b)目标客户分析：学会三种客户定位模型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c)目标客户满意：应用Kano模型量化客户满意度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流程层面：塑造三条链的战略俯瞰力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（1）超越内部流程层面：找到利润区的真正源头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a)三链的定义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b)三链分析法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（2）三链分析法：锁定不断变动的利润区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a)产业利润区的“125”方法论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b)产业价值链——怎么掌握产业利润区和战略控制点？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c)企业价值链——怎么获取和固化企业利润区？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d)运营操作链——怎么引入三种差距分析，转化竞争优势？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e)运营操作链——怎么运用红绿灯机制，具象化解决差距？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学习与成长层面：以人为核心统领组织学习与成长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（1）识别学习与成长层面的核心战略支撑要素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a)误区：削足适履的运用“人、组织、信息”三种准备度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b)识别战略准备度的目标值和实现值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c)识别战略支撑的核心要素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d)运用红绿灯机制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（2）人力资本为核心统领组织学习与成长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a)组织服务模式创新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b)组织成员专业能力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四、一张图战略落地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战略分解：从公司级战略地图分解到部门、岗位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（1）公司战略分解的模型工具及4个维度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a)行动方向及要点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b)行动目标及要点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c)行动计划及要点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d)衡量标准及要点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（2）公司战略分解的3级实施动作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a)第一级：集团级分解动作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b)第二级：成员公司级分解动作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c)第三级：再下一级分解动作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（3）部门/岗位级战略地图形成的4个步骤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a)模型：让战略由虚入实的工具方法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b)让战略由虚入实的两类指标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c)形成部门/岗位级战略地图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d)形成部门/岗位矩阵卡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e)形成部门/岗位考核表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（4）案例：某集团战略及三级分解方法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行动计划：形成战略共识并实战应用的步骤、方法及要点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（1）战略共识：项目化及战役化的实战心法和干法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a)战略共识之项目化导出模型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b)战略共识之项目化互动演练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c)战略共识之与部门共演战役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d)案例：战略共识如何引领发展？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（2）行动计划：关键性行动计划的实操方法及落地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a)战略性关键行动计划的基本要素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b)运营性关键行动计划的基本要素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c)如何填报并应用关键性行动计划表？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d)关键性行动计划的实操要点、互动演练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战略“明白纸”：一张图战略落地的方案总结、形成和提升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（1）形成方案：“带着问题来，带着方案走”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a)一张图战略落地的现场演示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b)一张图战略落地的内部质询会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（2）形成公司战略“明白纸”并接受PK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（3）公司战略“明白纸”点评及成果提升</w:t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学员互动，PK演练</w:t>
      </w:r>
    </w:p>
    <w:p>
      <w:pPr>
        <w:rPr/>
      </w:pPr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  <w:r/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李老师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20年管理咨询专业经验，资深战略营销实战专家，美的集团、兰石集团、山河药辅、顾家家居等领先企业特聘顾问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曾任某集团副总裁，兼具上市公司一线市场实操及集团高管复合履历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清华、北大总裁班授课讲师，广西财经学院行业导师，郑州卷烟厂特聘教授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专著：《破圈战略》；《科龙变局》（吴晓波《大败局》参考书籍、书业权威媒体《中国图书商报》整版报道、《营销学苑》全刊转载）；《深度营销战法》（合著）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专业领域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李老师具备20年的企业管理咨询顾问专业经验，同时兼具上市公司副总裁等高管及一线市场实践经验，实操经验突出，帮助上百家客户提升战略营销及业绩增长，从黑马企业成长为行业领导品牌，被誉为卓有成效的操盘顾问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课程特色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实战性强，案例丰富前沿，且多为亲身实践的一线操作案例，干货满满；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情境体验式教学模式，真实的场景模拟演练，问题现场还原，逐个击破；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风格轻松明快，直入企业管理核心；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不是讲讲了事，具有帮助企业后续深化服务、管理改进、业绩提升的深厚功底和实力；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课前充分调研，根据学员特色，灵活调整，针对性强，绝不一个课件讲天下；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轻松幽默、互动性强，擅长启发学员思路，最大化教课收益，配有学员提问与解答环节。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擅长课程（可根据企业需求定制内训）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战略落地类：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独家课程：“一张图搞定战略”体系课+辅导落地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独家课程：“大客户营销实战技法”体系课+辅导落地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独家课程：战略落地的六把奥卡姆剃刀内训课+辅导落地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营销增长类：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营销增长：大客户营销；用户经营；营销体系升级；品牌升级；营销突破；策略组合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sz w:val="20"/>
        </w:rPr>
      </w:r>
    </w:p>
    <w:p>
      <w:pPr>
        <w:rPr/>
      </w:pPr>
      <w:r>
        <w:rPr>
          <w:rFonts w:ascii="微软雅黑" w:eastAsia="微软雅黑" w:hAnsi="微软雅黑" w:cs="微软雅黑"/>
          <w:b/>
          <w:color w:val="000000"/>
          <w:sz w:val="22"/>
        </w:rPr>
        <w:t xml:space="preserve">客户案例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央企及地方大型国企：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INTEL中国、中国移动北京公司、兰石集团、兰石超合金新材料、中国电信云计算公司、工商银行总行及各级分支行、中粮集团中粮糖业（600737）、中国航信北京航信集团、中电投科学研究院、国家能源集团神华集团、首钢集团、齐鲁交通集团、九州电器集团（四川九州000801）、福建联合石化、绿地集团、广西水利电业集团、重庆燃气集团、山西焦煤集团、楚天云、京城控股集团、电力规划设计总院、北京农商银行、赣州银行、邢台银行、中银商务有限公司、新华基金、北信瑞丰、鹏扬基金、中国国际展览集团公司、中国建筑标准设计研究院、人民教育出版社、广汽研究院、五粮液集团永不分离酒业、广安控股集团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上市公司：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四方继保（601126）、航天长峰（600855）、金诚信集团（603979）、浦发银行（600000）、招商银行（600036）、北京银行（601169）、东北证券（000686）、长久集团（603569）、天地科技（600582）、营口港盘锦港集团（600317）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政府高校：</w:t>
      </w:r>
    </w:p>
    <w:p>
      <w:pPr>
        <w:rPr/>
      </w:pPr>
      <w:r>
        <w:rPr>
          <w:rFonts w:ascii="微软雅黑" w:eastAsia="微软雅黑" w:hAnsi="微软雅黑" w:cs="微软雅黑"/>
          <w:sz w:val="20"/>
        </w:rPr>
        <w:t xml:space="preserve">北京市海淀区政府、北京市住建委、北京市物业指导中心、海淀区精神文明办、中关村东升科技园、新首钢产业园、东莞市委组织部、东莞松山湖高新区管委会、芜湖云谷产业园、井冈山经济开发区、新县大别山干部管理学院、北京青年政治学院、哈尔滨铁路局</w:t>
      </w:r>
    </w:p>
    <w:p>
      <w:pPr>
        <w:rPr/>
      </w:pPr>
    </w:p>
    <w:p>
      <w:pPr/>
    </w:p>
    <w:sectPr>
      <w:headerReference w:type="default" r:id="rId5"/>
      <w:headerReference w:type="first" r:id="rId6"/>
      <w:type w:val="continuous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single" w:sz="6" w:space="8" w:color="D9D9D9" w:themeColor="background1" w:themeShade="D9"/>
      </w:pBdr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uiPriority w:val="99"/>
    <w:qFormat/>
    <w:rPr>
      <w:sz w:val="18"/>
      <w:szCs w:val="18"/>
    </w:rPr>
  </w:style>
  <w:style w:type="character" w:customStyle="1" w:styleId="页脚字符">
    <w:name w:val="页脚 字符"/>
    <w:basedOn w:val="DefaultParagraphFont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TableNormal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2023-01-13T01:40:00Z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customXml/item3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E1FDD09F4F6D45E0A9385DA46B82129B</vt:lpwstr>
  </property>
</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</Words>
  <Characters>69</Characters>
  <Application>Microsoft Office Word</Application>
  <DocSecurity>0</DocSecurity>
  <Lines>1</Lines>
  <Paragraphs>1</Paragraphs>
  <CharactersWithSpaces>80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229</cp:revision>
  <dcterms:created xsi:type="dcterms:W3CDTF">2021-12-30T11:55:00Z</dcterms:created>
  <dcterms:modified xsi:type="dcterms:W3CDTF">2024-08-07T16:07:05Z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2052-11.1.0.12358</vt:lpstr>
  </property>
  <property fmtid="{D5CDD505-2E9C-101B-9397-08002B2CF9AE}" pid="3" name="ICV">
    <vt:lpstr>E1FDD09F4F6D45E0A9385DA46B82129B</vt:lpstr>
  </property>
</Properties>
</file>