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-952500</wp:posOffset>
            </wp:positionV>
            <wp:extent cx="7580630" cy="10758805"/>
            <wp:effectExtent l="0" t="0" r="1270" b="4445"/>
            <wp:wrapSquare wrapText="bothSides"/>
            <wp:docPr id="2" name="图片 2" descr="2024年EOD与三大工程培训班第三轮通知(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EOD与三大工程培训班第三轮通知(4(1)_00"/>
                    <pic:cNvPicPr>
                      <a:picLocks noChangeAspect="1"/>
                    </pic:cNvPicPr>
                  </pic:nvPicPr>
                  <pic:blipFill>
                    <a:blip r:embed="rId5"/>
                    <a:stretch>
                      <a:fillRect/>
                    </a:stretch>
                  </pic:blipFill>
                  <pic:spPr>
                    <a:xfrm>
                      <a:off x="0" y="0"/>
                      <a:ext cx="7580630" cy="1075880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-1028065</wp:posOffset>
            </wp:positionH>
            <wp:positionV relativeFrom="paragraph">
              <wp:posOffset>-971550</wp:posOffset>
            </wp:positionV>
            <wp:extent cx="7574280" cy="10711815"/>
            <wp:effectExtent l="0" t="0" r="7620" b="13335"/>
            <wp:wrapSquare wrapText="bothSides"/>
            <wp:docPr id="3" name="图片 3" descr="2024年EOD与三大工程培训班第三轮通知(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EOD与三大工程培训班第三轮通知(4(1)_0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附件1：</w:t>
      </w:r>
    </w:p>
    <w:p>
      <w:pPr>
        <w:spacing w:line="540" w:lineRule="exact"/>
        <w:ind w:firstLine="562" w:firstLineChars="200"/>
        <w:rPr>
          <w:rFonts w:hint="default" w:ascii="微软雅黑" w:hAnsi="微软雅黑" w:eastAsia="微软雅黑" w:cs="仿宋"/>
          <w:b/>
          <w:bCs/>
          <w:szCs w:val="24"/>
        </w:rPr>
      </w:pPr>
      <w:r>
        <w:rPr>
          <w:rFonts w:ascii="仿宋" w:hAnsi="仿宋" w:eastAsia="仿宋" w:cs="仿宋"/>
          <w:b/>
          <w:bCs/>
          <w:color w:val="000000" w:themeColor="text1"/>
          <w:sz w:val="28"/>
          <w:szCs w:val="28"/>
          <w14:textFill>
            <w14:solidFill>
              <w14:schemeClr w14:val="tx1"/>
            </w14:solidFill>
          </w14:textFill>
        </w:rPr>
        <w:t>一、培训收益</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（一）</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超长期</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特别</w:t>
      </w:r>
      <w:r>
        <w:rPr>
          <w:rFonts w:ascii="仿宋" w:hAnsi="仿宋" w:eastAsia="仿宋" w:cs="仿宋"/>
          <w:b w:val="0"/>
          <w:bCs w:val="0"/>
          <w:color w:val="000000" w:themeColor="text1"/>
          <w:spacing w:val="8"/>
          <w:sz w:val="28"/>
          <w:szCs w:val="28"/>
          <w14:textFill>
            <w14:solidFill>
              <w14:schemeClr w14:val="tx1"/>
            </w14:solidFill>
          </w14:textFill>
        </w:rPr>
        <w:t>国债、中央预算内资金申报要点；</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（二）</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当前最新化债政策及基础设施投融资政策导向；</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（三）学习新《导则》带来EOD模式新变化内容及操作实施；</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四</w:t>
      </w:r>
      <w:r>
        <w:rPr>
          <w:rFonts w:ascii="仿宋" w:hAnsi="仿宋" w:eastAsia="仿宋" w:cs="仿宋"/>
          <w:b w:val="0"/>
          <w:bCs w:val="0"/>
          <w:color w:val="000000" w:themeColor="text1"/>
          <w:spacing w:val="8"/>
          <w:sz w:val="28"/>
          <w:szCs w:val="28"/>
          <w14:textFill>
            <w14:solidFill>
              <w14:schemeClr w14:val="tx1"/>
            </w14:solidFill>
          </w14:textFill>
        </w:rPr>
        <w:t>）学习2024年地方政府专项债券发行最新政策要求及包装谋划申报要点；</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五</w:t>
      </w:r>
      <w:r>
        <w:rPr>
          <w:rFonts w:ascii="仿宋" w:hAnsi="仿宋" w:eastAsia="仿宋" w:cs="仿宋"/>
          <w:b w:val="0"/>
          <w:bCs w:val="0"/>
          <w:color w:val="000000" w:themeColor="text1"/>
          <w:spacing w:val="8"/>
          <w:sz w:val="28"/>
          <w:szCs w:val="28"/>
          <w14:textFill>
            <w14:solidFill>
              <w14:schemeClr w14:val="tx1"/>
            </w14:solidFill>
          </w14:textFill>
        </w:rPr>
        <w:t>）学习探讨片区综合开发</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中前期土地收储及后期支付来源</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问题</w:t>
      </w:r>
      <w:r>
        <w:rPr>
          <w:rFonts w:ascii="仿宋" w:hAnsi="仿宋" w:eastAsia="仿宋" w:cs="仿宋"/>
          <w:b w:val="0"/>
          <w:bCs w:val="0"/>
          <w:color w:val="000000" w:themeColor="text1"/>
          <w:spacing w:val="8"/>
          <w:sz w:val="28"/>
          <w:szCs w:val="28"/>
          <w14:textFill>
            <w14:solidFill>
              <w14:schemeClr w14:val="tx1"/>
            </w14:solidFill>
          </w14:textFill>
        </w:rPr>
        <w:t>；</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六</w:t>
      </w:r>
      <w:r>
        <w:rPr>
          <w:rFonts w:ascii="仿宋" w:hAnsi="仿宋" w:eastAsia="仿宋" w:cs="仿宋"/>
          <w:b w:val="0"/>
          <w:bCs w:val="0"/>
          <w:color w:val="000000" w:themeColor="text1"/>
          <w:spacing w:val="8"/>
          <w:sz w:val="28"/>
          <w:szCs w:val="28"/>
          <w14:textFill>
            <w14:solidFill>
              <w14:schemeClr w14:val="tx1"/>
            </w14:solidFill>
          </w14:textFill>
        </w:rPr>
        <w:t>）学习城市更新和城中村改造等</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投融资操作模式及解决方案；</w:t>
      </w:r>
    </w:p>
    <w:p>
      <w:pPr>
        <w:spacing w:line="540" w:lineRule="exact"/>
        <w:ind w:firstLine="59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七</w:t>
      </w:r>
      <w:r>
        <w:rPr>
          <w:rFonts w:ascii="仿宋" w:hAnsi="仿宋" w:eastAsia="仿宋" w:cs="仿宋"/>
          <w:b w:val="0"/>
          <w:bCs w:val="0"/>
          <w:color w:val="000000" w:themeColor="text1"/>
          <w:spacing w:val="8"/>
          <w:sz w:val="28"/>
          <w:szCs w:val="28"/>
          <w14:textFill>
            <w14:solidFill>
              <w14:schemeClr w14:val="tx1"/>
            </w14:solidFill>
          </w14:textFill>
        </w:rPr>
        <w:t>）学习盘活存量资产</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的</w:t>
      </w:r>
      <w:r>
        <w:rPr>
          <w:rFonts w:ascii="仿宋" w:hAnsi="仿宋" w:eastAsia="仿宋" w:cs="仿宋"/>
          <w:b w:val="0"/>
          <w:bCs w:val="0"/>
          <w:color w:val="000000" w:themeColor="text1"/>
          <w:spacing w:val="8"/>
          <w:sz w:val="28"/>
          <w:szCs w:val="28"/>
          <w14:textFill>
            <w14:solidFill>
              <w14:schemeClr w14:val="tx1"/>
            </w14:solidFill>
          </w14:textFill>
        </w:rPr>
        <w:t>模式及案例。</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二、培训内容</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（一）超长期特别国债、专项债、中央预算内资</w:t>
      </w:r>
      <w:r>
        <w:rPr>
          <w:rFonts w:hint="eastAsia" w:ascii="仿宋" w:hAnsi="仿宋" w:eastAsia="仿宋" w:cs="仿宋"/>
          <w:b/>
          <w:bCs/>
          <w:color w:val="000000" w:themeColor="text1"/>
          <w:sz w:val="28"/>
          <w:szCs w:val="28"/>
          <w:lang w:val="en-US" w:eastAsia="zh-CN"/>
          <w14:textFill>
            <w14:solidFill>
              <w14:schemeClr w14:val="tx1"/>
            </w14:solidFill>
          </w14:textFill>
        </w:rPr>
        <w:t>金</w:t>
      </w:r>
      <w:r>
        <w:rPr>
          <w:rFonts w:ascii="仿宋" w:hAnsi="仿宋" w:eastAsia="仿宋" w:cs="仿宋"/>
          <w:b/>
          <w:bCs/>
          <w:color w:val="000000" w:themeColor="text1"/>
          <w:sz w:val="28"/>
          <w:szCs w:val="28"/>
          <w14:textFill>
            <w14:solidFill>
              <w14:schemeClr w14:val="tx1"/>
            </w14:solidFill>
          </w14:textFill>
        </w:rPr>
        <w:t>申报及谋划实务</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1.超长期国债申报点要点及注意事项；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2.地方政府</w:t>
      </w:r>
      <w:r>
        <w:rPr>
          <w:rFonts w:hint="eastAsia" w:ascii="仿宋" w:hAnsi="仿宋" w:eastAsia="仿宋" w:cs="仿宋"/>
          <w:color w:val="000000" w:themeColor="text1"/>
          <w:sz w:val="28"/>
          <w:szCs w:val="28"/>
          <w:lang w:val="en-US" w:eastAsia="zh-CN"/>
          <w14:textFill>
            <w14:solidFill>
              <w14:schemeClr w14:val="tx1"/>
            </w14:solidFill>
          </w14:textFill>
        </w:rPr>
        <w:t>专项</w:t>
      </w:r>
      <w:r>
        <w:rPr>
          <w:rFonts w:ascii="仿宋" w:hAnsi="仿宋" w:eastAsia="仿宋" w:cs="仿宋"/>
          <w:color w:val="000000" w:themeColor="text1"/>
          <w:sz w:val="28"/>
          <w:szCs w:val="28"/>
          <w14:textFill>
            <w14:solidFill>
              <w14:schemeClr w14:val="tx1"/>
            </w14:solidFill>
          </w14:textFill>
        </w:rPr>
        <w:t>债劵</w:t>
      </w:r>
      <w:r>
        <w:rPr>
          <w:rFonts w:hint="eastAsia" w:ascii="仿宋" w:hAnsi="仿宋" w:eastAsia="仿宋" w:cs="仿宋"/>
          <w:color w:val="000000" w:themeColor="text1"/>
          <w:sz w:val="28"/>
          <w:szCs w:val="28"/>
          <w:lang w:val="en-US" w:eastAsia="zh-CN"/>
          <w14:textFill>
            <w14:solidFill>
              <w14:schemeClr w14:val="tx1"/>
            </w14:solidFill>
          </w14:textFill>
        </w:rPr>
        <w:t>项目</w:t>
      </w:r>
      <w:r>
        <w:rPr>
          <w:rFonts w:ascii="仿宋" w:hAnsi="仿宋" w:eastAsia="仿宋" w:cs="仿宋"/>
          <w:color w:val="000000" w:themeColor="text1"/>
          <w:sz w:val="28"/>
          <w:szCs w:val="28"/>
          <w14:textFill>
            <w14:solidFill>
              <w14:schemeClr w14:val="tx1"/>
            </w14:solidFill>
          </w14:textFill>
        </w:rPr>
        <w:t>谋划要点；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3.中央预算内资金申报要点及项目谋划思路；</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r>
        <w:rPr>
          <w:rFonts w:hint="default" w:ascii="仿宋" w:hAnsi="仿宋" w:eastAsia="仿宋" w:cs="仿宋"/>
          <w:color w:val="000000" w:themeColor="text1"/>
          <w:sz w:val="28"/>
          <w:szCs w:val="28"/>
          <w14:textFill>
            <w14:solidFill>
              <w14:schemeClr w14:val="tx1"/>
            </w14:solidFill>
          </w14:textFill>
        </w:rPr>
        <w:t>本次连续发行超长期特别国债的背景分析</w:t>
      </w:r>
      <w:r>
        <w:rPr>
          <w:rFonts w:ascii="仿宋" w:hAnsi="仿宋" w:eastAsia="仿宋" w:cs="仿宋"/>
          <w:color w:val="000000" w:themeColor="text1"/>
          <w:sz w:val="28"/>
          <w:szCs w:val="28"/>
          <w14:textFill>
            <w14:solidFill>
              <w14:schemeClr w14:val="tx1"/>
            </w14:solidFill>
          </w14:textFill>
        </w:rPr>
        <w:t>；</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5.</w:t>
      </w:r>
      <w:r>
        <w:rPr>
          <w:rFonts w:hint="default" w:ascii="仿宋" w:hAnsi="仿宋" w:eastAsia="仿宋" w:cs="仿宋"/>
          <w:color w:val="000000" w:themeColor="text1"/>
          <w:sz w:val="28"/>
          <w:szCs w:val="28"/>
          <w14:textFill>
            <w14:solidFill>
              <w14:schemeClr w14:val="tx1"/>
            </w14:solidFill>
          </w14:textFill>
        </w:rPr>
        <w:t>超长期特别国债对地方将带来哪些利好；</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r>
        <w:rPr>
          <w:rFonts w:hint="default" w:ascii="仿宋" w:hAnsi="仿宋" w:eastAsia="仿宋" w:cs="仿宋"/>
          <w:color w:val="000000" w:themeColor="text1"/>
          <w:sz w:val="28"/>
          <w:szCs w:val="28"/>
          <w14:textFill>
            <w14:solidFill>
              <w14:schemeClr w14:val="tx1"/>
            </w14:solidFill>
          </w14:textFill>
        </w:rPr>
        <w:t>超长期特别国债可能支持重点领域和方向分析；</w:t>
      </w:r>
    </w:p>
    <w:p>
      <w:pPr>
        <w:spacing w:line="540" w:lineRule="exact"/>
        <w:ind w:firstLine="840"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default" w:ascii="仿宋" w:hAnsi="仿宋" w:eastAsia="仿宋" w:cs="仿宋"/>
          <w:color w:val="000000" w:themeColor="text1"/>
          <w:sz w:val="28"/>
          <w:szCs w:val="28"/>
          <w14:textFill>
            <w14:solidFill>
              <w14:schemeClr w14:val="tx1"/>
            </w14:solidFill>
          </w14:textFill>
        </w:rPr>
        <w:t>2024年超长期特别国债申报流程及准备材料。</w:t>
      </w:r>
    </w:p>
    <w:p>
      <w:pPr>
        <w:spacing w:line="540" w:lineRule="exact"/>
        <w:ind w:firstLine="594" w:firstLineChars="200"/>
        <w:rPr>
          <w:rFonts w:hint="default" w:ascii="微软雅黑" w:hAnsi="微软雅黑" w:eastAsia="微软雅黑" w:cs="仿宋"/>
          <w:b/>
          <w:bCs/>
          <w:szCs w:val="24"/>
        </w:rPr>
      </w:pPr>
      <w:r>
        <w:rPr>
          <w:rFonts w:ascii="仿宋" w:hAnsi="仿宋" w:eastAsia="仿宋" w:cs="仿宋"/>
          <w:b/>
          <w:bCs/>
          <w:color w:val="000000" w:themeColor="text1"/>
          <w:spacing w:val="8"/>
          <w:sz w:val="28"/>
          <w:szCs w:val="28"/>
          <w14:textFill>
            <w14:solidFill>
              <w14:schemeClr w14:val="tx1"/>
            </w14:solidFill>
          </w14:textFill>
        </w:rPr>
        <w:t>（二）最新关于政府债务化解及投融资政策解析与实务操作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1.国办发2023年35号文（内部文件）要点解析；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2.35号文有关城投公司三种分类解析及相关融资政策；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3.国办47号文及14号文重点要点解析；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4.《国务院办公厅关于进一步盘活存量资产扩大有效投资的意见》（国办发〔2022〕19号）解析及实务操作；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w:t>
      </w:r>
      <w:r>
        <w:fldChar w:fldCharType="begin"/>
      </w:r>
      <w:r>
        <w:instrText xml:space="preserve"> HYPERLINK "https://database.caixin.com/2023-11-08/102126106.html" \t "_self" </w:instrText>
      </w:r>
      <w:r>
        <w:fldChar w:fldCharType="separate"/>
      </w:r>
      <w:r>
        <w:rPr>
          <w:rFonts w:ascii="仿宋" w:hAnsi="仿宋" w:eastAsia="仿宋" w:cs="仿宋"/>
          <w:color w:val="000000" w:themeColor="text1"/>
          <w:spacing w:val="8"/>
          <w:sz w:val="28"/>
          <w:szCs w:val="28"/>
          <w14:textFill>
            <w14:solidFill>
              <w14:schemeClr w14:val="tx1"/>
            </w14:solidFill>
          </w14:textFill>
        </w:rPr>
        <w:t>关于规范实施政府和社会资本合作新机制的指导意见</w:t>
      </w:r>
      <w:r>
        <w:rPr>
          <w:rFonts w:ascii="仿宋" w:hAnsi="仿宋" w:eastAsia="仿宋" w:cs="仿宋"/>
          <w:color w:val="000000" w:themeColor="text1"/>
          <w:spacing w:val="8"/>
          <w:sz w:val="28"/>
          <w:szCs w:val="28"/>
          <w14:textFill>
            <w14:solidFill>
              <w14:schemeClr w14:val="tx1"/>
            </w14:solidFill>
          </w14:textFill>
        </w:rPr>
        <w:fldChar w:fldCharType="end"/>
      </w:r>
      <w:r>
        <w:rPr>
          <w:rFonts w:ascii="仿宋" w:hAnsi="仿宋" w:eastAsia="仿宋" w:cs="仿宋"/>
          <w:color w:val="000000" w:themeColor="text1"/>
          <w:spacing w:val="8"/>
          <w:sz w:val="28"/>
          <w:szCs w:val="28"/>
          <w14:textFill>
            <w14:solidFill>
              <w14:schemeClr w14:val="tx1"/>
            </w14:solidFill>
          </w14:textFill>
        </w:rPr>
        <w:t>》（国办函〔2023〕115号）解析及实务；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6.《基础设施和公用事业特许经营管理办法》（修订征求意见稿）解析及实务；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《关于政府和社会资本合作（PPP）存量项目分类处理的意见》（国办函〔2023〕91号）解读；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《基础设施和公用事业特许经营管理办法》2024 年第 17 号令主要条款解析；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9.《国家发展改革委关于印发投资项目可行性研究报告编写大纲及说明的通知》（发改投资规〔2023〕304号）解析及实务。</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（三）35号文和14号文下融资平台公司金融支持化债实务案例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1.怎样理解名单内的融资平台融资“限制”和融资“福利”；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2.名单内融资平台公司针对存量债务借新还旧</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要求及案例；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3</w:t>
      </w:r>
      <w:r>
        <w:rPr>
          <w:rFonts w:ascii="仿宋" w:hAnsi="仿宋" w:eastAsia="仿宋" w:cs="仿宋"/>
          <w:color w:val="000000" w:themeColor="text1"/>
          <w:spacing w:val="8"/>
          <w:sz w:val="28"/>
          <w:szCs w:val="28"/>
          <w14:textFill>
            <w14:solidFill>
              <w14:schemeClr w14:val="tx1"/>
            </w14:solidFill>
          </w14:textFill>
        </w:rPr>
        <w:t>.名单外参考融资平台公司管理的融资导向及实务；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4</w:t>
      </w:r>
      <w:r>
        <w:rPr>
          <w:rFonts w:ascii="仿宋" w:hAnsi="仿宋" w:eastAsia="仿宋" w:cs="仿宋"/>
          <w:color w:val="000000" w:themeColor="text1"/>
          <w:spacing w:val="8"/>
          <w:sz w:val="28"/>
          <w:szCs w:val="28"/>
          <w14:textFill>
            <w14:solidFill>
              <w14:schemeClr w14:val="tx1"/>
            </w14:solidFill>
          </w14:textFill>
        </w:rPr>
        <w:t>.名单外参考融资平台公司管理的新增融资条件及案例；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.融资平台公司产业转型标准解析及主体选择；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6</w:t>
      </w:r>
      <w:r>
        <w:rPr>
          <w:rFonts w:ascii="仿宋" w:hAnsi="仿宋" w:eastAsia="仿宋" w:cs="仿宋"/>
          <w:color w:val="000000" w:themeColor="text1"/>
          <w:spacing w:val="8"/>
          <w:sz w:val="28"/>
          <w:szCs w:val="28"/>
          <w14:textFill>
            <w14:solidFill>
              <w14:schemeClr w14:val="tx1"/>
            </w14:solidFill>
          </w14:textFill>
        </w:rPr>
        <w:t>.融资平台公司今明两年化债融资政策导向；</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7</w:t>
      </w:r>
      <w:r>
        <w:rPr>
          <w:rFonts w:ascii="仿宋" w:hAnsi="仿宋" w:eastAsia="仿宋" w:cs="仿宋"/>
          <w:color w:val="000000" w:themeColor="text1"/>
          <w:spacing w:val="8"/>
          <w:sz w:val="28"/>
          <w:szCs w:val="28"/>
          <w14:textFill>
            <w14:solidFill>
              <w14:schemeClr w14:val="tx1"/>
            </w14:solidFill>
          </w14:textFill>
        </w:rPr>
        <w:t>.建立防范融资平台公司债务风险长效机制；</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8</w:t>
      </w:r>
      <w:r>
        <w:rPr>
          <w:rFonts w:ascii="仿宋" w:hAnsi="仿宋" w:eastAsia="仿宋" w:cs="仿宋"/>
          <w:color w:val="000000" w:themeColor="text1"/>
          <w:spacing w:val="8"/>
          <w:sz w:val="28"/>
          <w:szCs w:val="28"/>
          <w14:textFill>
            <w14:solidFill>
              <w14:schemeClr w14:val="tx1"/>
            </w14:solidFill>
          </w14:textFill>
        </w:rPr>
        <w:t>.处于高风险地区或财务指标不达标时如何开展融资；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9</w:t>
      </w:r>
      <w:r>
        <w:rPr>
          <w:rFonts w:ascii="仿宋" w:hAnsi="仿宋" w:eastAsia="仿宋" w:cs="仿宋"/>
          <w:color w:val="000000" w:themeColor="text1"/>
          <w:spacing w:val="8"/>
          <w:sz w:val="28"/>
          <w:szCs w:val="28"/>
          <w14:textFill>
            <w14:solidFill>
              <w14:schemeClr w14:val="tx1"/>
            </w14:solidFill>
          </w14:textFill>
        </w:rPr>
        <w:t>.</w:t>
      </w:r>
      <w:r>
        <w:rPr>
          <w:rFonts w:hint="eastAsia" w:ascii="仿宋" w:hAnsi="仿宋" w:eastAsia="仿宋" w:cs="仿宋"/>
          <w:color w:val="000000" w:themeColor="text1"/>
          <w:spacing w:val="8"/>
          <w:sz w:val="28"/>
          <w:szCs w:val="28"/>
          <w:lang w:val="en-US" w:eastAsia="zh-CN"/>
          <w14:textFill>
            <w14:solidFill>
              <w14:schemeClr w14:val="tx1"/>
            </w14:solidFill>
          </w14:textFill>
        </w:rPr>
        <w:t>非</w:t>
      </w:r>
      <w:r>
        <w:rPr>
          <w:rFonts w:ascii="仿宋" w:hAnsi="仿宋" w:eastAsia="仿宋" w:cs="仿宋"/>
          <w:color w:val="000000" w:themeColor="text1"/>
          <w:spacing w:val="8"/>
          <w:sz w:val="28"/>
          <w:szCs w:val="28"/>
          <w14:textFill>
            <w14:solidFill>
              <w14:schemeClr w14:val="tx1"/>
            </w14:solidFill>
          </w14:textFill>
        </w:rPr>
        <w:t>高风险地</w:t>
      </w:r>
      <w:r>
        <w:rPr>
          <w:rFonts w:hint="eastAsia" w:ascii="仿宋" w:hAnsi="仿宋" w:eastAsia="仿宋" w:cs="仿宋"/>
          <w:color w:val="000000" w:themeColor="text1"/>
          <w:spacing w:val="8"/>
          <w:sz w:val="28"/>
          <w:szCs w:val="28"/>
          <w:lang w:val="en-US" w:eastAsia="zh-CN"/>
          <w14:textFill>
            <w14:solidFill>
              <w14:schemeClr w14:val="tx1"/>
            </w14:solidFill>
          </w14:textFill>
        </w:rPr>
        <w:t>区</w:t>
      </w:r>
      <w:r>
        <w:rPr>
          <w:rFonts w:ascii="仿宋" w:hAnsi="仿宋" w:eastAsia="仿宋" w:cs="仿宋"/>
          <w:color w:val="000000" w:themeColor="text1"/>
          <w:spacing w:val="8"/>
          <w:sz w:val="28"/>
          <w:szCs w:val="28"/>
          <w14:textFill>
            <w14:solidFill>
              <w14:schemeClr w14:val="tx1"/>
            </w14:solidFill>
          </w14:textFill>
        </w:rPr>
        <w:t>且达到相关财务指标的情况下如何开展融资；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0.</w:t>
      </w:r>
      <w:r>
        <w:rPr>
          <w:rFonts w:ascii="仿宋" w:hAnsi="仿宋" w:eastAsia="仿宋" w:cs="仿宋"/>
          <w:color w:val="000000" w:themeColor="text1"/>
          <w:spacing w:val="8"/>
          <w:sz w:val="28"/>
          <w:szCs w:val="28"/>
          <w14:textFill>
            <w14:solidFill>
              <w14:schemeClr w14:val="tx1"/>
            </w14:solidFill>
          </w14:textFill>
        </w:rPr>
        <w:t>选报地级市参考重点省份债务化解实务；</w:t>
      </w:r>
    </w:p>
    <w:p>
      <w:pPr>
        <w:spacing w:line="540" w:lineRule="exact"/>
        <w:ind w:firstLine="888" w:firstLineChars="300"/>
        <w:rPr>
          <w:rFonts w:hint="default" w:ascii="微软雅黑" w:hAnsi="微软雅黑" w:eastAsia="微软雅黑"/>
          <w:bCs/>
          <w:szCs w:val="24"/>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1.</w:t>
      </w:r>
      <w:r>
        <w:rPr>
          <w:rFonts w:ascii="仿宋" w:hAnsi="仿宋" w:eastAsia="仿宋" w:cs="仿宋"/>
          <w:color w:val="000000" w:themeColor="text1"/>
          <w:spacing w:val="8"/>
          <w:sz w:val="28"/>
          <w:szCs w:val="28"/>
          <w14:textFill>
            <w14:solidFill>
              <w14:schemeClr w14:val="tx1"/>
            </w14:solidFill>
          </w14:textFill>
        </w:rPr>
        <w:t>选报地级市融资平台公司借新还旧及新增融资。</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（四）容易形成政府隐性债务风险来源与防范及案例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1.地方政府为贷款主体承担担保责任及案例；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2.地方政府承诺财政资金偿还项目融资及案例；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3.构成政府中长期支出责任（产业基金、PPP、购买服务）及案例；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4.地方政府部门向本地国企借款及案例；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.以预期土地出让收入作为项目还款来源及案例。</w:t>
      </w:r>
    </w:p>
    <w:p>
      <w:pPr>
        <w:spacing w:line="540" w:lineRule="exact"/>
        <w:ind w:firstLine="594" w:firstLineChars="200"/>
        <w:rPr>
          <w:rFonts w:hint="default" w:ascii="微软雅黑" w:hAnsi="微软雅黑" w:eastAsia="微软雅黑"/>
          <w:b/>
          <w:bCs/>
          <w:szCs w:val="24"/>
        </w:rPr>
      </w:pPr>
      <w:r>
        <w:rPr>
          <w:rFonts w:ascii="仿宋" w:hAnsi="仿宋" w:eastAsia="仿宋" w:cs="仿宋"/>
          <w:b/>
          <w:bCs/>
          <w:color w:val="000000" w:themeColor="text1"/>
          <w:spacing w:val="8"/>
          <w:sz w:val="28"/>
          <w:szCs w:val="28"/>
          <w14:textFill>
            <w14:solidFill>
              <w14:schemeClr w14:val="tx1"/>
            </w14:solidFill>
          </w14:textFill>
        </w:rPr>
        <w:t>（五）债务高风险地区地方政府投资项目分类管理实务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1.政府投资项目与企业投资项目主要区别要点；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2.债务高风险地区政府投资项目分类及实施途径；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3.债务高风险地区要控制哪些政府投资项目；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4.债务高风险地区哪些政府投资项目需停建及调整；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5.债务高风险地区政府投资项目如何申请政府专项债券。</w:t>
      </w:r>
    </w:p>
    <w:p>
      <w:pPr>
        <w:pStyle w:val="8"/>
        <w:shd w:val="clear" w:color="auto" w:fill="FFFFFF"/>
        <w:spacing w:before="0" w:beforeAutospacing="0" w:after="0" w:afterAutospacing="0" w:line="540" w:lineRule="exact"/>
        <w:ind w:firstLine="594" w:firstLineChars="200"/>
        <w:jc w:val="both"/>
        <w:rPr>
          <w:rFonts w:ascii="微软雅黑" w:hAnsi="微软雅黑" w:eastAsia="微软雅黑" w:cs="仿宋"/>
          <w:b/>
          <w:bCs/>
        </w:rPr>
      </w:pPr>
      <w:r>
        <w:rPr>
          <w:rFonts w:hint="eastAsia" w:ascii="仿宋" w:hAnsi="仿宋" w:eastAsia="仿宋" w:cs="仿宋"/>
          <w:b/>
          <w:bCs/>
          <w:color w:val="000000" w:themeColor="text1"/>
          <w:spacing w:val="8"/>
          <w:sz w:val="28"/>
          <w:szCs w:val="28"/>
          <w14:textFill>
            <w14:solidFill>
              <w14:schemeClr w14:val="tx1"/>
            </w14:solidFill>
          </w14:textFill>
        </w:rPr>
        <w:t>（六）PPP新机制和特许经营政策及操作实务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1.如何理解PPP新机制聚焦的使用者付费项目；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2.使用者付费项目如何使用财政资金对项目进行支持；</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3.如何理解政府投资支持与政府付费区别；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4.存量PPP项目如何整改及案例；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5.存量PPP项目发行REITS融资条件及案例；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6.存量PPP政府付费项目如何在票据市场融资及案例；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7.央企与地方国企如何参与应由民营企业控股的PPP项目;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8.如何把握PPP项目新老划断的具体标准；</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9.通过“打捆”形式实施特许经营需要注意的问题；</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10.PPP模式与直接授权地方国有企业实施项目</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区别及范畴；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11.如何编写特许经营方案；</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12.社会投资人投资的项目，政府是否可以仅给予投资补助；</w:t>
      </w:r>
    </w:p>
    <w:p>
      <w:pPr>
        <w:spacing w:line="540" w:lineRule="exact"/>
        <w:ind w:firstLine="888" w:firstLineChars="300"/>
        <w:rPr>
          <w:rFonts w:hint="default" w:ascii="微软雅黑" w:hAnsi="微软雅黑" w:eastAsia="微软雅黑"/>
          <w:szCs w:val="24"/>
        </w:rPr>
      </w:pPr>
      <w:r>
        <w:rPr>
          <w:rFonts w:ascii="仿宋" w:hAnsi="仿宋" w:eastAsia="仿宋" w:cs="仿宋"/>
          <w:color w:val="000000" w:themeColor="text1"/>
          <w:spacing w:val="8"/>
          <w:sz w:val="28"/>
          <w:szCs w:val="28"/>
          <w14:textFill>
            <w14:solidFill>
              <w14:schemeClr w14:val="tx1"/>
            </w14:solidFill>
          </w14:textFill>
        </w:rPr>
        <w:t>13.改扩建项目是否须重新通过公开竞争方式选择特许经营者。</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（七）新政下“三大工程”合规运作及金融支持实务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1.“三大工程“政策解析与投融资模式及案例；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2.政府投资+委托代建模式应用及案例；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3.政府支持+授权开发模式应用及案例；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4.政府和社会资本合作模式应用及案例；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5.“三大工程“能否应用土地开发一二级联动如何应用；</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6.城中村改造投融资开发模式及案例（房票安置、回购安置、工业上楼、专项债券等）；</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7.保障性住房投融资模式及案例；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8.“平急两用“公共基础设施建设项目投融资模式及案例。</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（八）新导则下EOD项目实施及案例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1.EOD项目</w:t>
      </w:r>
      <w:r>
        <w:rPr>
          <w:rFonts w:ascii="仿宋" w:hAnsi="仿宋" w:eastAsia="仿宋" w:cs="仿宋"/>
          <w:color w:val="000000" w:themeColor="text1"/>
          <w:spacing w:val="8"/>
          <w:sz w:val="28"/>
          <w:szCs w:val="28"/>
          <w:lang w:eastAsia="zh-Hans"/>
          <w14:textFill>
            <w14:solidFill>
              <w14:schemeClr w14:val="tx1"/>
            </w14:solidFill>
          </w14:textFill>
        </w:rPr>
        <w:t>最新“</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重点内容解读；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2.EOD</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与《入库指南》主要变化要点；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3.EOD项目环境治理内容范围变化及“负面清单”；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4.EOD项目实施主体如何选择和确定？</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5.“新版”EOD项目实施方案的重大变化；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 xml:space="preserve">6. EOD项目的投资估算、资金筹措、财务测算； </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7.“新导则”下EOD项目实施模式选择及资金来源；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8.“新导则”下EOD项目合规要点把握；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9.EOD模式典型案例分析。</w:t>
      </w:r>
    </w:p>
    <w:p>
      <w:pPr>
        <w:spacing w:line="360" w:lineRule="auto"/>
        <w:ind w:firstLine="594" w:firstLineChars="200"/>
        <w:rPr>
          <w:rFonts w:hint="default" w:ascii="微软雅黑" w:hAnsi="微软雅黑" w:eastAsia="微软雅黑" w:cs="新宋体"/>
          <w:b/>
          <w:bCs/>
          <w:szCs w:val="24"/>
        </w:rPr>
      </w:pPr>
      <w:r>
        <w:rPr>
          <w:rFonts w:ascii="仿宋" w:hAnsi="仿宋" w:eastAsia="仿宋" w:cs="仿宋"/>
          <w:b/>
          <w:bCs/>
          <w:color w:val="000000" w:themeColor="text1"/>
          <w:spacing w:val="8"/>
          <w:sz w:val="28"/>
          <w:szCs w:val="28"/>
          <w14:textFill>
            <w14:solidFill>
              <w14:schemeClr w14:val="tx1"/>
            </w14:solidFill>
          </w14:textFill>
        </w:rPr>
        <w:t>（九）新政策下片区综合开发如何开展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w:t>
      </w:r>
      <w:r>
        <w:rPr>
          <w:rFonts w:ascii="仿宋" w:hAnsi="仿宋" w:eastAsia="仿宋" w:cs="仿宋"/>
          <w:color w:val="000000" w:themeColor="text1"/>
          <w:spacing w:val="8"/>
          <w:sz w:val="28"/>
          <w:szCs w:val="28"/>
          <w14:textFill>
            <w14:solidFill>
              <w14:schemeClr w14:val="tx1"/>
            </w14:solidFill>
          </w14:textFill>
        </w:rPr>
        <w:t>“投资人+EPC”“EPC+F+</w:t>
      </w:r>
      <w:r>
        <w:rPr>
          <w:rFonts w:hint="eastAsia" w:ascii="仿宋" w:hAnsi="仿宋" w:eastAsia="仿宋" w:cs="仿宋"/>
          <w:color w:val="000000" w:themeColor="text1"/>
          <w:spacing w:val="8"/>
          <w:sz w:val="28"/>
          <w:szCs w:val="28"/>
          <w:lang w:val="en-US" w:eastAsia="zh-CN"/>
          <w14:textFill>
            <w14:solidFill>
              <w14:schemeClr w14:val="tx1"/>
            </w14:solidFill>
          </w14:textFill>
        </w:rPr>
        <w:t>O</w:t>
      </w:r>
      <w:r>
        <w:rPr>
          <w:rFonts w:ascii="仿宋" w:hAnsi="仿宋" w:eastAsia="仿宋" w:cs="仿宋"/>
          <w:color w:val="000000" w:themeColor="text1"/>
          <w:spacing w:val="8"/>
          <w:sz w:val="28"/>
          <w:szCs w:val="28"/>
          <w14:textFill>
            <w14:solidFill>
              <w14:schemeClr w14:val="tx1"/>
            </w14:solidFill>
          </w14:textFill>
        </w:rPr>
        <w:t>”；</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w:t>
      </w:r>
      <w:r>
        <w:rPr>
          <w:rFonts w:ascii="仿宋" w:hAnsi="仿宋" w:eastAsia="仿宋" w:cs="仿宋"/>
          <w:color w:val="000000" w:themeColor="text1"/>
          <w:spacing w:val="8"/>
          <w:sz w:val="28"/>
          <w:szCs w:val="28"/>
          <w14:textFill>
            <w14:solidFill>
              <w14:schemeClr w14:val="tx1"/>
            </w14:solidFill>
          </w14:textFill>
        </w:rPr>
        <w:t>能否使用“</w:t>
      </w:r>
      <w:r>
        <w:rPr>
          <w:rFonts w:ascii="仿宋" w:hAnsi="仿宋" w:eastAsia="仿宋" w:cs="仿宋"/>
          <w:color w:val="000000" w:themeColor="text1"/>
          <w:spacing w:val="8"/>
          <w:sz w:val="28"/>
          <w:szCs w:val="28"/>
          <w:lang w:eastAsia="zh-Hans"/>
          <w14:textFill>
            <w14:solidFill>
              <w14:schemeClr w14:val="tx1"/>
            </w14:solidFill>
          </w14:textFill>
        </w:rPr>
        <w:t>特许</w:t>
      </w:r>
      <w:r>
        <w:rPr>
          <w:rFonts w:ascii="仿宋" w:hAnsi="仿宋" w:eastAsia="仿宋" w:cs="仿宋"/>
          <w:color w:val="000000" w:themeColor="text1"/>
          <w:spacing w:val="8"/>
          <w:sz w:val="28"/>
          <w:szCs w:val="28"/>
          <w14:textFill>
            <w14:solidFill>
              <w14:schemeClr w14:val="tx1"/>
            </w14:solidFill>
          </w14:textFill>
        </w:rPr>
        <w:t>经营模式”，使用条件分析；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开发与土地出让金</w:t>
      </w:r>
      <w:r>
        <w:rPr>
          <w:rFonts w:ascii="仿宋" w:hAnsi="仿宋" w:eastAsia="仿宋" w:cs="仿宋"/>
          <w:color w:val="000000" w:themeColor="text1"/>
          <w:spacing w:val="8"/>
          <w:sz w:val="28"/>
          <w:szCs w:val="28"/>
          <w14:textFill>
            <w14:solidFill>
              <w14:schemeClr w14:val="tx1"/>
            </w14:solidFill>
          </w14:textFill>
        </w:rPr>
        <w:t>使用风险及案例；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4.央国企参与片区综合开发合规若干问题及案例分享；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5.片区综合开发前期土地开发如何开展如何筹资；</w:t>
      </w:r>
    </w:p>
    <w:p>
      <w:pPr>
        <w:spacing w:line="540" w:lineRule="exact"/>
        <w:ind w:firstLine="888"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6.片区综合开发如何立项如何融资。</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三、培训对象</w:t>
      </w:r>
    </w:p>
    <w:p>
      <w:pPr>
        <w:spacing w:line="540" w:lineRule="exact"/>
        <w:ind w:firstLine="560"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各级政府发改、财政、环保、住建、交通运输、水利、农业农村、林草、文旅等部门工作人员；城投公司为代表的各类融资平台公司相关人员；污水垃圾处理、城乡供水供气供热、仓储物流、新能源、环保及建筑施工等企业有关人员；银行、证券、基金、信托、保险等金融机构专业人员。</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四、</w:t>
      </w:r>
      <w:r>
        <w:rPr>
          <w:rFonts w:hint="eastAsia" w:ascii="仿宋" w:hAnsi="仿宋" w:eastAsia="仿宋" w:cs="仿宋"/>
          <w:b/>
          <w:bCs/>
          <w:color w:val="000000" w:themeColor="text1"/>
          <w:sz w:val="28"/>
          <w:szCs w:val="28"/>
          <w14:textFill>
            <w14:solidFill>
              <w14:schemeClr w14:val="tx1"/>
            </w14:solidFill>
          </w14:textFill>
        </w:rPr>
        <w:t>拟邀师资</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张朝元：</w:t>
      </w:r>
      <w:r>
        <w:rPr>
          <w:rFonts w:hint="eastAsia" w:ascii="仿宋" w:hAnsi="仿宋" w:eastAsia="仿宋" w:cs="仿宋"/>
          <w:bCs/>
          <w:color w:val="000000" w:themeColor="text1"/>
          <w:sz w:val="28"/>
          <w:szCs w:val="28"/>
          <w14:textFill>
            <w14:solidFill>
              <w14:schemeClr w14:val="tx1"/>
            </w14:solidFill>
          </w14:textFill>
        </w:rPr>
        <w:t>中国经济体制改革研究会副秘书长、培训中心主任，北京大学、清华大学投融资系列总裁研修班客座教授。</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林晓东：</w:t>
      </w:r>
      <w:r>
        <w:rPr>
          <w:rFonts w:hint="eastAsia" w:ascii="仿宋" w:hAnsi="仿宋" w:eastAsia="仿宋" w:cs="仿宋"/>
          <w:bCs/>
          <w:color w:val="000000" w:themeColor="text1"/>
          <w:sz w:val="28"/>
          <w:szCs w:val="28"/>
          <w14:textFill>
            <w14:solidFill>
              <w14:schemeClr w14:val="tx1"/>
            </w14:solidFill>
          </w14:textFill>
        </w:rPr>
        <w:t>中国经济体制改革研究会理事、特聘授课专家，中国投资协会项目投融资专委会特聘专家、大成律师事务所合伙人。</w:t>
      </w:r>
    </w:p>
    <w:p>
      <w:pPr>
        <w:widowControl/>
        <w:spacing w:line="540" w:lineRule="exact"/>
        <w:ind w:firstLine="562" w:firstLineChars="200"/>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王小文：</w:t>
      </w:r>
      <w:r>
        <w:rPr>
          <w:rFonts w:hint="eastAsia" w:ascii="仿宋" w:hAnsi="仿宋" w:eastAsia="仿宋" w:cs="仿宋"/>
          <w:bCs/>
          <w:color w:val="000000" w:themeColor="text1"/>
          <w:sz w:val="28"/>
          <w:szCs w:val="28"/>
          <w14:textFill>
            <w14:solidFill>
              <w14:schemeClr w14:val="tx1"/>
            </w14:solidFill>
          </w14:textFill>
        </w:rPr>
        <w:t>住建部海绵城市试点考核专家，中国投资咨询有限责任公司战略与管理咨询事业部副总经理（主持工作）、研究中心主任。</w:t>
      </w:r>
    </w:p>
    <w:p>
      <w:pPr>
        <w:pStyle w:val="10"/>
        <w:spacing w:line="540" w:lineRule="exact"/>
        <w:ind w:left="0" w:firstLine="562"/>
        <w:rPr>
          <w:rFonts w:hint="default" w:hAnsi="仿宋" w:cs="仿宋"/>
          <w:bCs/>
          <w:color w:val="000000" w:themeColor="text1"/>
          <w:sz w:val="28"/>
          <w:szCs w:val="28"/>
          <w14:textFill>
            <w14:solidFill>
              <w14:schemeClr w14:val="tx1"/>
            </w14:solidFill>
          </w14:textFill>
        </w:rPr>
      </w:pPr>
      <w:r>
        <w:rPr>
          <w:rFonts w:hAnsi="仿宋" w:cs="仿宋"/>
          <w:b/>
          <w:color w:val="000000" w:themeColor="text1"/>
          <w:sz w:val="28"/>
          <w:szCs w:val="28"/>
          <w14:textFill>
            <w14:solidFill>
              <w14:schemeClr w14:val="tx1"/>
            </w14:solidFill>
          </w14:textFill>
        </w:rPr>
        <w:t>温来成：</w:t>
      </w:r>
      <w:r>
        <w:fldChar w:fldCharType="begin"/>
      </w:r>
      <w:r>
        <w:instrText xml:space="preserve"> HYPERLINK "https://baike.so.com/doc/3296910-3472858.html"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中国人民大学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经济学博士，</w:t>
      </w:r>
      <w:r>
        <w:fldChar w:fldCharType="begin"/>
      </w:r>
      <w:r>
        <w:instrText xml:space="preserve"> HYPERLINK "https://baike.so.com/doc/871579-921482.html"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中央财经大学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教授，博士生导师，</w:t>
      </w:r>
      <w:r>
        <w:fldChar w:fldCharType="begin"/>
      </w:r>
      <w:r>
        <w:instrText xml:space="preserve"> HYPERLINK "https://baike.so.com/doc/5383824-5620225.html"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国家社会科学基金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fldChar w:fldCharType="begin"/>
      </w:r>
      <w:r>
        <w:instrText xml:space="preserve"> HYPERLINK "https://baike.so.com/doc/5568745-5783922.html"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国家自然科学基金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rPr>
          <w:rFonts w:hAnsi="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  鹏：</w:t>
      </w:r>
      <w:r>
        <w:rPr>
          <w:rFonts w:ascii="仿宋" w:hAnsi="仿宋" w:eastAsia="仿宋" w:cs="仿宋"/>
          <w:bCs/>
          <w:color w:val="000000" w:themeColor="text1"/>
          <w:sz w:val="28"/>
          <w:szCs w:val="28"/>
          <w14:textFill>
            <w14:solidFill>
              <w14:schemeClr w14:val="tx1"/>
            </w14:solidFill>
          </w14:textFill>
        </w:rPr>
        <w:t>财政部政策实验室宏观经济部主任、经济学博士</w:t>
      </w:r>
      <w:r>
        <w:rPr>
          <w:rFonts w:hint="eastAsia" w:ascii="仿宋" w:hAnsi="仿宋" w:eastAsia="仿宋" w:cs="仿宋"/>
          <w:bCs/>
          <w:color w:val="000000" w:themeColor="text1"/>
          <w:sz w:val="28"/>
          <w:szCs w:val="28"/>
          <w14:textFill>
            <w14:solidFill>
              <w14:schemeClr w14:val="tx1"/>
            </w14:solidFill>
          </w14:textFill>
        </w:rPr>
        <w:t>、</w:t>
      </w:r>
      <w:r>
        <w:rPr>
          <w:rFonts w:ascii="仿宋" w:hAnsi="仿宋" w:eastAsia="仿宋" w:cs="仿宋"/>
          <w:bCs/>
          <w:color w:val="000000" w:themeColor="text1"/>
          <w:sz w:val="28"/>
          <w:szCs w:val="28"/>
          <w14:textFill>
            <w14:solidFill>
              <w14:schemeClr w14:val="tx1"/>
            </w14:solidFill>
          </w14:textFill>
        </w:rPr>
        <w:t>中共中央党校干部学习网特约专家</w:t>
      </w:r>
      <w:r>
        <w:rPr>
          <w:rFonts w:hint="eastAsia" w:ascii="仿宋" w:hAnsi="仿宋" w:eastAsia="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朱  静</w:t>
      </w:r>
      <w:r>
        <w:rPr>
          <w:rFonts w:hint="eastAsia" w:ascii="仿宋" w:hAnsi="仿宋" w:eastAsia="仿宋" w:cs="仿宋"/>
          <w:bCs/>
          <w:color w:val="000000" w:themeColor="text1"/>
          <w:sz w:val="28"/>
          <w:szCs w:val="28"/>
          <w14:textFill>
            <w14:solidFill>
              <w14:schemeClr w14:val="tx1"/>
            </w14:solidFill>
          </w14:textFill>
        </w:rPr>
        <w:t>：中央财经大学PPP智库专家，中国政信（政务）研究中心专家，中能国和产业投资发展集团合伙人首席专家。</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吴亚平</w:t>
      </w:r>
      <w:r>
        <w:rPr>
          <w:rFonts w:hint="eastAsia" w:ascii="仿宋" w:hAnsi="仿宋" w:eastAsia="仿宋" w:cs="仿宋"/>
          <w:bCs/>
          <w:color w:val="000000" w:themeColor="text1"/>
          <w:sz w:val="28"/>
          <w:szCs w:val="28"/>
          <w14:textFill>
            <w14:solidFill>
              <w14:schemeClr w14:val="tx1"/>
            </w14:solidFill>
          </w14:textFill>
        </w:rPr>
        <w:t>：国家发展改革委投资研究所体制政策室原主任、投资研究所研究员，兼任中国社科院大学投资经济系教授、博导，中国社情民调百名经济学家，注册咨询工程师(投资),国家开发银行、中国国际工程咨询公司专家委员会专家。长期从事经济和投资形势分析、投融资政策和政府投融资管理研究，参与投融资政策法规研究起草。</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w:t>
      </w:r>
      <w:r>
        <w:rPr>
          <w:rFonts w:ascii="仿宋" w:hAnsi="仿宋" w:eastAsia="仿宋" w:cs="仿宋"/>
          <w:b/>
          <w:bCs/>
          <w:color w:val="000000" w:themeColor="text1"/>
          <w:sz w:val="28"/>
          <w:szCs w:val="28"/>
          <w14:textFill>
            <w14:solidFill>
              <w14:schemeClr w14:val="tx1"/>
            </w14:solidFill>
          </w14:textFill>
        </w:rPr>
        <w:t>培训时间与地点</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重庆</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月2</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昆明</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成都</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南宁</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日全天报到）</w:t>
      </w:r>
    </w:p>
    <w:p>
      <w:pPr>
        <w:spacing w:line="540" w:lineRule="exact"/>
        <w:ind w:firstLine="526"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w w:val="94"/>
          <w:sz w:val="28"/>
          <w:szCs w:val="28"/>
          <w:lang w:val="en-US" w:eastAsia="zh-CN"/>
        </w:rPr>
        <w:t>2024年10月18日—10月21日</w:t>
      </w:r>
      <w:r>
        <w:rPr>
          <w:rFonts w:hint="eastAsia" w:ascii="仿宋" w:hAnsi="仿宋" w:eastAsia="仿宋" w:cs="仿宋"/>
          <w:b w:val="0"/>
          <w:bCs w:val="0"/>
          <w:color w:val="000000"/>
          <w:sz w:val="28"/>
          <w:szCs w:val="28"/>
          <w:lang w:val="en-US" w:eastAsia="zh-CN"/>
        </w:rPr>
        <w:t xml:space="preserve">   南京市 （18日全天报到）</w:t>
      </w:r>
    </w:p>
    <w:p>
      <w:pPr>
        <w:spacing w:line="540" w:lineRule="exact"/>
        <w:ind w:firstLine="526" w:firstLineChars="200"/>
        <w:jc w:val="both"/>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w w:val="94"/>
          <w:sz w:val="28"/>
          <w:szCs w:val="28"/>
          <w:lang w:val="en-US" w:eastAsia="zh-CN"/>
        </w:rPr>
        <w:t xml:space="preserve">2024年10月24日—10月27日 </w:t>
      </w:r>
      <w:r>
        <w:rPr>
          <w:rFonts w:hint="eastAsia" w:ascii="仿宋" w:hAnsi="仿宋" w:eastAsia="仿宋" w:cs="仿宋"/>
          <w:b w:val="0"/>
          <w:bCs w:val="0"/>
          <w:color w:val="000000"/>
          <w:sz w:val="28"/>
          <w:szCs w:val="28"/>
          <w:lang w:val="en-US" w:eastAsia="zh-CN"/>
        </w:rPr>
        <w:t xml:space="preserve">  厦门市 （24日全天报到）</w:t>
      </w:r>
    </w:p>
    <w:p>
      <w:pPr>
        <w:autoSpaceDE/>
        <w:autoSpaceDN/>
        <w:adjustRightInd/>
        <w:spacing w:line="540" w:lineRule="exact"/>
        <w:ind w:firstLine="562" w:firstLineChars="200"/>
        <w:rPr>
          <w:rFonts w:hint="default"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t>六、收费标准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A.3880元/人（含培训、资料、电子课件、场地及培训期间午餐、结业证书），住宿统一安排，费用自理。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B.5880元/人（含培训、资料、电子课件、场地、证书及培训期间午餐），住宿统一安排，费用自理。培训结束后，经考核合格，由中国投资协会颁发《投融资规划师》证书，需提供申报表、二寸白底免冠彩色照片、身份证复印件、学历证书复印件等电子版材料。</w:t>
      </w:r>
    </w:p>
    <w:p>
      <w:pPr>
        <w:snapToGrid w:val="0"/>
        <w:spacing w:line="620" w:lineRule="exact"/>
        <w:ind w:firstLine="560" w:firstLineChars="200"/>
        <w:jc w:val="both"/>
        <w:rPr>
          <w:rFonts w:hint="default" w:ascii="仿宋" w:hAnsi="仿宋" w:eastAsia="仿宋" w:cs="仿宋"/>
          <w:sz w:val="28"/>
          <w:szCs w:val="28"/>
        </w:rPr>
      </w:pPr>
      <w:r>
        <w:rPr>
          <w:rFonts w:ascii="仿宋" w:hAnsi="仿宋" w:eastAsia="仿宋" w:cs="仿宋"/>
          <w:sz w:val="28"/>
          <w:szCs w:val="28"/>
        </w:rPr>
        <w:t>C.13880元/人(含培训、中国投资协会的会员证书铜牌【副会长单位价格另议】、资料、电子课件、场地及培训期间午餐、结业证书)</w:t>
      </w:r>
    </w:p>
    <w:p>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eastAsia" w:ascii="仿宋" w:hAnsi="仿宋" w:eastAsia="仿宋" w:cs="仿宋"/>
          <w:spacing w:val="0"/>
          <w:sz w:val="28"/>
          <w:szCs w:val="28"/>
          <w:lang w:val="en-US" w:eastAsia="zh-CN"/>
        </w:rPr>
      </w:pPr>
      <w:r>
        <w:rPr>
          <w:rFonts w:hint="eastAsia" w:ascii="仿宋" w:hAnsi="仿宋" w:eastAsia="仿宋" w:cs="仿宋"/>
          <w:spacing w:val="0"/>
          <w:sz w:val="28"/>
          <w:szCs w:val="28"/>
          <w:lang w:val="en-US" w:eastAsia="zh-CN"/>
        </w:rPr>
        <w:t>以上内容线上培训费用：25000元一个学习账号，单位投屏播放，统一观看，支持在线问答。本课程也可以采取定制内容学习、请专家到政府、企业内部培训，40000元/天（含课酬、专家与助教交通费、资料费等），场地由培训单位提供。</w:t>
      </w:r>
    </w:p>
    <w:p>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eastAsia" w:ascii="仿宋" w:hAnsi="仿宋" w:eastAsia="仿宋" w:cs="仿宋"/>
          <w:spacing w:val="0"/>
          <w:sz w:val="28"/>
          <w:szCs w:val="28"/>
          <w:lang w:val="en-US" w:eastAsia="zh-CN"/>
        </w:rPr>
      </w:pPr>
    </w:p>
    <w:p>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default" w:ascii="仿宋" w:hAnsi="仿宋" w:eastAsia="仿宋" w:cs="仿宋"/>
          <w:spacing w:val="0"/>
          <w:sz w:val="28"/>
          <w:szCs w:val="28"/>
          <w:lang w:val="en-US" w:eastAsia="zh-CN"/>
        </w:rPr>
      </w:pPr>
      <w:bookmarkStart w:id="0" w:name="_GoBack"/>
      <w:bookmarkEnd w:id="0"/>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附件2：</w:t>
      </w:r>
    </w:p>
    <w:p>
      <w:pPr>
        <w:autoSpaceDE/>
        <w:autoSpaceDN/>
        <w:adjustRightInd/>
        <w:snapToGrid w:val="0"/>
        <w:spacing w:line="440" w:lineRule="atLeast"/>
        <w:jc w:val="center"/>
        <w:rPr>
          <w:rFonts w:hint="default" w:ascii="仿宋" w:hAnsi="仿宋" w:eastAsia="黑体" w:cs="仿宋"/>
          <w:b/>
          <w:bCs/>
          <w:color w:val="000000" w:themeColor="text1"/>
          <w:sz w:val="30"/>
          <w:szCs w:val="30"/>
          <w14:textFill>
            <w14:solidFill>
              <w14:schemeClr w14:val="tx1"/>
            </w14:solidFill>
          </w14:textFill>
        </w:rPr>
      </w:pPr>
      <w:r>
        <w:rPr>
          <w:rFonts w:ascii="黑体" w:hAnsi="黑体" w:eastAsia="黑体" w:cs="黑体"/>
          <w:b/>
          <w:bCs/>
          <w:color w:val="000000" w:themeColor="text1"/>
          <w:sz w:val="32"/>
          <w:szCs w:val="32"/>
          <w14:textFill>
            <w14:solidFill>
              <w14:schemeClr w14:val="tx1"/>
            </w14:solidFill>
          </w14:textFill>
        </w:rPr>
        <w:t>“新政背景下</w:t>
      </w:r>
      <w:r>
        <w:rPr>
          <w:rFonts w:hint="eastAsia" w:ascii="黑体" w:hAnsi="黑体" w:eastAsia="黑体" w:cs="黑体"/>
          <w:b/>
          <w:bCs/>
          <w:color w:val="000000" w:themeColor="text1"/>
          <w:sz w:val="32"/>
          <w:szCs w:val="32"/>
          <w:lang w:val="en-US" w:eastAsia="zh-CN"/>
          <w14:textFill>
            <w14:solidFill>
              <w14:schemeClr w14:val="tx1"/>
            </w14:solidFill>
          </w14:textFill>
        </w:rPr>
        <w:t>专项债、</w:t>
      </w:r>
      <w:r>
        <w:rPr>
          <w:rFonts w:ascii="黑体" w:hAnsi="黑体" w:eastAsia="黑体" w:cs="黑体"/>
          <w:b/>
          <w:bCs/>
          <w:color w:val="000000" w:themeColor="text1"/>
          <w:sz w:val="32"/>
          <w:szCs w:val="32"/>
          <w14:textFill>
            <w14:solidFill>
              <w14:schemeClr w14:val="tx1"/>
            </w14:solidFill>
          </w14:textFill>
        </w:rPr>
        <w:t>超长期特别国债</w:t>
      </w:r>
      <w:r>
        <w:rPr>
          <w:rFonts w:hint="eastAsia" w:ascii="黑体" w:hAnsi="黑体" w:eastAsia="黑体" w:cs="黑体"/>
          <w:b/>
          <w:bCs/>
          <w:color w:val="000000" w:themeColor="text1"/>
          <w:sz w:val="32"/>
          <w:szCs w:val="32"/>
          <w:lang w:val="en-US" w:eastAsia="zh-CN"/>
          <w14:textFill>
            <w14:solidFill>
              <w14:schemeClr w14:val="tx1"/>
            </w14:solidFill>
          </w14:textFill>
        </w:rPr>
        <w:t>的资金申报</w:t>
      </w:r>
      <w:r>
        <w:rPr>
          <w:rFonts w:ascii="黑体" w:hAnsi="黑体" w:eastAsia="黑体" w:cs="黑体"/>
          <w:b/>
          <w:bCs/>
          <w:color w:val="000000" w:themeColor="text1"/>
          <w:sz w:val="32"/>
          <w:szCs w:val="32"/>
          <w14:textFill>
            <w14:solidFill>
              <w14:schemeClr w14:val="tx1"/>
            </w14:solidFill>
          </w14:textFill>
        </w:rPr>
        <w:t>、债务化债、PPP新机制下特许经营实操要点、</w:t>
      </w:r>
      <w:r>
        <w:rPr>
          <w:rFonts w:hint="default" w:ascii="黑体" w:hAnsi="黑体" w:eastAsia="黑体" w:cs="黑体"/>
          <w:b/>
          <w:bCs/>
          <w:color w:val="000000" w:themeColor="text1"/>
          <w:sz w:val="32"/>
          <w:szCs w:val="32"/>
          <w14:textFill>
            <w14:solidFill>
              <w14:schemeClr w14:val="tx1"/>
            </w14:solidFill>
          </w14:textFill>
        </w:rPr>
        <w:t>EOD</w:t>
      </w:r>
      <w:r>
        <w:rPr>
          <w:rFonts w:ascii="黑体" w:hAnsi="黑体" w:eastAsia="黑体" w:cs="黑体"/>
          <w:b/>
          <w:bCs/>
          <w:color w:val="000000" w:themeColor="text1"/>
          <w:sz w:val="32"/>
          <w:szCs w:val="32"/>
          <w14:textFill>
            <w14:solidFill>
              <w14:schemeClr w14:val="tx1"/>
            </w14:solidFill>
          </w14:textFill>
        </w:rPr>
        <w:t>项目整体谋划及三大工程合规运作高级专题班”报名回执表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编</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性别</w:t>
            </w:r>
          </w:p>
        </w:tc>
        <w:tc>
          <w:tcPr>
            <w:tcW w:w="1293"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    话</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单住□      合住□     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《投融资规划师》□    中国投资协会会员□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银行转账□      现场交费□</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金 额</w:t>
            </w:r>
          </w:p>
        </w:tc>
        <w:tc>
          <w:tcPr>
            <w:tcW w:w="2164" w:type="dxa"/>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开户名称：北京中建科信管理咨询集团有限公司</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 户 行：中国工商银行北京半壁店支行</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账 号：0200247009200068235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本课程可根据单位实际需</w:t>
            </w:r>
          </w:p>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求，提供内部培训。</w:t>
            </w:r>
          </w:p>
        </w:tc>
        <w:tc>
          <w:tcPr>
            <w:tcW w:w="4060" w:type="dxa"/>
            <w:gridSpan w:val="2"/>
            <w:vAlign w:val="center"/>
          </w:tcPr>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参加单位（盖章）</w:t>
            </w:r>
          </w:p>
          <w:p>
            <w:pPr>
              <w:pStyle w:val="10"/>
              <w:ind w:left="480" w:firstLine="480"/>
              <w:rPr>
                <w:rFonts w:hint="default"/>
                <w:color w:val="000000" w:themeColor="text1"/>
                <w14:textFill>
                  <w14:solidFill>
                    <w14:schemeClr w14:val="tx1"/>
                  </w14:solidFill>
                </w14:textFill>
              </w:rPr>
            </w:pPr>
          </w:p>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2024年  月  日</w:t>
            </w:r>
          </w:p>
        </w:tc>
      </w:tr>
    </w:tbl>
    <w:p>
      <w:pPr>
        <w:spacing w:line="440" w:lineRule="exact"/>
        <w:rPr>
          <w:rStyle w:val="13"/>
          <w:rFonts w:hint="eastAsia" w:ascii="仿宋" w:hAnsi="仿宋" w:eastAsia="仿宋" w:cs="仿宋"/>
          <w:b w:val="0"/>
          <w:color w:val="000000" w:themeColor="text1"/>
          <w:kern w:val="2"/>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联系人：</w:t>
      </w:r>
      <w:r>
        <w:rPr>
          <w:rStyle w:val="13"/>
          <w:rFonts w:hint="eastAsia" w:ascii="仿宋" w:hAnsi="仿宋" w:eastAsia="仿宋" w:cs="仿宋"/>
          <w:color w:val="000000" w:themeColor="text1"/>
          <w:sz w:val="28"/>
          <w:szCs w:val="28"/>
          <w:lang w:val="en-US" w:eastAsia="zh-CN"/>
          <w14:textFill>
            <w14:solidFill>
              <w14:schemeClr w14:val="tx1"/>
            </w14:solidFill>
          </w14:textFill>
        </w:rPr>
        <w:t>郭磊老师 18701646027（同微信） 邮箱：2952107154@qq.com</w:t>
      </w:r>
    </w:p>
    <w:sectPr>
      <w:footerReference r:id="rId3" w:type="default"/>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1NjlmYjIyOTZkMGIzOGIzOWJkZmY2NjM4N2YyNWY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B3EFA"/>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3D7C"/>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76F0D"/>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1813A9"/>
    <w:rsid w:val="073758B6"/>
    <w:rsid w:val="07416A2C"/>
    <w:rsid w:val="075C0B4F"/>
    <w:rsid w:val="07DD1D97"/>
    <w:rsid w:val="07E24293"/>
    <w:rsid w:val="08114065"/>
    <w:rsid w:val="085722EB"/>
    <w:rsid w:val="08D80954"/>
    <w:rsid w:val="09574C75"/>
    <w:rsid w:val="0A19645B"/>
    <w:rsid w:val="0A1F1C61"/>
    <w:rsid w:val="0A4725AB"/>
    <w:rsid w:val="0AE00BC8"/>
    <w:rsid w:val="0B3F3B13"/>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B56A1"/>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DE09BC"/>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DFBFC5"/>
    <w:rsid w:val="3FE23C01"/>
    <w:rsid w:val="403B2369"/>
    <w:rsid w:val="40582115"/>
    <w:rsid w:val="4079291A"/>
    <w:rsid w:val="40910BEF"/>
    <w:rsid w:val="40D36DC5"/>
    <w:rsid w:val="41C55CDB"/>
    <w:rsid w:val="41D26947"/>
    <w:rsid w:val="426206AE"/>
    <w:rsid w:val="426848B1"/>
    <w:rsid w:val="428233A0"/>
    <w:rsid w:val="42CD1DE0"/>
    <w:rsid w:val="42E70726"/>
    <w:rsid w:val="431C567C"/>
    <w:rsid w:val="438A0138"/>
    <w:rsid w:val="438F31E1"/>
    <w:rsid w:val="44CA4883"/>
    <w:rsid w:val="44D47D47"/>
    <w:rsid w:val="45041B70"/>
    <w:rsid w:val="45065223"/>
    <w:rsid w:val="451E0702"/>
    <w:rsid w:val="452B604A"/>
    <w:rsid w:val="454B2248"/>
    <w:rsid w:val="458A6696"/>
    <w:rsid w:val="459831FD"/>
    <w:rsid w:val="45DC4AB6"/>
    <w:rsid w:val="461813B4"/>
    <w:rsid w:val="464949DA"/>
    <w:rsid w:val="465E3003"/>
    <w:rsid w:val="46654ACA"/>
    <w:rsid w:val="467D407E"/>
    <w:rsid w:val="46B14C57"/>
    <w:rsid w:val="46E6706D"/>
    <w:rsid w:val="47006664"/>
    <w:rsid w:val="470F75CA"/>
    <w:rsid w:val="47856EB2"/>
    <w:rsid w:val="479F203C"/>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9307AF"/>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1E52603"/>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5F8AECA"/>
    <w:rsid w:val="561724F7"/>
    <w:rsid w:val="5649565E"/>
    <w:rsid w:val="56663210"/>
    <w:rsid w:val="56680E97"/>
    <w:rsid w:val="566F5F59"/>
    <w:rsid w:val="5685733F"/>
    <w:rsid w:val="57F227C1"/>
    <w:rsid w:val="57F83E70"/>
    <w:rsid w:val="584E7013"/>
    <w:rsid w:val="584F0362"/>
    <w:rsid w:val="58825BDE"/>
    <w:rsid w:val="59D55AC8"/>
    <w:rsid w:val="5A261A69"/>
    <w:rsid w:val="5A2F58EB"/>
    <w:rsid w:val="5A3369BE"/>
    <w:rsid w:val="5A787A2B"/>
    <w:rsid w:val="5A7D47FA"/>
    <w:rsid w:val="5A8A431E"/>
    <w:rsid w:val="5A9C0F69"/>
    <w:rsid w:val="5A9F29EB"/>
    <w:rsid w:val="5B082961"/>
    <w:rsid w:val="5B0A0F3F"/>
    <w:rsid w:val="5BE7E23C"/>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5359F3"/>
    <w:rsid w:val="62757094"/>
    <w:rsid w:val="62973E84"/>
    <w:rsid w:val="62A514DE"/>
    <w:rsid w:val="62BE7C1B"/>
    <w:rsid w:val="62EA2875"/>
    <w:rsid w:val="630D26ED"/>
    <w:rsid w:val="63156D9A"/>
    <w:rsid w:val="63213512"/>
    <w:rsid w:val="63516AD8"/>
    <w:rsid w:val="635321F9"/>
    <w:rsid w:val="63624E82"/>
    <w:rsid w:val="64B279C6"/>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ABB0724"/>
    <w:rsid w:val="6B1D5C22"/>
    <w:rsid w:val="6B4216B7"/>
    <w:rsid w:val="6B990934"/>
    <w:rsid w:val="6BD13E17"/>
    <w:rsid w:val="6BD63D35"/>
    <w:rsid w:val="6BDF4F70"/>
    <w:rsid w:val="6C45643A"/>
    <w:rsid w:val="6C494665"/>
    <w:rsid w:val="6C6421C5"/>
    <w:rsid w:val="6C9934FE"/>
    <w:rsid w:val="6DA32372"/>
    <w:rsid w:val="6DBD039E"/>
    <w:rsid w:val="6DFF4127"/>
    <w:rsid w:val="6E493106"/>
    <w:rsid w:val="6E4C296A"/>
    <w:rsid w:val="6EA64F44"/>
    <w:rsid w:val="6ED645B3"/>
    <w:rsid w:val="6EF720D4"/>
    <w:rsid w:val="6EFF2097"/>
    <w:rsid w:val="6F7955F4"/>
    <w:rsid w:val="6F8138D5"/>
    <w:rsid w:val="6FA7509E"/>
    <w:rsid w:val="6FA92A3E"/>
    <w:rsid w:val="6FA943CE"/>
    <w:rsid w:val="6FB2399D"/>
    <w:rsid w:val="6FBA9B9B"/>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7F552B6"/>
    <w:rsid w:val="7805508D"/>
    <w:rsid w:val="781C32B4"/>
    <w:rsid w:val="785D1EBF"/>
    <w:rsid w:val="786F0F5C"/>
    <w:rsid w:val="78C32226"/>
    <w:rsid w:val="790D2B37"/>
    <w:rsid w:val="794E1B3A"/>
    <w:rsid w:val="79C75F40"/>
    <w:rsid w:val="79DD6C0C"/>
    <w:rsid w:val="7A4805B8"/>
    <w:rsid w:val="7A796D36"/>
    <w:rsid w:val="7B013A9A"/>
    <w:rsid w:val="7B1448AF"/>
    <w:rsid w:val="7B677E95"/>
    <w:rsid w:val="7B6EA9E3"/>
    <w:rsid w:val="7B6F1D0D"/>
    <w:rsid w:val="7B835B9A"/>
    <w:rsid w:val="7BD400D4"/>
    <w:rsid w:val="7BD77DB7"/>
    <w:rsid w:val="7BDE019B"/>
    <w:rsid w:val="7BE6FDA1"/>
    <w:rsid w:val="7C055D07"/>
    <w:rsid w:val="7C4B1DF3"/>
    <w:rsid w:val="7C4E4F0A"/>
    <w:rsid w:val="7D021991"/>
    <w:rsid w:val="7D5E3845"/>
    <w:rsid w:val="7D7E4898"/>
    <w:rsid w:val="7DB912C0"/>
    <w:rsid w:val="7DE351D1"/>
    <w:rsid w:val="7E007CA5"/>
    <w:rsid w:val="7E324E80"/>
    <w:rsid w:val="7E78398B"/>
    <w:rsid w:val="7E7C4D97"/>
    <w:rsid w:val="7E955D07"/>
    <w:rsid w:val="7ED47C49"/>
    <w:rsid w:val="7EF82E1F"/>
    <w:rsid w:val="7F100049"/>
    <w:rsid w:val="7F301A67"/>
    <w:rsid w:val="7F6E76B9"/>
    <w:rsid w:val="7F7E1B59"/>
    <w:rsid w:val="7F880762"/>
    <w:rsid w:val="7FC95AB4"/>
    <w:rsid w:val="7FFB3B7C"/>
    <w:rsid w:val="8D9B1EBB"/>
    <w:rsid w:val="AD9E38AF"/>
    <w:rsid w:val="ADBBD2A2"/>
    <w:rsid w:val="AFD90B25"/>
    <w:rsid w:val="B59FFA5C"/>
    <w:rsid w:val="B7BC5B82"/>
    <w:rsid w:val="BB79B313"/>
    <w:rsid w:val="D6379759"/>
    <w:rsid w:val="DBFF83E2"/>
    <w:rsid w:val="DFEF4B50"/>
    <w:rsid w:val="DFF9A168"/>
    <w:rsid w:val="F5DFA94F"/>
    <w:rsid w:val="F72C79BB"/>
    <w:rsid w:val="F7E4E7D3"/>
    <w:rsid w:val="FDFBCF07"/>
    <w:rsid w:val="FE750042"/>
    <w:rsid w:val="FF77BE64"/>
    <w:rsid w:val="FFED2DFB"/>
    <w:rsid w:val="FFF7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68"/>
    </w:pPr>
    <w:rPr>
      <w:sz w:val="32"/>
      <w:szCs w:val="32"/>
    </w:rPr>
  </w:style>
  <w:style w:type="paragraph" w:styleId="3">
    <w:name w:val="Body Text Indent"/>
    <w:basedOn w:val="1"/>
    <w:semiHidden/>
    <w:unhideWhenUsed/>
    <w:qFormat/>
    <w:uiPriority w:val="99"/>
    <w:pPr>
      <w:spacing w:after="120"/>
      <w:ind w:left="420" w:leftChars="200"/>
    </w:pPr>
  </w:style>
  <w:style w:type="paragraph" w:styleId="4">
    <w:name w:val="Date"/>
    <w:basedOn w:val="1"/>
    <w:next w:val="1"/>
    <w:link w:val="19"/>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7"/>
    <w:autoRedefine/>
    <w:unhideWhenUsed/>
    <w:qFormat/>
    <w:uiPriority w:val="99"/>
    <w:pPr>
      <w:tabs>
        <w:tab w:val="center" w:pos="4153"/>
        <w:tab w:val="right" w:pos="8306"/>
      </w:tabs>
      <w:snapToGrid w:val="0"/>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autoRedefine/>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qFormat/>
    <w:uiPriority w:val="22"/>
    <w:rPr>
      <w:rFonts w:cs="Times New Roman"/>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styleId="18">
    <w:name w:val="List Paragraph"/>
    <w:basedOn w:val="1"/>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semiHidden/>
    <w:qFormat/>
    <w:uiPriority w:val="99"/>
    <w:rPr>
      <w:rFonts w:ascii="宋体" w:hAnsi="宋体" w:eastAsia="宋体" w:cs="Times New Roman"/>
      <w:kern w:val="0"/>
      <w:sz w:val="24"/>
      <w:szCs w:val="20"/>
    </w:rPr>
  </w:style>
  <w:style w:type="paragraph" w:customStyle="1" w:styleId="20">
    <w:name w:val="列出段落1"/>
    <w:basedOn w:val="1"/>
    <w:qFormat/>
    <w:uiPriority w:val="99"/>
    <w:pPr>
      <w:ind w:firstLine="420" w:firstLineChars="200"/>
    </w:pPr>
    <w:rPr>
      <w:szCs w:val="22"/>
    </w:rPr>
  </w:style>
  <w:style w:type="character" w:customStyle="1" w:styleId="21">
    <w:name w:val="标题 字符"/>
    <w:basedOn w:val="12"/>
    <w:link w:val="9"/>
    <w:qFormat/>
    <w:uiPriority w:val="10"/>
    <w:rPr>
      <w:rFonts w:asciiTheme="majorHAnsi" w:hAnsiTheme="majorHAnsi" w:cstheme="majorBidi"/>
      <w:b/>
      <w:bCs/>
      <w:sz w:val="32"/>
      <w:szCs w:val="32"/>
    </w:rPr>
  </w:style>
  <w:style w:type="character" w:customStyle="1" w:styleId="22">
    <w:name w:val="批注框文本 字符"/>
    <w:basedOn w:val="12"/>
    <w:link w:val="5"/>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3451</Words>
  <Characters>3760</Characters>
  <Lines>40</Lines>
  <Paragraphs>11</Paragraphs>
  <TotalTime>0</TotalTime>
  <ScaleCrop>false</ScaleCrop>
  <LinksUpToDate>false</LinksUpToDate>
  <CharactersWithSpaces>3861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2024-01-13T18:00:00Z</dcterms:created>
  <dc:creator>微软用户</dc:creator>
  <cp:lastModifiedBy>郭磊11</cp:lastModifiedBy>
  <cp:lastPrinted>2021-05-15T17:37:00Z</cp:lastPrinted>
  <dcterms:modified xsi:type="dcterms:W3CDTF">2024-08-06T03:08:14Z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9786D850B81E84B1704171667C592E68_43</vt:lpwstr>
  </property>
</Properties>
</file>